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ESCUELA ANDALUZA DE SALUD PUBLICA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CAMPUS UNIVERSITARIO DE CARTUJA, 18011,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CAMPUS CARTUJA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1215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GARAJE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141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GARAJE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787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1015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GARAJE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1112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GARAJE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1442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GARAJE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ENTRADA G.ELECTROGENO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996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GARAJE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1575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GARAJE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1405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P1 FOTOCOPIADORA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1686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HALL GARAJE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HALL GARAJE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 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26717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CENTRO DE TRANSFORMACION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 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26763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CENTRO DE TRANSFORMACION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GRUPO ELECTROGENO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168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GIMNASIO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615969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RECEPCION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418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SALA DE JUNTAS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1518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ENTRADA SALA JUNTAS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07/08/18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