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4112588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02/07/2018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 	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54654654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19/06/2018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DOT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4532584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28/05/2017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29/06/2018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5528471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21/06/2016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19/07/18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3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