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032970F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8B2148">
        <w:rPr>
          <w:sz w:val="48"/>
          <w:szCs w:val="48"/>
        </w:rPr>
        <w:t>7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r w:rsidRPr="00111B5D">
        <w:rPr>
          <w:sz w:val="48"/>
          <w:szCs w:val="48"/>
        </w:rPr>
        <w:t>EasyGDPR</w:t>
      </w:r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7113209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9B9839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CFB4A73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6C9CD140" w14:textId="02467B6E" w:rsidR="008B5F0B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0643408" w:history="1">
            <w:r w:rsidR="008B5F0B" w:rsidRPr="00583C41">
              <w:rPr>
                <w:rStyle w:val="Collegamentoipertestuale"/>
              </w:rPr>
              <w:t>1</w:t>
            </w:r>
            <w:r w:rsidR="008B5F0B">
              <w:rPr>
                <w:rFonts w:asciiTheme="minorHAnsi" w:eastAsia="ＭＳ 明朝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="008B5F0B" w:rsidRPr="00583C41">
              <w:rPr>
                <w:rStyle w:val="Collegamentoipertestuale"/>
              </w:rPr>
              <w:t>Introduzione</w:t>
            </w:r>
            <w:r w:rsidR="008B5F0B">
              <w:rPr>
                <w:webHidden/>
              </w:rPr>
              <w:tab/>
            </w:r>
            <w:r w:rsidR="008B5F0B">
              <w:rPr>
                <w:webHidden/>
              </w:rPr>
              <w:fldChar w:fldCharType="begin"/>
            </w:r>
            <w:r w:rsidR="008B5F0B">
              <w:rPr>
                <w:webHidden/>
              </w:rPr>
              <w:instrText xml:space="preserve"> PAGEREF _Toc10643408 \h </w:instrText>
            </w:r>
            <w:r w:rsidR="008B5F0B">
              <w:rPr>
                <w:webHidden/>
              </w:rPr>
            </w:r>
            <w:r w:rsidR="008B5F0B">
              <w:rPr>
                <w:webHidden/>
              </w:rPr>
              <w:fldChar w:fldCharType="separate"/>
            </w:r>
            <w:r w:rsidR="00D65F81">
              <w:rPr>
                <w:webHidden/>
              </w:rPr>
              <w:t>5</w:t>
            </w:r>
            <w:r w:rsidR="008B5F0B">
              <w:rPr>
                <w:webHidden/>
              </w:rPr>
              <w:fldChar w:fldCharType="end"/>
            </w:r>
          </w:hyperlink>
        </w:p>
        <w:p w14:paraId="5714777D" w14:textId="41942E88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09" w:history="1">
            <w:r w:rsidRPr="00583C41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DE56" w14:textId="19361B33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0" w:history="1">
            <w:r w:rsidRPr="00583C41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609B" w14:textId="5CB0F795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1" w:history="1">
            <w:r w:rsidRPr="00583C41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Destinatari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1291" w14:textId="65590ABF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2" w:history="1">
            <w:r w:rsidRPr="00583C41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330C" w14:textId="6AF09D7E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3" w:history="1">
            <w:r w:rsidRPr="00583C41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1C31" w14:textId="6CA5A5B9" w:rsidR="008B5F0B" w:rsidRDefault="008B5F0B">
          <w:pPr>
            <w:pStyle w:val="Sommario1"/>
            <w:rPr>
              <w:rFonts w:asciiTheme="minorHAnsi" w:eastAsia="ＭＳ 明朝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10643414" w:history="1">
            <w:r w:rsidRPr="00583C41">
              <w:rPr>
                <w:rStyle w:val="Collegamentoipertestuale"/>
              </w:rPr>
              <w:t>2</w:t>
            </w:r>
            <w:r>
              <w:rPr>
                <w:rFonts w:asciiTheme="minorHAnsi" w:eastAsia="ＭＳ 明朝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</w:rPr>
              <w:t>Descrizione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_Toc10643414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F8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C34C8E" w14:textId="36ADC1CB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5" w:history="1">
            <w:r w:rsidRPr="00583C4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Prospettiva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CBBC" w14:textId="1A8D0B78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6" w:history="1">
            <w:r w:rsidRPr="00583C4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792" w14:textId="344D8038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7" w:history="1">
            <w:r w:rsidRPr="00583C4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C192" w14:textId="5DE0AAB5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18" w:history="1">
            <w:r w:rsidRPr="00583C4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ED75" w14:textId="5191DBDD" w:rsidR="008B5F0B" w:rsidRDefault="008B5F0B">
          <w:pPr>
            <w:pStyle w:val="Sommario1"/>
            <w:rPr>
              <w:rFonts w:asciiTheme="minorHAnsi" w:eastAsia="ＭＳ 明朝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10643419" w:history="1">
            <w:r w:rsidRPr="00583C41">
              <w:rPr>
                <w:rStyle w:val="Collegamentoipertestuale"/>
              </w:rPr>
              <w:t>3</w:t>
            </w:r>
            <w:r>
              <w:rPr>
                <w:rFonts w:asciiTheme="minorHAnsi" w:eastAsia="ＭＳ 明朝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</w:rPr>
              <w:t>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_Toc10643419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F8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627F3C" w14:textId="6CC5C86C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0" w:history="1">
            <w:r w:rsidRPr="00583C41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29EB" w14:textId="6E308F05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1" w:history="1">
            <w:r w:rsidRPr="00583C41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DF6F" w14:textId="06AD2AAC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2" w:history="1">
            <w:r w:rsidRPr="00583C41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Anagrafica dei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6E9B" w14:textId="1B4D3034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3" w:history="1">
            <w:r w:rsidRPr="00583C41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FC84" w14:textId="3B229D1A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4" w:history="1">
            <w:r w:rsidRPr="00583C41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FD03" w14:textId="0A89769C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5" w:history="1">
            <w:r w:rsidRPr="00583C41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Rimozione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4A9B" w14:textId="1FEC1990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6" w:history="1">
            <w:r w:rsidRPr="00583C41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1970" w14:textId="158CE592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7" w:history="1">
            <w:r w:rsidRPr="00583C41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C4B8" w14:textId="673349C6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8" w:history="1">
            <w:r w:rsidRPr="00583C41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7108" w14:textId="288ECAAF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29" w:history="1">
            <w:r w:rsidRPr="00583C41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FD80" w14:textId="3A712272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0" w:history="1">
            <w:r w:rsidRPr="00583C41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D6D0" w14:textId="2AFCAFB4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1" w:history="1">
            <w:r w:rsidRPr="00583C41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D60E" w14:textId="3F1906E2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2" w:history="1">
            <w:r w:rsidRPr="00583C41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D7E3" w14:textId="68F11A03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3" w:history="1">
            <w:r w:rsidRPr="00583C41">
              <w:rPr>
                <w:rStyle w:val="Collegamentoipertestuale"/>
                <w:noProof/>
              </w:rPr>
              <w:t>3.4.3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0299" w14:textId="38950B0A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4" w:history="1">
            <w:r w:rsidRPr="00583C41">
              <w:rPr>
                <w:rStyle w:val="Collegamentoipertestuale"/>
                <w:noProof/>
              </w:rPr>
              <w:t>3.4.4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66F9" w14:textId="3CFD5CA1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5" w:history="1">
            <w:r w:rsidRPr="00583C41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2B8E" w14:textId="05C5D57D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6" w:history="1">
            <w:r w:rsidRPr="00583C41">
              <w:rPr>
                <w:rStyle w:val="Collegamentoipertestuale"/>
                <w:noProof/>
              </w:rPr>
              <w:t>3.5.1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E344" w14:textId="216C0A2C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7" w:history="1">
            <w:r w:rsidRPr="00583C41">
              <w:rPr>
                <w:rStyle w:val="Collegamentoipertestuale"/>
                <w:noProof/>
              </w:rPr>
              <w:t>3.5.2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8B23" w14:textId="4A582169" w:rsidR="008B5F0B" w:rsidRDefault="008B5F0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8" w:history="1">
            <w:r w:rsidRPr="00583C41">
              <w:rPr>
                <w:rStyle w:val="Collegamentoipertestuale"/>
                <w:noProof/>
              </w:rPr>
              <w:t>3.5.3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729D" w14:textId="435E06E8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39" w:history="1">
            <w:r w:rsidRPr="00583C41">
              <w:rPr>
                <w:rStyle w:val="Collegamentoipertestuale"/>
                <w:noProof/>
              </w:rPr>
              <w:t>3.6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D405" w14:textId="54E1E0A4" w:rsidR="008B5F0B" w:rsidRDefault="008B5F0B">
          <w:pPr>
            <w:pStyle w:val="Sommario1"/>
            <w:rPr>
              <w:rFonts w:asciiTheme="minorHAnsi" w:eastAsia="ＭＳ 明朝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10643440" w:history="1">
            <w:r w:rsidRPr="00583C41">
              <w:rPr>
                <w:rStyle w:val="Collegamentoipertestuale"/>
              </w:rPr>
              <w:t>4</w:t>
            </w:r>
            <w:r>
              <w:rPr>
                <w:rFonts w:asciiTheme="minorHAnsi" w:eastAsia="ＭＳ 明朝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</w:rPr>
              <w:t>Requisiti non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F8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427545" w14:textId="0FC43AB7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41" w:history="1">
            <w:r w:rsidRPr="00583C41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Requisiti di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AD69" w14:textId="755EBD5C" w:rsidR="008B5F0B" w:rsidRDefault="008B5F0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643442" w:history="1">
            <w:r w:rsidRPr="00583C41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F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6AB6" w14:textId="08764353" w:rsidR="008B5F0B" w:rsidRDefault="008B5F0B">
          <w:pPr>
            <w:pStyle w:val="Sommario1"/>
            <w:rPr>
              <w:rFonts w:asciiTheme="minorHAnsi" w:eastAsia="ＭＳ 明朝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10643443" w:history="1">
            <w:r w:rsidRPr="00583C41">
              <w:rPr>
                <w:rStyle w:val="Collegamentoipertestuale"/>
              </w:rPr>
              <w:t>5</w:t>
            </w:r>
            <w:r>
              <w:rPr>
                <w:rFonts w:asciiTheme="minorHAnsi" w:eastAsia="ＭＳ 明朝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Pr="00583C41">
              <w:rPr>
                <w:rStyle w:val="Collegamentoipertestuale"/>
              </w:rPr>
              <w:t>Accettazione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_Toc10643443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F8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57A4AC" w14:textId="4A499FFF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0643408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0643409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EasyGDPR</w:t>
      </w:r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0643410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0643411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0643412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0643413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0643414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0643415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0643416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499F3442" w:rsidR="00CF18E7" w:rsidRPr="00C95BE5" w:rsidRDefault="00F12BB1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C95BE5">
        <w:rPr>
          <w:color w:val="auto"/>
        </w:rPr>
        <w:t xml:space="preserve">Crea </w:t>
      </w:r>
      <w:r w:rsidR="00C95BE5" w:rsidRPr="00C95BE5">
        <w:rPr>
          <w:color w:val="auto"/>
        </w:rPr>
        <w:t>nuova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5892CF8C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</w:p>
    <w:p w14:paraId="3481402F" w14:textId="518A7E1C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</w:p>
    <w:p w14:paraId="159743B3" w14:textId="5A1B17E7" w:rsidR="00C95BE5" w:rsidRPr="00FD3C50" w:rsidRDefault="00094C9F" w:rsidP="00C95BE5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inizio attività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36D04E65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0643417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0643418"/>
      <w:bookmarkEnd w:id="14"/>
      <w:r w:rsidRPr="00F12BB1"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0643419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0643420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0643421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6C6043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0643422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0643423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0643424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lastRenderedPageBreak/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0643425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0643426"/>
      <w:r w:rsidRPr="00F12BB1"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0643427"/>
      <w:r>
        <w:t>Presentazione</w:t>
      </w:r>
      <w:bookmarkEnd w:id="25"/>
    </w:p>
    <w:p w14:paraId="33521856" w14:textId="6F4F0A35" w:rsidR="004B2E8A" w:rsidRDefault="004B2E8A" w:rsidP="004B2E8A">
      <w:r w:rsidRPr="00F12BB1">
        <w:t xml:space="preserve">Il registro dei trattamenti deve presentare la lista di tutti i trattamenti inseriti, questi verranno visualizzati normalmente in modo compatto (mostrando solo le informazioni più </w:t>
      </w:r>
      <w:r w:rsidRPr="00F12BB1">
        <w:lastRenderedPageBreak/>
        <w:t>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0643428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0643429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0643430"/>
      <w:r w:rsidRPr="00F12BB1">
        <w:t>Calendario</w:t>
      </w:r>
      <w:bookmarkEnd w:id="28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Hlk10642911"/>
      <w:bookmarkStart w:id="30" w:name="_Toc10643431"/>
      <w:r>
        <w:t>Presentazione</w:t>
      </w:r>
      <w:bookmarkEnd w:id="30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DF728E0" w:rsidR="003F6EF6" w:rsidRDefault="003F6EF6" w:rsidP="00480D0C">
      <w:pPr>
        <w:pStyle w:val="Paragrafoelenco"/>
        <w:numPr>
          <w:ilvl w:val="3"/>
          <w:numId w:val="10"/>
        </w:numPr>
      </w:pPr>
      <w:r>
        <w:lastRenderedPageBreak/>
        <w:t>Selezionando un evento/</w:t>
      </w:r>
      <w:r w:rsidR="00802A0E">
        <w:t xml:space="preserve">attività </w:t>
      </w:r>
      <w:r>
        <w:t xml:space="preserve">si visualizzerà un popup con le informazioni </w:t>
      </w:r>
      <w:r w:rsidR="0018786C">
        <w:t>ad esso relative, inoltre verrà data la possibilità di modificarne i dettagli.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10643432"/>
      <w:r>
        <w:t>Inserimento Libero</w:t>
      </w:r>
      <w:bookmarkEnd w:id="31"/>
    </w:p>
    <w:p w14:paraId="2173603B" w14:textId="7C3911D6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>un evento/</w:t>
      </w:r>
      <w:r w:rsidR="00802A0E">
        <w:t>attività</w:t>
      </w:r>
      <w:r>
        <w:t xml:space="preserve"> </w:t>
      </w:r>
      <w:r w:rsidR="00C0111B">
        <w:t>nel periodo selezionato, durante la creazione si potranno specificare informazioni aggiuntive quali:</w:t>
      </w:r>
    </w:p>
    <w:p w14:paraId="4E65C626" w14:textId="29C22678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Scelta tra evento o </w:t>
      </w:r>
      <w:r w:rsidR="00802A0E">
        <w:t>attività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67568148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7D53A888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0643433"/>
      <w:r>
        <w:t>Inserimento Predefinito</w:t>
      </w:r>
      <w:bookmarkEnd w:id="32"/>
    </w:p>
    <w:p w14:paraId="2C190C07" w14:textId="2AF292A1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10643434"/>
      <w:r>
        <w:t>Notifica</w:t>
      </w:r>
      <w:bookmarkEnd w:id="33"/>
    </w:p>
    <w:p w14:paraId="668A7893" w14:textId="18EE97DE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o </w:t>
      </w:r>
      <w:r>
        <w:t>quando un’attività sta per iniziare, invierà delle notifiche</w:t>
      </w:r>
      <w:r w:rsidR="0018786C">
        <w:t xml:space="preserve"> ai responsabili.</w:t>
      </w:r>
    </w:p>
    <w:bookmarkEnd w:id="29"/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10643435"/>
      <w:r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10643436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10643437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10643438"/>
      <w:r>
        <w:t>Modifica</w:t>
      </w:r>
      <w:bookmarkEnd w:id="37"/>
    </w:p>
    <w:p w14:paraId="02F5730E" w14:textId="5C3B6C17" w:rsidR="00C81A72" w:rsidRDefault="00C81A72" w:rsidP="00792DC7">
      <w:r>
        <w:t>I documenti inseriti potranno essere scaricati, stampati o eliminati dal sistema.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38" w:name="_Toc10643439"/>
      <w:r>
        <w:t>Manuale</w:t>
      </w:r>
      <w:bookmarkEnd w:id="38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9" w:name="_Toc10643440"/>
      <w:r w:rsidRPr="00F12BB1">
        <w:lastRenderedPageBreak/>
        <w:t>Requisiti non Funzionali</w:t>
      </w:r>
      <w:bookmarkEnd w:id="39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0" w:name="_Toc10643441"/>
      <w:r w:rsidRPr="00F12BB1">
        <w:t>Requisiti di Prestazion</w:t>
      </w:r>
      <w:bookmarkEnd w:id="40"/>
      <w:r w:rsidR="008B5F0B">
        <w:t>e</w:t>
      </w:r>
      <w:bookmarkStart w:id="41" w:name="_GoBack"/>
      <w:bookmarkEnd w:id="41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5A15D2D1" w:rsidR="002F1E04" w:rsidRPr="00F12BB1" w:rsidRDefault="002F1E04" w:rsidP="00C3616D">
      <w:r>
        <w:t>Il sistema è certificato funzionante sui browser Google Chrome e Mozilla Firefox.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2" w:name="_Toc10643442"/>
      <w:r w:rsidRPr="00F12BB1">
        <w:t>Requisiti di Sicurezza</w:t>
      </w:r>
      <w:bookmarkEnd w:id="42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3" w:name="_Toc10643443"/>
      <w:r>
        <w:t>Accettazione dei requisiti</w:t>
      </w:r>
      <w:bookmarkEnd w:id="43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(gg/mm/aaaa):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7E30" w14:textId="77777777" w:rsidR="0072391E" w:rsidRDefault="0072391E" w:rsidP="00BB761F">
      <w:r>
        <w:separator/>
      </w:r>
    </w:p>
    <w:p w14:paraId="0A85F133" w14:textId="77777777" w:rsidR="0072391E" w:rsidRDefault="0072391E" w:rsidP="00BB761F"/>
    <w:p w14:paraId="4F82EB5F" w14:textId="77777777" w:rsidR="0072391E" w:rsidRDefault="0072391E" w:rsidP="00BB761F"/>
  </w:endnote>
  <w:endnote w:type="continuationSeparator" w:id="0">
    <w:p w14:paraId="64CC405D" w14:textId="77777777" w:rsidR="0072391E" w:rsidRDefault="0072391E" w:rsidP="00BB761F">
      <w:r>
        <w:continuationSeparator/>
      </w:r>
    </w:p>
    <w:p w14:paraId="0ACE1E02" w14:textId="77777777" w:rsidR="0072391E" w:rsidRDefault="0072391E" w:rsidP="00BB761F"/>
    <w:p w14:paraId="2061ED9F" w14:textId="77777777" w:rsidR="0072391E" w:rsidRDefault="0072391E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672990FD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ED1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2D12" w14:textId="77777777" w:rsidR="0072391E" w:rsidRDefault="0072391E" w:rsidP="00BB761F">
      <w:r>
        <w:separator/>
      </w:r>
    </w:p>
    <w:p w14:paraId="24210107" w14:textId="77777777" w:rsidR="0072391E" w:rsidRDefault="0072391E" w:rsidP="00BB761F"/>
    <w:p w14:paraId="21313C31" w14:textId="77777777" w:rsidR="0072391E" w:rsidRDefault="0072391E" w:rsidP="00BB761F"/>
  </w:footnote>
  <w:footnote w:type="continuationSeparator" w:id="0">
    <w:p w14:paraId="19F81951" w14:textId="77777777" w:rsidR="0072391E" w:rsidRDefault="0072391E" w:rsidP="00BB761F">
      <w:r>
        <w:continuationSeparator/>
      </w:r>
    </w:p>
    <w:p w14:paraId="5DF0091F" w14:textId="77777777" w:rsidR="0072391E" w:rsidRDefault="0072391E" w:rsidP="00BB761F"/>
    <w:p w14:paraId="5C9ADC27" w14:textId="77777777" w:rsidR="0072391E" w:rsidRDefault="0072391E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42959968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8B2148">
      <w:t>7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0"/>
  </w:num>
  <w:num w:numId="5">
    <w:abstractNumId w:val="14"/>
  </w:num>
  <w:num w:numId="6">
    <w:abstractNumId w:val="7"/>
  </w:num>
  <w:num w:numId="7">
    <w:abstractNumId w:val="19"/>
  </w:num>
  <w:num w:numId="8">
    <w:abstractNumId w:val="33"/>
  </w:num>
  <w:num w:numId="9">
    <w:abstractNumId w:val="5"/>
  </w:num>
  <w:num w:numId="10">
    <w:abstractNumId w:val="29"/>
  </w:num>
  <w:num w:numId="11">
    <w:abstractNumId w:val="6"/>
  </w:num>
  <w:num w:numId="12">
    <w:abstractNumId w:val="16"/>
  </w:num>
  <w:num w:numId="13">
    <w:abstractNumId w:val="30"/>
  </w:num>
  <w:num w:numId="14">
    <w:abstractNumId w:val="18"/>
  </w:num>
  <w:num w:numId="15">
    <w:abstractNumId w:val="21"/>
  </w:num>
  <w:num w:numId="16">
    <w:abstractNumId w:val="4"/>
  </w:num>
  <w:num w:numId="17">
    <w:abstractNumId w:val="11"/>
  </w:num>
  <w:num w:numId="18">
    <w:abstractNumId w:val="23"/>
  </w:num>
  <w:num w:numId="19">
    <w:abstractNumId w:val="34"/>
  </w:num>
  <w:num w:numId="20">
    <w:abstractNumId w:val="15"/>
  </w:num>
  <w:num w:numId="21">
    <w:abstractNumId w:val="0"/>
  </w:num>
  <w:num w:numId="22">
    <w:abstractNumId w:val="22"/>
  </w:num>
  <w:num w:numId="23">
    <w:abstractNumId w:val="32"/>
  </w:num>
  <w:num w:numId="24">
    <w:abstractNumId w:val="31"/>
  </w:num>
  <w:num w:numId="25">
    <w:abstractNumId w:val="9"/>
  </w:num>
  <w:num w:numId="26">
    <w:abstractNumId w:val="8"/>
  </w:num>
  <w:num w:numId="27">
    <w:abstractNumId w:val="27"/>
  </w:num>
  <w:num w:numId="28">
    <w:abstractNumId w:val="26"/>
  </w:num>
  <w:num w:numId="29">
    <w:abstractNumId w:val="2"/>
  </w:num>
  <w:num w:numId="30">
    <w:abstractNumId w:val="25"/>
  </w:num>
  <w:num w:numId="31">
    <w:abstractNumId w:val="23"/>
  </w:num>
  <w:num w:numId="32">
    <w:abstractNumId w:val="24"/>
  </w:num>
  <w:num w:numId="33">
    <w:abstractNumId w:val="17"/>
  </w:num>
  <w:num w:numId="34">
    <w:abstractNumId w:val="12"/>
  </w:num>
  <w:num w:numId="35">
    <w:abstractNumId w:val="2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4ED1"/>
    <w:rsid w:val="00015C21"/>
    <w:rsid w:val="00025935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22ABC"/>
    <w:rsid w:val="00252AA1"/>
    <w:rsid w:val="00257A8A"/>
    <w:rsid w:val="002778B6"/>
    <w:rsid w:val="00297B44"/>
    <w:rsid w:val="002A383C"/>
    <w:rsid w:val="002B2883"/>
    <w:rsid w:val="002F1E04"/>
    <w:rsid w:val="0031625A"/>
    <w:rsid w:val="003520FB"/>
    <w:rsid w:val="00390196"/>
    <w:rsid w:val="0039518E"/>
    <w:rsid w:val="003B3055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620E"/>
    <w:rsid w:val="0072391E"/>
    <w:rsid w:val="007267C9"/>
    <w:rsid w:val="00734266"/>
    <w:rsid w:val="00763E9D"/>
    <w:rsid w:val="007921DF"/>
    <w:rsid w:val="00792DC7"/>
    <w:rsid w:val="007B1C3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78A7"/>
    <w:rsid w:val="008E098B"/>
    <w:rsid w:val="008F62A9"/>
    <w:rsid w:val="008F689B"/>
    <w:rsid w:val="009019AB"/>
    <w:rsid w:val="00917790"/>
    <w:rsid w:val="009642BF"/>
    <w:rsid w:val="009B680E"/>
    <w:rsid w:val="009C047B"/>
    <w:rsid w:val="009C66E0"/>
    <w:rsid w:val="009D4A9B"/>
    <w:rsid w:val="009E163D"/>
    <w:rsid w:val="00A17968"/>
    <w:rsid w:val="00A978E8"/>
    <w:rsid w:val="00AA7027"/>
    <w:rsid w:val="00AC149C"/>
    <w:rsid w:val="00AC5DA9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14F0-AE28-4260-80DB-165E5F39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24</cp:revision>
  <cp:lastPrinted>2019-06-05T14:10:00Z</cp:lastPrinted>
  <dcterms:created xsi:type="dcterms:W3CDTF">2019-02-25T10:06:00Z</dcterms:created>
  <dcterms:modified xsi:type="dcterms:W3CDTF">2019-06-05T14:10:00Z</dcterms:modified>
</cp:coreProperties>
</file>