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08" w:hanging="0"/>
        <w:jc w:val="center"/>
        <w:rPr>
          <w:b/>
          <w:b/>
          <w:sz w:val="52"/>
          <w:szCs w:val="52"/>
        </w:rPr>
      </w:pPr>
      <w:r>
        <w:drawing>
          <wp:anchor behindDoc="0" distT="0" distB="0" distL="0" distR="114300" simplePos="0" locked="0" layoutInCell="1" allowOverlap="1" relativeHeight="2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227455" cy="1227455"/>
            <wp:effectExtent l="0" t="0" r="0" b="0"/>
            <wp:wrapTight wrapText="bothSides">
              <wp:wrapPolygon edited="0">
                <wp:start x="6932" y="0"/>
                <wp:lineTo x="4568" y="993"/>
                <wp:lineTo x="183" y="4655"/>
                <wp:lineTo x="-155" y="7651"/>
                <wp:lineTo x="-155" y="13976"/>
                <wp:lineTo x="516" y="16970"/>
                <wp:lineTo x="5584" y="20973"/>
                <wp:lineTo x="6932" y="20973"/>
                <wp:lineTo x="14019" y="20973"/>
                <wp:lineTo x="15368" y="20973"/>
                <wp:lineTo x="20436" y="16970"/>
                <wp:lineTo x="21107" y="13976"/>
                <wp:lineTo x="21107" y="7651"/>
                <wp:lineTo x="20768" y="4655"/>
                <wp:lineTo x="16384" y="993"/>
                <wp:lineTo x="14019" y="0"/>
                <wp:lineTo x="6932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2"/>
          <w:szCs w:val="52"/>
        </w:rPr>
        <w:t>U</w:t>
      </w:r>
      <w:r>
        <w:rPr>
          <w:b/>
          <w:sz w:val="52"/>
          <w:szCs w:val="52"/>
        </w:rPr>
        <w:t>niversità degli Studi di Udine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Corso di Laurea Magistrale in Informatica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Laboratorio di Ingegneria del Software 2</w:t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Glossario</w:t>
      </w:r>
    </w:p>
    <w:p>
      <w:pPr>
        <w:pStyle w:val="Normal"/>
        <w:jc w:val="center"/>
        <w:rPr/>
      </w:pPr>
      <w:r>
        <w:rPr>
          <w:sz w:val="48"/>
          <w:szCs w:val="48"/>
        </w:rPr>
        <w:t xml:space="preserve">Versione </w:t>
      </w:r>
      <w:r>
        <w:rPr>
          <w:sz w:val="48"/>
          <w:szCs w:val="48"/>
        </w:rPr>
        <w:t>3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b/>
          <w:sz w:val="48"/>
          <w:szCs w:val="48"/>
        </w:rPr>
        <w:t>Gruppo</w:t>
      </w:r>
      <w:r>
        <w:rPr>
          <w:sz w:val="48"/>
          <w:szCs w:val="48"/>
        </w:rPr>
        <w:t>: Excelsior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/>
        <w:drawing>
          <wp:inline distT="0" distB="0" distL="0" distR="0">
            <wp:extent cx="1255395" cy="1255395"/>
            <wp:effectExtent l="0" t="0" r="0" b="0"/>
            <wp:docPr id="2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2"/>
          <w:szCs w:val="32"/>
        </w:rPr>
      </w:pPr>
      <w:bookmarkStart w:id="0" w:name="_Hlk532377126"/>
      <w:bookmarkStart w:id="1" w:name="_Hlk532377126"/>
      <w:bookmarkEnd w:id="1"/>
      <w:r>
        <w:rPr>
          <w:b/>
          <w:sz w:val="32"/>
          <w:szCs w:val="32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b/>
          <w:sz w:val="48"/>
          <w:szCs w:val="48"/>
        </w:rPr>
        <w:t xml:space="preserve">Progetto: </w:t>
      </w:r>
      <w:r>
        <w:rPr>
          <w:sz w:val="48"/>
          <w:szCs w:val="48"/>
        </w:rPr>
        <w:t>EasyGDPR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b/>
          <w:sz w:val="48"/>
          <w:szCs w:val="48"/>
        </w:rPr>
        <w:t xml:space="preserve">Committente: </w:t>
      </w:r>
      <w:bookmarkStart w:id="2" w:name="_Hlk533168566"/>
      <w:bookmarkEnd w:id="2"/>
      <w:r>
        <w:rPr>
          <w:sz w:val="48"/>
          <w:szCs w:val="48"/>
        </w:rPr>
        <w:t>Accademia delle Belle Arti (Udine)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Versioni del Glossario</w:t>
      </w:r>
    </w:p>
    <w:tbl>
      <w:tblPr>
        <w:tblStyle w:val="Tabellagriglia1chiara"/>
        <w:tblpPr w:bottomFromText="0" w:horzAnchor="margin" w:leftFromText="141" w:rightFromText="141" w:tblpX="0" w:tblpY="133" w:topFromText="0" w:vertAnchor="text"/>
        <w:tblW w:w="9628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69"/>
        <w:gridCol w:w="1420"/>
        <w:gridCol w:w="3543"/>
        <w:gridCol w:w="1558"/>
        <w:gridCol w:w="18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Versione</w:t>
            </w:r>
          </w:p>
        </w:tc>
        <w:tc>
          <w:tcPr>
            <w:tcW w:w="1420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Autore</w:t>
            </w:r>
          </w:p>
        </w:tc>
        <w:tc>
          <w:tcPr>
            <w:tcW w:w="3543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558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Data Stesura</w:t>
            </w:r>
          </w:p>
        </w:tc>
        <w:tc>
          <w:tcPr>
            <w:tcW w:w="1838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Data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Approvazione</w:t>
            </w:r>
          </w:p>
        </w:tc>
      </w:tr>
      <w:tr>
        <w:trPr/>
        <w:tc>
          <w:tcPr>
            <w:tcW w:w="1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14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Giovanni</w:t>
            </w:r>
          </w:p>
        </w:tc>
        <w:tc>
          <w:tcPr>
            <w:tcW w:w="35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Prima bozza del Glossario</w:t>
            </w:r>
          </w:p>
        </w:tc>
        <w:tc>
          <w:tcPr>
            <w:tcW w:w="155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16/11/18</w:t>
            </w:r>
          </w:p>
        </w:tc>
        <w:tc>
          <w:tcPr>
            <w:tcW w:w="18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14/11/18</w:t>
            </w:r>
          </w:p>
        </w:tc>
      </w:tr>
      <w:tr>
        <w:trPr/>
        <w:tc>
          <w:tcPr>
            <w:tcW w:w="1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</w:t>
            </w:r>
          </w:p>
        </w:tc>
        <w:tc>
          <w:tcPr>
            <w:tcW w:w="14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Giovanni</w:t>
            </w:r>
          </w:p>
        </w:tc>
        <w:tc>
          <w:tcPr>
            <w:tcW w:w="35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Aggiunta nuova terminologia; creazione allegati 1 e 2</w:t>
            </w:r>
          </w:p>
        </w:tc>
        <w:tc>
          <w:tcPr>
            <w:tcW w:w="155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09/02/19</w:t>
            </w:r>
          </w:p>
        </w:tc>
        <w:tc>
          <w:tcPr>
            <w:tcW w:w="18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09/02/19</w:t>
            </w:r>
          </w:p>
        </w:tc>
      </w:tr>
      <w:tr>
        <w:trPr/>
        <w:tc>
          <w:tcPr>
            <w:tcW w:w="1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</w:t>
            </w:r>
          </w:p>
        </w:tc>
        <w:tc>
          <w:tcPr>
            <w:tcW w:w="14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Giovanni</w:t>
            </w:r>
          </w:p>
        </w:tc>
        <w:tc>
          <w:tcPr>
            <w:tcW w:w="35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Divisione manuale in 3 parti; aggiunta screenshot sistema</w:t>
            </w:r>
          </w:p>
        </w:tc>
        <w:tc>
          <w:tcPr>
            <w:tcW w:w="155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05/06/19</w:t>
            </w:r>
          </w:p>
        </w:tc>
        <w:tc>
          <w:tcPr>
            <w:tcW w:w="18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10/06/19</w:t>
            </w:r>
          </w:p>
        </w:tc>
      </w:tr>
      <w:tr>
        <w:trPr/>
        <w:tc>
          <w:tcPr>
            <w:tcW w:w="1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5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5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8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bookmarkStart w:id="3" w:name="_Hlk536610786"/>
            <w:bookmarkStart w:id="4" w:name="_Hlk536610786"/>
            <w:bookmarkEnd w:id="4"/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  <w:id w:val="1551427937"/>
      </w:sdtPr>
      <w:sdtContent>
        <w:p>
          <w:pPr>
            <w:pStyle w:val="TOCHeading"/>
            <w:rPr/>
          </w:pPr>
          <w:r>
            <w:rPr/>
            <w:t>Sommario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Contents1"/>
            <w:tabs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sz w:val="22"/>
              <w:szCs w:val="22"/>
              <w:lang w:eastAsia="ja-JP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109959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_Toc10995995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Parte 1 - Glossario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sz w:val="22"/>
              <w:szCs w:val="22"/>
              <w:lang w:eastAsia="ja-JP"/>
            </w:rPr>
          </w:pPr>
          <w:hyperlink w:anchor="_Toc109959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_Toc10995996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Parte 2 – Guida alle funzionalità di EasyGDPR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sz w:val="22"/>
              <w:szCs w:val="22"/>
              <w:lang w:eastAsia="ja-JP"/>
            </w:rPr>
          </w:pPr>
          <w:hyperlink w:anchor="_Toc109959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_Toc10995997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Elementi comuni nel sistema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sz w:val="22"/>
              <w:szCs w:val="22"/>
              <w:lang w:eastAsia="ja-JP"/>
            </w:rPr>
          </w:pPr>
          <w:hyperlink w:anchor="_Toc10995998">
            <w:r>
              <w:rPr>
                <w:webHidden/>
                <w:rStyle w:val="IndexLink"/>
                <w:vanish w:val="false"/>
              </w:rPr>
              <w:t>Pagina</w:t>
            </w:r>
            <w:r>
              <w:rPr>
                <w:rStyle w:val="IndexLink"/>
                <w:bCs/>
              </w:rPr>
              <w:t xml:space="preserve"> </w:t>
            </w:r>
            <w:r>
              <w:rPr>
                <w:rStyle w:val="IndexLink"/>
              </w:rPr>
              <w:t>Home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_Toc10995998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sz w:val="22"/>
              <w:szCs w:val="22"/>
              <w:lang w:eastAsia="ja-JP"/>
            </w:rPr>
          </w:pPr>
          <w:hyperlink w:anchor="_Toc109959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_Toc10995999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Pagina Home: accesso alle altre schermate del sistema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sz w:val="22"/>
              <w:szCs w:val="22"/>
              <w:lang w:eastAsia="ja-JP"/>
            </w:rPr>
          </w:pPr>
          <w:hyperlink w:anchor="_Toc109960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_Toc10996000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Pagina Calendario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sz w:val="22"/>
              <w:szCs w:val="22"/>
              <w:lang w:eastAsia="ja-JP"/>
            </w:rPr>
          </w:pPr>
          <w:hyperlink w:anchor="_Toc109960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_Toc10996001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Pagina Calendario: creazione di un nuovo evento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sz w:val="22"/>
              <w:szCs w:val="22"/>
              <w:lang w:eastAsia="ja-JP"/>
            </w:rPr>
          </w:pPr>
          <w:hyperlink w:anchor="_Toc109960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_Toc10996002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Pagina Calendario: visualizzare i dettagli di un evento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sz w:val="22"/>
              <w:szCs w:val="22"/>
              <w:lang w:eastAsia="ja-JP"/>
            </w:rPr>
          </w:pPr>
          <w:hyperlink w:anchor="_Toc109960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_Toc10996003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Pagina Calendario: modificare un evento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sz w:val="22"/>
              <w:szCs w:val="22"/>
              <w:lang w:eastAsia="ja-JP"/>
            </w:rPr>
          </w:pPr>
          <w:hyperlink w:anchor="_Toc109960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_Toc10996004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Pagina Eventi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sz w:val="22"/>
              <w:szCs w:val="22"/>
              <w:lang w:eastAsia="ja-JP"/>
            </w:rPr>
          </w:pPr>
          <w:hyperlink w:anchor="_Toc10996005">
            <w:r>
              <w:rPr>
                <w:webHidden/>
                <w:rStyle w:val="IndexLink"/>
                <w:vanish w:val="false"/>
                <w:lang w:eastAsia="ja-JP"/>
              </w:rPr>
              <w:t>Pagina Eventi: cancellare un evento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_Toc10996005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sz w:val="22"/>
              <w:szCs w:val="22"/>
              <w:lang w:eastAsia="ja-JP"/>
            </w:rPr>
          </w:pPr>
          <w:hyperlink w:anchor="_Toc10996006">
            <w:r>
              <w:rPr>
                <w:webHidden/>
                <w:rStyle w:val="IndexLink"/>
                <w:vanish w:val="false"/>
                <w:lang w:eastAsia="ja-JP"/>
              </w:rPr>
              <w:t>Pagina Manuale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_Toc10996006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sz w:val="22"/>
              <w:szCs w:val="22"/>
              <w:lang w:eastAsia="ja-JP"/>
            </w:rPr>
          </w:pPr>
          <w:hyperlink w:anchor="_Toc10996007">
            <w:r>
              <w:rPr>
                <w:webHidden/>
                <w:rStyle w:val="IndexLink"/>
                <w:vanish w:val="false"/>
                <w:lang w:eastAsia="ja-JP"/>
              </w:rPr>
              <w:t>Meccanismo di alert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_Toc10996007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sz w:val="22"/>
              <w:szCs w:val="22"/>
              <w:lang w:eastAsia="ja-JP"/>
            </w:rPr>
          </w:pPr>
          <w:hyperlink w:anchor="_Toc109960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_Toc10996008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Parte 3 – Appendice con allegati</w:t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sz w:val="22"/>
              <w:szCs w:val="22"/>
              <w:lang w:eastAsia="ja-JP"/>
            </w:rPr>
          </w:pPr>
          <w:hyperlink w:anchor="_Toc109960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_Toc10996009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Allegati</w:t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sz w:val="22"/>
              <w:szCs w:val="22"/>
              <w:lang w:eastAsia="ja-JP"/>
            </w:rPr>
          </w:pPr>
          <w:hyperlink w:anchor="_Toc109960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_Toc10996010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Fonti</w:t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" w:name="_Toc10995995"/>
      <w:bookmarkEnd w:id="5"/>
      <w:r>
        <w:rPr/>
        <w:t>Parte 1 - Glossario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Accountability: </w:t>
      </w:r>
      <w:r>
        <w:rPr/>
        <w:t>principio per il quale Titolare e Responsabili del Trattamento sono responsabili del fatto di dover adottare misure per assicurare l’applicazione del GDPR.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Anonimizzazione: </w:t>
      </w:r>
      <w:r>
        <w:rPr/>
        <w:t>modifica ai dati personali e sensibili di una persona fisica per non renderne possibile l’identificazione in alcun modo, neanche con l’utilizzo di informazioni aggiuntive (cosa invece possibile nella pseudonimizzazione).</w:t>
      </w:r>
      <w:r>
        <w:rPr>
          <w:b/>
        </w:rPr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Archivio: </w:t>
      </w:r>
      <w:r>
        <w:rPr/>
        <w:t>raccolta di dati personali organizzati in un insieme ordinato e indicizzato (in maniera elettronica o meno).</w:t>
      </w:r>
      <w:r>
        <w:rPr>
          <w:b/>
        </w:rPr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Autorità di controllo: </w:t>
      </w:r>
      <w:r>
        <w:rPr/>
        <w:t xml:space="preserve">autorità pubbliche indipendenti che verificano il rispetto della GDPR, in ogni paese membro. In Italia l’autorità di controllo è il Garante per la protezione dei dati personali (Garante della Privacy, sito web: </w:t>
      </w:r>
      <w:hyperlink r:id="rId4">
        <w:r>
          <w:rPr>
            <w:rStyle w:val="InternetLink"/>
          </w:rPr>
          <w:t>https://www.garanteprivacy.it/</w:t>
        </w:r>
      </w:hyperlink>
      <w:r>
        <w:rPr/>
        <w:t>).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Cifratura: </w:t>
      </w:r>
      <w:r>
        <w:rPr/>
        <w:t>vedi la voce “Pseudonimizzazione”.</w:t>
        <w:br/>
      </w:r>
    </w:p>
    <w:p>
      <w:pPr>
        <w:pStyle w:val="Normal"/>
        <w:rPr>
          <w:b/>
          <w:b/>
          <w:bCs/>
          <w:highlight w:val="white"/>
        </w:rPr>
      </w:pPr>
      <w:r>
        <w:rPr>
          <w:rStyle w:val="Voce"/>
          <w:b/>
          <w:bCs/>
          <w:shd w:fill="FFFFFF" w:val="clear"/>
        </w:rPr>
        <w:t>Compliance:</w:t>
      </w:r>
      <w:r>
        <w:rPr>
          <w:b/>
          <w:bCs/>
          <w:shd w:fill="FFFFFF" w:val="clear"/>
        </w:rPr>
        <w:t xml:space="preserve"> </w:t>
      </w:r>
      <w:r>
        <w:rPr>
          <w:shd w:fill="FFFFFF" w:val="clear"/>
        </w:rPr>
        <w:t>principio di conformità alle regole e disposizioni del GDPR e alle normative cogenti.</w:t>
      </w:r>
      <w:r>
        <w:rPr>
          <w:b/>
        </w:rPr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Consenso dell’interessato: </w:t>
      </w:r>
      <w:r>
        <w:rPr/>
        <w:t>qualsiasi manifestazione libera e volontaria con cui un interessato manifesti inequivocabilmente il proprio assenso al trattamento dei propri dati personali.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Contitolare del Trattamento: </w:t>
      </w:r>
      <w:r>
        <w:rPr/>
        <w:t>quando due o più titolari del trattamento ne determinano assieme finalità e mezzi, essi sono contitolari del trattamento e devono collaborare tra loro in maniera trasparente, dividendosi le responsabilità relative all’adempimento del GDPR.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Data Breach: q</w:t>
      </w:r>
      <w:r>
        <w:rPr/>
        <w:t xml:space="preserve">ualsiasi violazione di sicurezza che porta alla distruzione, perdita, modifica, divulgazione non autorizzata o accesso non autorizzato ai dati trattati. </w:t>
        <w:br/>
        <w:t xml:space="preserve">Tale violazione può essere accidentale o conseguenza di comportamenti illeciti e può avvenire in </w:t>
      </w:r>
      <w:r>
        <w:rPr>
          <w:u w:val="single"/>
        </w:rPr>
        <w:t xml:space="preserve">qualsiasi </w:t>
      </w:r>
      <w:r>
        <w:rPr/>
        <w:t xml:space="preserve">modo (e-mail mandata a un destinatario errato, furto di un computer contenente dati degli interessati, fulmine che danneggia i server, smarrimento di una cartellina di documenti, cyber-attacco…). </w:t>
        <w:br/>
        <w:t xml:space="preserve">Ogni data breach deve essere segnalata al Garante della Privacy entro 72 ore dal momento in cui si è venuti a conoscenza della violazione, mentre l’organizzazione ha invece 24 ore di tempo dalla scoperta dell’evento per comunicare al Garante le informazioni minime necessarie a consentire una prima valutazione dell’entità della violazione. </w:t>
        <w:br/>
      </w:r>
      <w:r>
        <w:rPr>
          <w:b/>
          <w:bCs/>
        </w:rPr>
        <w:br/>
        <w:t xml:space="preserve">N.B: </w:t>
      </w:r>
      <w:r>
        <w:rPr/>
        <w:t>Un modello di segnalazione di data breach è presente nell’Appendice 2 del glossario.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Data Protection Officer (DPO): </w:t>
      </w:r>
      <w:r>
        <w:rPr/>
        <w:t>persona fisica responsabile di verificare che un’organizzazione rispetti le normative europee e nazionali in materia di protezione dei dati personali. La nomina di un DPO all’interno di un’azienda è obbligatoria se:</w:t>
      </w:r>
    </w:p>
    <w:p>
      <w:pPr>
        <w:pStyle w:val="ListParagraph"/>
        <w:numPr>
          <w:ilvl w:val="0"/>
          <w:numId w:val="4"/>
        </w:numPr>
        <w:rPr/>
      </w:pPr>
      <w:r>
        <w:rPr/>
        <w:t>il trattamento è effettuato da un’autorità o un organismo pubblico (eccezion fatta per le autorità giurisdizionali nel momento in cui esercitano la loro autorità)</w:t>
      </w:r>
    </w:p>
    <w:p>
      <w:pPr>
        <w:pStyle w:val="ListParagraph"/>
        <w:numPr>
          <w:ilvl w:val="0"/>
          <w:numId w:val="4"/>
        </w:numPr>
        <w:rPr/>
      </w:pPr>
      <w:r>
        <w:rPr/>
        <w:t>il trattamento sia volto al monitoraggio regolare, sistematico e su larga scala degli interessati</w:t>
      </w:r>
    </w:p>
    <w:p>
      <w:pPr>
        <w:pStyle w:val="ListParagraph"/>
        <w:numPr>
          <w:ilvl w:val="0"/>
          <w:numId w:val="4"/>
        </w:numPr>
        <w:rPr/>
      </w:pPr>
      <w:r>
        <w:rPr/>
        <w:t>il trattamento riguardi dati sensibili e/o giudiziari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Dati Personali: </w:t>
      </w:r>
      <w:r>
        <w:rPr/>
        <w:t xml:space="preserve">informazioni relative a un utente di qualsiasi tipo trattate nell’organizzazione; si distinguono in: </w:t>
      </w:r>
    </w:p>
    <w:p>
      <w:pPr>
        <w:pStyle w:val="ListParagraph"/>
        <w:numPr>
          <w:ilvl w:val="0"/>
          <w:numId w:val="5"/>
        </w:numPr>
        <w:rPr/>
      </w:pPr>
      <w:r>
        <w:rPr/>
        <w:t>Dati Identificativi: informazioni che identificano o possono identificare una persona</w:t>
      </w:r>
    </w:p>
    <w:p>
      <w:pPr>
        <w:pStyle w:val="ListParagraph"/>
        <w:numPr>
          <w:ilvl w:val="0"/>
          <w:numId w:val="5"/>
        </w:numPr>
        <w:rPr/>
      </w:pPr>
      <w:r>
        <w:rPr/>
        <w:t>Dati Sensibili: informazioni relative a origine razziale/etnica, affiliazioni politiche, religiose e/o filosofiche, adesione a sindacati, dati relativi a sessualità/orientamento sessuale della persona. I dati sensibili comprendono dati genetici (es. gruppo sanguigno), biometrici (es. immagine facciale) e sulla salute (es. malattie croniche)</w:t>
      </w:r>
    </w:p>
    <w:p>
      <w:pPr>
        <w:pStyle w:val="ListParagraph"/>
        <w:numPr>
          <w:ilvl w:val="0"/>
          <w:numId w:val="5"/>
        </w:numPr>
        <w:rPr/>
      </w:pPr>
      <w:r>
        <w:rPr/>
        <w:t>Dati Giudiziari: relativi a condanne penali o reati</w:t>
      </w:r>
    </w:p>
    <w:p>
      <w:pPr>
        <w:pStyle w:val="ListParagraph"/>
        <w:numPr>
          <w:ilvl w:val="0"/>
          <w:numId w:val="5"/>
        </w:numPr>
        <w:rPr/>
      </w:pPr>
      <w:r>
        <w:rPr/>
        <w:t>Dati Comuni: dati che non rientrano nelle categorie precedenti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Garante della Privacy: </w:t>
      </w:r>
      <w:r>
        <w:rPr/>
        <w:t>vedi la voce “autorità di controllo”.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GDPR: </w:t>
      </w:r>
      <w:r>
        <w:rPr/>
        <w:t xml:space="preserve">Sigla del regolamento UE 679/2016 e delle direttive UR 680/2016 e 681/2016 in materia di protezione dei dati personali. Il testo completo del regolamento 679/2016 è reperibile nella </w:t>
      </w:r>
      <w:hyperlink w:anchor="_Parte_3_–">
        <w:r>
          <w:rPr>
            <w:rStyle w:val="InternetLink"/>
          </w:rPr>
          <w:t>Parte 3 (Appendice con allegati)</w:t>
        </w:r>
      </w:hyperlink>
      <w:r>
        <w:rPr/>
        <w:t xml:space="preserve"> di questo Manuale.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Informativa sulla Privacy: </w:t>
      </w:r>
      <w:r>
        <w:rPr/>
        <w:t>comunicazione rivolta agli interessati che li informa sulle finalità e sulle modalità del trattamento dei dati raccolti dall’azienda e/o da terzi (autorizzati dall’azienda). L’informativa deve precisare:</w:t>
      </w:r>
    </w:p>
    <w:p>
      <w:pPr>
        <w:pStyle w:val="ListParagraph"/>
        <w:numPr>
          <w:ilvl w:val="0"/>
          <w:numId w:val="6"/>
        </w:numPr>
        <w:rPr/>
      </w:pPr>
      <w:r>
        <w:rPr/>
        <w:t>quali siano i dati strettamente necessari al trattamento (e quindi se l’interessato è obbligato a fornire tali dati) e quali sono invece facoltativi al trattamento</w:t>
      </w:r>
    </w:p>
    <w:p>
      <w:pPr>
        <w:pStyle w:val="ListParagraph"/>
        <w:numPr>
          <w:ilvl w:val="0"/>
          <w:numId w:val="6"/>
        </w:numPr>
        <w:rPr/>
      </w:pPr>
      <w:r>
        <w:rPr/>
        <w:t>se vi siano soggetti ai quali i dati personali dell’interessato possano essere comunicati e/o diffusi e quali siano questi soggetti (se ve ne sono)</w:t>
      </w:r>
    </w:p>
    <w:p>
      <w:pPr>
        <w:pStyle w:val="ListParagraph"/>
        <w:numPr>
          <w:ilvl w:val="0"/>
          <w:numId w:val="6"/>
        </w:numPr>
        <w:rPr/>
      </w:pPr>
      <w:r>
        <w:rPr/>
        <w:t>quali sono le conseguenze nel caso che l’interessato non fornisca i propri dati</w:t>
      </w:r>
    </w:p>
    <w:p>
      <w:pPr>
        <w:pStyle w:val="ListParagraph"/>
        <w:numPr>
          <w:ilvl w:val="0"/>
          <w:numId w:val="6"/>
        </w:numPr>
        <w:rPr/>
      </w:pPr>
      <w:r>
        <w:rPr/>
        <w:t>chi è il titolare del trattamento, nonché l’eventuale responsabile del trattamento, riportando inoltre i contatti di queste figure</w:t>
      </w:r>
    </w:p>
    <w:p>
      <w:pPr>
        <w:pStyle w:val="Normal"/>
        <w:rPr/>
      </w:pPr>
      <w:r>
        <w:rPr/>
        <w:t>L’interessato deve poter esprimere il suo consenso, accettando quindi che i suoi dati vengano raccolti per gli scopi descritti. Se l’interessato è al di sotto dei 16 anni (in certi casi 13) il consenso deve essere firmato da un genitore.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Interessato al trattamento: </w:t>
      </w:r>
      <w:r>
        <w:rPr/>
        <w:t>qualsiasi persona fisica i cui dati personali vengono raccolti dall’organizzazione. Ogni interessato ha i seguenti diritti:</w:t>
      </w:r>
    </w:p>
    <w:p>
      <w:pPr>
        <w:pStyle w:val="ListParagraph"/>
        <w:numPr>
          <w:ilvl w:val="0"/>
          <w:numId w:val="7"/>
        </w:numPr>
        <w:rPr/>
      </w:pPr>
      <w:r>
        <w:rPr>
          <w:shd w:fill="FFFFFF" w:val="clear"/>
        </w:rPr>
        <w:t>diritto di ottenere informazioni su quali dati sono trattati dal titolare (diritto di informazione); </w:t>
      </w:r>
    </w:p>
    <w:p>
      <w:pPr>
        <w:pStyle w:val="ListParagraph"/>
        <w:numPr>
          <w:ilvl w:val="0"/>
          <w:numId w:val="7"/>
        </w:numPr>
        <w:rPr/>
      </w:pPr>
      <w:r>
        <w:rPr>
          <w:shd w:fill="FFFFFF" w:val="clear"/>
        </w:rPr>
        <w:t>diritto di chiedere ed ottenere in forma intellegibile i dati in possesso del titolare (diritto di </w:t>
      </w:r>
      <w:r>
        <w:rPr>
          <w:rStyle w:val="Strong"/>
          <w:b w:val="false"/>
          <w:color w:val="000000" w:themeColor="text1"/>
          <w:spacing w:val="8"/>
          <w:shd w:fill="FFFFFF" w:val="clear"/>
        </w:rPr>
        <w:t>accesso</w:t>
      </w:r>
      <w:r>
        <w:rPr>
          <w:shd w:fill="FFFFFF" w:val="clear"/>
        </w:rPr>
        <w:t>);</w:t>
      </w:r>
    </w:p>
    <w:p>
      <w:pPr>
        <w:pStyle w:val="ListParagraph"/>
        <w:numPr>
          <w:ilvl w:val="0"/>
          <w:numId w:val="7"/>
        </w:numPr>
        <w:rPr/>
      </w:pPr>
      <w:r>
        <w:rPr>
          <w:shd w:fill="FFFFFF" w:val="clear"/>
        </w:rPr>
        <w:t>diritto di </w:t>
      </w:r>
      <w:r>
        <w:rPr>
          <w:rStyle w:val="Strong"/>
          <w:b w:val="false"/>
          <w:color w:val="000000" w:themeColor="text1"/>
          <w:spacing w:val="8"/>
          <w:shd w:fill="FFFFFF" w:val="clear"/>
        </w:rPr>
        <w:t>revocare</w:t>
      </w:r>
      <w:r>
        <w:rPr>
          <w:rStyle w:val="Strong"/>
          <w:color w:val="000000" w:themeColor="text1"/>
          <w:spacing w:val="8"/>
          <w:shd w:fill="FFFFFF" w:val="clear"/>
        </w:rPr>
        <w:t xml:space="preserve"> </w:t>
      </w:r>
      <w:r>
        <w:rPr>
          <w:rStyle w:val="Strong"/>
          <w:b w:val="false"/>
          <w:color w:val="000000" w:themeColor="text1"/>
          <w:spacing w:val="8"/>
          <w:shd w:fill="FFFFFF" w:val="clear"/>
        </w:rPr>
        <w:t>il</w:t>
      </w:r>
      <w:r>
        <w:rPr>
          <w:rStyle w:val="Strong"/>
          <w:color w:val="000000" w:themeColor="text1"/>
          <w:spacing w:val="8"/>
          <w:shd w:fill="FFFFFF" w:val="clear"/>
        </w:rPr>
        <w:t xml:space="preserve"> </w:t>
      </w:r>
      <w:r>
        <w:rPr>
          <w:rStyle w:val="Strong"/>
          <w:b w:val="false"/>
          <w:color w:val="000000" w:themeColor="text1"/>
          <w:spacing w:val="8"/>
          <w:shd w:fill="FFFFFF" w:val="clear"/>
        </w:rPr>
        <w:t>consenso</w:t>
      </w:r>
      <w:r>
        <w:rPr>
          <w:shd w:fill="FFFFFF" w:val="clear"/>
        </w:rPr>
        <w:t> in qualsiasi momento; </w:t>
      </w:r>
    </w:p>
    <w:p>
      <w:pPr>
        <w:pStyle w:val="ListParagraph"/>
        <w:numPr>
          <w:ilvl w:val="0"/>
          <w:numId w:val="7"/>
        </w:numPr>
        <w:rPr/>
      </w:pPr>
      <w:r>
        <w:rPr>
          <w:shd w:fill="FFFFFF" w:val="clear"/>
        </w:rPr>
        <w:t>diritto di esercitare l'</w:t>
      </w:r>
      <w:r>
        <w:rPr>
          <w:rStyle w:val="Strong"/>
          <w:b w:val="false"/>
          <w:color w:val="000000" w:themeColor="text1"/>
          <w:spacing w:val="8"/>
          <w:shd w:fill="FFFFFF" w:val="clear"/>
        </w:rPr>
        <w:t>opposizione</w:t>
      </w:r>
      <w:r>
        <w:rPr>
          <w:shd w:fill="FFFFFF" w:val="clear"/>
        </w:rPr>
        <w:t> (in toto o in parte) al trattamento;</w:t>
      </w:r>
    </w:p>
    <w:p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  <w:spacing w:val="8"/>
          <w:shd w:fill="FFFFFF" w:val="clear"/>
        </w:rPr>
        <w:t>diritto di opporsi ai </w:t>
      </w:r>
      <w:hyperlink r:id="rId5" w:tgtFrame="Profilazione e trattamenti automatizzati">
        <w:r>
          <w:rPr>
            <w:rStyle w:val="InternetLink"/>
            <w:color w:val="000000" w:themeColor="text1"/>
            <w:spacing w:val="8"/>
            <w:highlight w:val="white"/>
            <w:u w:val="none"/>
          </w:rPr>
          <w:t>trattamenti automatizzati</w:t>
        </w:r>
      </w:hyperlink>
      <w:r>
        <w:rPr>
          <w:color w:val="000000" w:themeColor="text1"/>
          <w:spacing w:val="8"/>
          <w:shd w:fill="FFFFFF" w:val="clear"/>
        </w:rPr>
        <w:t>; </w:t>
      </w:r>
    </w:p>
    <w:p>
      <w:pPr>
        <w:pStyle w:val="ListParagraph"/>
        <w:numPr>
          <w:ilvl w:val="0"/>
          <w:numId w:val="7"/>
        </w:numPr>
        <w:rPr/>
      </w:pPr>
      <w:r>
        <w:rPr>
          <w:shd w:fill="FFFFFF" w:val="clear"/>
        </w:rPr>
        <w:t>diritto di ottenere la </w:t>
      </w:r>
      <w:r>
        <w:rPr>
          <w:rStyle w:val="Strong"/>
          <w:b w:val="false"/>
          <w:color w:val="000000" w:themeColor="text1"/>
          <w:spacing w:val="8"/>
          <w:shd w:fill="FFFFFF" w:val="clear"/>
        </w:rPr>
        <w:t>cancellazione</w:t>
      </w:r>
      <w:r>
        <w:rPr>
          <w:shd w:fill="FFFFFF" w:val="clear"/>
        </w:rPr>
        <w:t> dei dati in possesso del titolare; </w:t>
      </w:r>
    </w:p>
    <w:p>
      <w:pPr>
        <w:pStyle w:val="ListParagraph"/>
        <w:numPr>
          <w:ilvl w:val="0"/>
          <w:numId w:val="7"/>
        </w:numPr>
        <w:rPr/>
      </w:pPr>
      <w:r>
        <w:rPr>
          <w:shd w:fill="FFFFFF" w:val="clear"/>
        </w:rPr>
        <w:t>diritto di ottenere l'</w:t>
      </w:r>
      <w:r>
        <w:rPr>
          <w:rStyle w:val="Strong"/>
          <w:b w:val="false"/>
          <w:color w:val="000000" w:themeColor="text1"/>
          <w:spacing w:val="8"/>
          <w:shd w:fill="FFFFFF" w:val="clear"/>
        </w:rPr>
        <w:t>aggiornamento</w:t>
      </w:r>
      <w:r>
        <w:rPr>
          <w:rStyle w:val="Strong"/>
          <w:color w:val="000000" w:themeColor="text1"/>
          <w:spacing w:val="8"/>
          <w:shd w:fill="FFFFFF" w:val="clear"/>
        </w:rPr>
        <w:t xml:space="preserve"> </w:t>
      </w:r>
      <w:r>
        <w:rPr>
          <w:rStyle w:val="Strong"/>
          <w:b w:val="false"/>
          <w:color w:val="000000" w:themeColor="text1"/>
          <w:spacing w:val="8"/>
          <w:shd w:fill="FFFFFF" w:val="clear"/>
        </w:rPr>
        <w:t>o la rettifica</w:t>
      </w:r>
      <w:r>
        <w:rPr>
          <w:shd w:fill="FFFFFF" w:val="clear"/>
        </w:rPr>
        <w:t> dei dati conferiti; </w:t>
      </w:r>
    </w:p>
    <w:p>
      <w:pPr>
        <w:pStyle w:val="ListParagraph"/>
        <w:numPr>
          <w:ilvl w:val="0"/>
          <w:numId w:val="7"/>
        </w:numPr>
        <w:rPr/>
      </w:pPr>
      <w:r>
        <w:rPr>
          <w:shd w:fill="FFFFFF" w:val="clear"/>
        </w:rPr>
        <w:t>diritto di chiedere ed ottenere</w:t>
      </w:r>
      <w:r>
        <w:rPr>
          <w:rStyle w:val="Strong"/>
          <w:color w:val="000000" w:themeColor="text1"/>
          <w:spacing w:val="8"/>
          <w:shd w:fill="FFFFFF" w:val="clear"/>
        </w:rPr>
        <w:t> </w:t>
      </w:r>
      <w:r>
        <w:rPr>
          <w:rStyle w:val="Strong"/>
          <w:b w:val="false"/>
          <w:color w:val="000000" w:themeColor="text1"/>
          <w:spacing w:val="8"/>
          <w:shd w:fill="FFFFFF" w:val="clear"/>
        </w:rPr>
        <w:t>trasformazione in forma anonima</w:t>
      </w:r>
      <w:r>
        <w:rPr>
          <w:shd w:fill="FFFFFF" w:val="clear"/>
        </w:rPr>
        <w:t> dei dati; </w:t>
      </w:r>
    </w:p>
    <w:p>
      <w:pPr>
        <w:pStyle w:val="ListParagraph"/>
        <w:numPr>
          <w:ilvl w:val="0"/>
          <w:numId w:val="7"/>
        </w:numPr>
        <w:rPr/>
      </w:pPr>
      <w:r>
        <w:rPr>
          <w:shd w:fill="FFFFFF" w:val="clear"/>
        </w:rPr>
        <w:t>diritto di chiedere e ottenere il </w:t>
      </w:r>
      <w:r>
        <w:rPr>
          <w:rStyle w:val="Strong"/>
          <w:b w:val="false"/>
          <w:color w:val="000000" w:themeColor="text1"/>
          <w:spacing w:val="8"/>
          <w:shd w:fill="FFFFFF" w:val="clear"/>
        </w:rPr>
        <w:t>blocco/la limitazione</w:t>
      </w:r>
      <w:r>
        <w:rPr>
          <w:shd w:fill="FFFFFF" w:val="clear"/>
        </w:rPr>
        <w:t> dei dati trattati in violazione di legge e dei dati dei quali non è più necessaria la conservazione in relazione agli </w:t>
      </w:r>
      <w:hyperlink r:id="rId6" w:tgtFrame="Finalità del trattamento">
        <w:r>
          <w:rPr>
            <w:rStyle w:val="InternetLink"/>
            <w:color w:val="000000" w:themeColor="text1"/>
            <w:spacing w:val="8"/>
            <w:highlight w:val="white"/>
            <w:u w:val="none"/>
          </w:rPr>
          <w:t>scopi del trattamento</w:t>
        </w:r>
      </w:hyperlink>
      <w:r>
        <w:rPr>
          <w:shd w:fill="FFFFFF" w:val="clear"/>
        </w:rPr>
        <w:t>; </w:t>
      </w:r>
    </w:p>
    <w:p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  <w:spacing w:val="8"/>
          <w:shd w:fill="FFFFFF" w:val="clear"/>
        </w:rPr>
        <w:t>diritto alla </w:t>
      </w:r>
      <w:hyperlink r:id="rId7" w:tgtFrame="Portabilità dei dati">
        <w:r>
          <w:rPr>
            <w:rStyle w:val="InternetLink"/>
            <w:color w:val="000000" w:themeColor="text1"/>
            <w:spacing w:val="8"/>
            <w:highlight w:val="white"/>
            <w:u w:val="none"/>
          </w:rPr>
          <w:t>portabilità dei dati</w:t>
        </w:r>
      </w:hyperlink>
      <w:r>
        <w:rPr>
          <w:color w:val="000000" w:themeColor="text1"/>
          <w:spacing w:val="8"/>
          <w:shd w:fill="FFFFFF" w:val="clear"/>
        </w:rPr>
        <w:t>. 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(per più informazioni: </w:t>
      </w:r>
      <w:hyperlink r:id="rId8">
        <w:r>
          <w:rPr>
            <w:rStyle w:val="InternetLink"/>
          </w:rPr>
          <w:t>https://protezionedatipersonali.it/interessato-del-trattamento</w:t>
        </w:r>
      </w:hyperlink>
      <w:r>
        <w:rPr>
          <w:color w:val="000000" w:themeColor="text1"/>
        </w:rPr>
        <w:t xml:space="preserve">) </w:t>
        <w:br/>
      </w:r>
    </w:p>
    <w:p>
      <w:pPr>
        <w:pStyle w:val="Normal"/>
        <w:rPr/>
      </w:pPr>
      <w:r>
        <w:rPr>
          <w:b/>
          <w:bCs/>
        </w:rPr>
        <w:t>Opposizione al trattamento:</w:t>
      </w:r>
      <w:r>
        <w:rPr/>
        <w:t xml:space="preserve"> diritto dell’interessato di opporsi (in un qualsiasi momento) al trattamento dei dati personali che lo riguardano, compresa la profilazione. </w:t>
        <w:br/>
        <w:t xml:space="preserve">(per più dettagli: </w:t>
      </w:r>
      <w:hyperlink r:id="rId9">
        <w:r>
          <w:rPr>
            <w:rStyle w:val="InternetLink"/>
          </w:rPr>
          <w:t>http://www.dposcuola.it/2018/05/15/diritto-di-opposizione-al-trattamento-dei-dati-art-21-gdpr-considerando-69-e-70/</w:t>
        </w:r>
      </w:hyperlink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Profilazione: </w:t>
      </w:r>
      <w:r>
        <w:rPr/>
        <w:t>trattamento di analisi delle caratteristiche di un individuo per effettuarne una valutazione automatizzata e inserirlo in categorie e/o gruppi di individui.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Pseudonimizzazione: </w:t>
      </w:r>
      <w:r>
        <w:rPr/>
        <w:t>modifica ai dati personali e sensibili di una persona fisica per non renderne impossibile l’identificazione senza l’utilizzo di informazioni aggiuntive.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Rappresentante del trattamento: </w:t>
      </w:r>
      <w:r>
        <w:rPr/>
        <w:t>persona fisica o giuridica (all’interno dell’UE) che deve essere designata da organizzazioni che hanno sede al di fuori dell’UE in qualità di rappresentante dell’organizzazione relativamente agli obblighi legati al G.D.P.R.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Registro dei trattamenti: </w:t>
      </w:r>
      <w:r>
        <w:rPr/>
        <w:t xml:space="preserve">documento che contiene informazioni relative a tutte le operazioni di un’azienda in cui vengono trattati dei dati. Deve essere compilato </w:t>
      </w:r>
      <w:r>
        <w:rPr>
          <w:u w:val="single"/>
        </w:rPr>
        <w:t>da un</w:t>
      </w:r>
      <w:r>
        <w:rPr/>
        <w:t xml:space="preserve"> </w:t>
      </w:r>
      <w:r>
        <w:rPr>
          <w:u w:val="single"/>
        </w:rPr>
        <w:t>titolare o da un responsabile del trattamento</w:t>
      </w:r>
      <w:r>
        <w:rPr/>
        <w:t xml:space="preserve"> e deve contenere tutte le informazioni riguardo al modo in cui i dati vengono trattati (come, da chi, quando…) oltre che informazioni relative ai protocolli usati per evitare data breach. </w:t>
        <w:br/>
        <w:t xml:space="preserve">(per altre informazioni: </w:t>
        <w:br/>
      </w:r>
      <w:hyperlink r:id="rId10">
        <w:r>
          <w:rPr>
            <w:rStyle w:val="InternetLink"/>
          </w:rPr>
          <w:t>http://www.defensis.it/risorse-eventi/registro_dei_trattamenti_gdpr_-_modello.html</w:t>
        </w:r>
      </w:hyperlink>
      <w:r>
        <w:rPr/>
        <w:t xml:space="preserve">) </w:t>
        <w:br/>
      </w:r>
    </w:p>
    <w:p>
      <w:pPr>
        <w:pStyle w:val="Normal"/>
        <w:rPr/>
      </w:pPr>
      <w:r>
        <w:rPr>
          <w:b/>
          <w:bCs/>
        </w:rPr>
        <w:t xml:space="preserve">Responsabile del trattamento: </w:t>
      </w:r>
      <w:r>
        <w:rPr/>
        <w:t xml:space="preserve">persona fisica/giuridica che elabora i dati personali per conto del </w:t>
      </w:r>
      <w:r>
        <w:rPr>
          <w:u w:val="single"/>
        </w:rPr>
        <w:t>titolare del trattamento</w:t>
      </w:r>
      <w:r>
        <w:rPr/>
        <w:t>.</w:t>
        <w:br/>
      </w:r>
    </w:p>
    <w:p>
      <w:pPr>
        <w:pStyle w:val="Normal"/>
        <w:rPr/>
      </w:pPr>
      <w:r>
        <w:rPr>
          <w:b/>
          <w:bCs/>
        </w:rPr>
        <w:t>Responsabile della protezione dei dati</w:t>
      </w:r>
      <w:r>
        <w:rPr/>
        <w:t>: vedi la voce “Data Protection Officer”.</w:t>
        <w:br/>
      </w:r>
    </w:p>
    <w:p>
      <w:pPr>
        <w:pStyle w:val="Normal"/>
        <w:rPr/>
      </w:pPr>
      <w:r>
        <w:rPr>
          <w:b/>
          <w:bCs/>
        </w:rPr>
        <w:t>Responsabile esterno:</w:t>
      </w:r>
      <w:r>
        <w:rPr/>
        <w:t xml:space="preserve"> persona che non appartiene all’organizzazione aziendale ma che ha comunque accesso al registro dei trattamenti (es. impiegato di un’azienda informatica su cui un’organizzazione si poggia).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Terzo: </w:t>
      </w:r>
      <w:r>
        <w:rPr/>
        <w:t>persona fisica/giuridica, autorità pubblica o comunque soggetto che non né sia l’interessato, né il titolare, né il responsabile, né una persona autorizzata al trattamento.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Titolare del trattamento: </w:t>
      </w:r>
      <w:r>
        <w:rPr/>
        <w:t xml:space="preserve">persona fisica/giuridica o autorità pubblica che determina finalità e mezzi del trattamento di dati personali. </w:t>
        <w:br/>
      </w:r>
    </w:p>
    <w:p>
      <w:pPr>
        <w:pStyle w:val="Normal"/>
        <w:rPr/>
      </w:pPr>
      <w:r>
        <w:rPr>
          <w:b/>
          <w:bCs/>
        </w:rPr>
        <w:t>Trattamento:</w:t>
      </w:r>
      <w:r>
        <w:rPr/>
        <w:t xml:space="preserve"> qualsiasi operazione o insieme di operazioni (automatizzate o meno) applicate ai dati personali degli interessati.</w:t>
        <w:br/>
      </w:r>
    </w:p>
    <w:p>
      <w:pPr>
        <w:pStyle w:val="Normal"/>
        <w:rPr/>
      </w:pPr>
      <w:r>
        <w:rPr>
          <w:b/>
          <w:bCs/>
        </w:rPr>
        <w:t>Trattamento transfrontaliero:</w:t>
      </w:r>
      <w:r>
        <w:rPr/>
        <w:t xml:space="preserve"> trattamento che ha luogo in stabilimenti di una stessa organizzazione presenti in più di uno Stato Membro dell’UE </w:t>
      </w:r>
      <w:r>
        <w:rPr>
          <w:i/>
        </w:rPr>
        <w:t xml:space="preserve">oppure </w:t>
      </w:r>
      <w:r>
        <w:rPr/>
        <w:t>trattamento che ha luogo in un unico Stato Membro dell’UE ma che incide in modo sostanziale su interessati appartenenti a più di uno Stato Membro.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Violazione dei dati personali: </w:t>
      </w:r>
      <w:r>
        <w:rPr/>
        <w:t>vedi la voce “Data Breach”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6" w:name="_Toc10995996"/>
      <w:bookmarkEnd w:id="6"/>
      <w:r>
        <w:rPr/>
        <w:t>Parte 2 – Guida alle funzionalità di EasyGDPR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Questa parte del manuale è divisa nelle seguenti sezioni:</w:t>
      </w:r>
    </w:p>
    <w:p>
      <w:pPr>
        <w:pStyle w:val="ListParagraph"/>
        <w:numPr>
          <w:ilvl w:val="0"/>
          <w:numId w:val="2"/>
        </w:numPr>
        <w:rPr/>
      </w:pPr>
      <w:r>
        <w:rPr/>
        <w:t>Elementi comuni nel sistema: presenta gli elementi comuni a tutte le schermate</w:t>
      </w:r>
    </w:p>
    <w:p>
      <w:pPr>
        <w:pStyle w:val="ListParagraph"/>
        <w:numPr>
          <w:ilvl w:val="0"/>
          <w:numId w:val="2"/>
        </w:numPr>
        <w:rPr/>
      </w:pPr>
      <w:r>
        <w:rPr/>
        <w:t>Pagina Home: schermata iniziale del sistema</w:t>
      </w:r>
    </w:p>
    <w:p>
      <w:pPr>
        <w:pStyle w:val="ListParagraph"/>
        <w:numPr>
          <w:ilvl w:val="0"/>
          <w:numId w:val="2"/>
        </w:numPr>
        <w:rPr/>
      </w:pPr>
      <w:r>
        <w:rPr/>
        <w:t>Pagina Calendario: presenta il calendario degli eventi</w:t>
      </w:r>
    </w:p>
    <w:p>
      <w:pPr>
        <w:pStyle w:val="ListParagraph"/>
        <w:numPr>
          <w:ilvl w:val="0"/>
          <w:numId w:val="2"/>
        </w:numPr>
        <w:rPr/>
      </w:pPr>
      <w:r>
        <w:rPr/>
        <w:t>Pagina Eventi: riassume gli eventi messi a calendario</w:t>
      </w:r>
    </w:p>
    <w:p>
      <w:pPr>
        <w:pStyle w:val="ListParagraph"/>
        <w:numPr>
          <w:ilvl w:val="0"/>
          <w:numId w:val="2"/>
        </w:numPr>
        <w:rPr/>
      </w:pPr>
      <w:r>
        <w:rPr/>
        <w:t>Pagina Manuale: riporta il manuale del sistema</w:t>
      </w:r>
    </w:p>
    <w:p>
      <w:pPr>
        <w:pStyle w:val="ListParagraph"/>
        <w:numPr>
          <w:ilvl w:val="0"/>
          <w:numId w:val="2"/>
        </w:numPr>
        <w:rPr/>
      </w:pPr>
      <w:r>
        <w:rPr/>
        <w:t>Meccanismo di notifica all’utente</w:t>
      </w:r>
    </w:p>
    <w:p>
      <w:pPr>
        <w:pStyle w:val="Normal"/>
        <w:rPr/>
      </w:pPr>
      <w:r>
        <w:rPr/>
        <w:t>Le funzionalità presenti nelle schermate sopra citate e il modo in cui esse sono strutturate saranno spiegate nelle sezioni a seguire.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7" w:name="_Toc10995997"/>
      <w:r>
        <w:rPr/>
        <w:t>Elementi comuni nel sistema</w:t>
      </w:r>
      <w:bookmarkEnd w:id="7"/>
      <w:r>
        <w:rPr/>
        <w:br/>
      </w:r>
    </w:p>
    <w:p>
      <w:pPr>
        <w:pStyle w:val="Normal"/>
        <w:rPr/>
      </w:pPr>
      <w:r>
        <w:rPr/>
        <w:t>Ogni schermata del sistema inizia con un header riportante il logo del gruppo Excelsior e le scritte “Home”, “Calendario”, “Eventi” e “Manuale”.</w:t>
        <w:b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120130" cy="340360"/>
            <wp:effectExtent l="0" t="0" r="0" b="0"/>
            <wp:docPr id="3" name="Immagin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sz w:val="24"/>
          <w:szCs w:val="24"/>
        </w:rPr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/>
        <w:t>: l'header comune a ogni pagina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Sia il logo del gruppo Excelsior che la scritta “Home”, se cliccate, portano l’utente alla pagina</w:t>
      </w:r>
      <w:r>
        <w:rPr>
          <w:b/>
          <w:bCs/>
        </w:rPr>
        <w:t xml:space="preserve"> Home </w:t>
      </w:r>
      <w:r>
        <w:rPr/>
        <w:t>del sistema. In modo analogo le scritte “Calendario”, “Eventi” e “Manuale” portano rispettivamente alle schermate Calendario, Eventi e Manuale del sistema.</w:t>
      </w:r>
    </w:p>
    <w:p>
      <w:pPr>
        <w:pStyle w:val="Normal"/>
        <w:rPr/>
      </w:pPr>
      <w:r>
        <w:rPr/>
        <w:t xml:space="preserve">Ogni schermata del sistema si conclude invece con un footer con </w:t>
      </w:r>
      <w:r>
        <w:rPr>
          <w:b/>
          <w:bCs/>
        </w:rPr>
        <w:t>le informazioni per contattare il gruppo Excelsior</w:t>
      </w:r>
      <w:r>
        <w:rPr/>
        <w:t xml:space="preserve"> in caso di necessità, riportandone indirizzo fisico ed e-mail e il recapito telefonico.</w:t>
        <w:b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120130" cy="1087755"/>
            <wp:effectExtent l="0" t="0" r="0" b="0"/>
            <wp:docPr id="4" name="Immagin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sz w:val="24"/>
          <w:szCs w:val="24"/>
        </w:rPr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2</w:t>
      </w:r>
      <w:r>
        <w:fldChar w:fldCharType="end"/>
      </w:r>
      <w:r>
        <w:rPr/>
        <w:t>: il footer comune a ogni pagina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8" w:name="_Toc10995998"/>
      <w:r>
        <w:rPr/>
        <w:t>Pagina</w:t>
      </w:r>
      <w:r>
        <w:rPr>
          <w:bCs/>
        </w:rPr>
        <w:t xml:space="preserve"> </w:t>
      </w:r>
      <w:bookmarkEnd w:id="8"/>
      <w:r>
        <w:rPr/>
        <w:t>Home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120130" cy="3569970"/>
            <wp:effectExtent l="0" t="0" r="0" b="0"/>
            <wp:docPr id="5" name="Immagin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3</w:t>
      </w:r>
      <w:r>
        <w:fldChar w:fldCharType="end"/>
      </w:r>
      <w:r>
        <w:rPr/>
        <w:t>: la pagina</w:t>
      </w:r>
      <w:r>
        <w:rPr>
          <w:b/>
          <w:bCs/>
        </w:rPr>
        <w:t xml:space="preserve"> </w:t>
      </w:r>
      <w:r>
        <w:rPr/>
        <w:t>"Home"</w:t>
        <w:br/>
      </w:r>
    </w:p>
    <w:p>
      <w:pPr>
        <w:pStyle w:val="Normal"/>
        <w:rPr/>
      </w:pPr>
      <w:r>
        <w:rPr/>
        <w:t>La pagina</w:t>
      </w:r>
      <w:r>
        <w:rPr>
          <w:b/>
          <w:bCs/>
        </w:rPr>
        <w:t xml:space="preserve"> </w:t>
      </w:r>
      <w:r>
        <w:rPr/>
        <w:t>“Home” di EasyGDPR è la pagina iniziale del sistema a cui si accede dopo aver effettuato il login e che funge da collegamento al resto del sistema.</w:t>
      </w:r>
    </w:p>
    <w:p>
      <w:pPr>
        <w:pStyle w:val="Heading3"/>
        <w:rPr/>
      </w:pPr>
      <w:bookmarkStart w:id="9" w:name="_Toc10995999"/>
      <w:r>
        <w:rPr/>
        <w:t>Pagina Home: accesso alle altre schermate del sistema</w:t>
      </w:r>
      <w:bookmarkEnd w:id="9"/>
      <w:r>
        <w:rPr/>
        <w:br/>
      </w:r>
    </w:p>
    <w:p>
      <w:pPr>
        <w:pStyle w:val="Normal"/>
        <w:rPr/>
      </w:pPr>
      <w:r>
        <w:rPr/>
        <w:t>La sezione centrale della pagina</w:t>
      </w:r>
      <w:r>
        <w:rPr>
          <w:b/>
          <w:bCs/>
        </w:rPr>
        <w:t xml:space="preserve"> </w:t>
      </w:r>
      <w:r>
        <w:rPr/>
        <w:t xml:space="preserve">Home permette di accedere, tramite un </w:t>
      </w:r>
      <w:r>
        <w:rPr>
          <w:b/>
          <w:bCs/>
        </w:rPr>
        <w:t>click su uno dei tre bottoni</w:t>
      </w:r>
      <w:r>
        <w:rPr/>
        <w:t xml:space="preserve"> (ognuno riportante una scritta e icona esplicative per il facile riconoscimento), alle pagine Calendario, Eventi e Manuale del sistema.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120130" cy="2671445"/>
            <wp:effectExtent l="0" t="0" r="0" b="0"/>
            <wp:docPr id="6" name="Immagin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4</w:t>
      </w:r>
      <w:r>
        <w:fldChar w:fldCharType="end"/>
      </w:r>
      <w:r>
        <w:rPr/>
        <w:t>: la sezione centrale della pagina Home</w:t>
      </w:r>
    </w:p>
    <w:p>
      <w:pPr>
        <w:pStyle w:val="Heading2"/>
        <w:rPr/>
      </w:pPr>
      <w:bookmarkStart w:id="10" w:name="_Toc10996000"/>
      <w:bookmarkEnd w:id="10"/>
      <w:r>
        <w:rPr/>
        <w:t>Pagina Calendario</w:t>
      </w:r>
    </w:p>
    <w:p>
      <w:pPr>
        <w:pStyle w:val="Normal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1" wp14:anchorId="162BB3BC">
                <wp:simplePos x="0" y="0"/>
                <wp:positionH relativeFrom="column">
                  <wp:posOffset>4126865</wp:posOffset>
                </wp:positionH>
                <wp:positionV relativeFrom="paragraph">
                  <wp:posOffset>914400</wp:posOffset>
                </wp:positionV>
                <wp:extent cx="439420" cy="193675"/>
                <wp:effectExtent l="19050" t="19050" r="19050" b="17145"/>
                <wp:wrapNone/>
                <wp:docPr id="7" name="Ovale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840" cy="192960"/>
                        </a:xfrm>
                        <a:prstGeom prst="ellipse">
                          <a:avLst/>
                        </a:prstGeom>
                        <a:noFill/>
                        <a:ln w="2844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e 61" stroked="t" style="position:absolute;margin-left:324.95pt;margin-top:72pt;width:34.5pt;height:15.15pt" wp14:anchorId="162BB3BC">
                <w10:wrap type="none"/>
                <v:fill o:detectmouseclick="t" on="false"/>
                <v:stroke color="red" weight="2844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3030" simplePos="0" locked="0" layoutInCell="1" allowOverlap="1" relativeHeight="32" wp14:anchorId="203C7670">
                <wp:simplePos x="0" y="0"/>
                <wp:positionH relativeFrom="column">
                  <wp:posOffset>3932555</wp:posOffset>
                </wp:positionH>
                <wp:positionV relativeFrom="paragraph">
                  <wp:posOffset>885825</wp:posOffset>
                </wp:positionV>
                <wp:extent cx="229235" cy="220980"/>
                <wp:effectExtent l="19050" t="19050" r="20320" b="27940"/>
                <wp:wrapNone/>
                <wp:docPr id="8" name="Ovale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0320"/>
                        </a:xfrm>
                        <a:prstGeom prst="ellipse">
                          <a:avLst/>
                        </a:prstGeom>
                        <a:noFill/>
                        <a:ln w="2844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e 62" stroked="t" style="position:absolute;margin-left:309.65pt;margin-top:69.75pt;width:17.95pt;height:17.3pt" wp14:anchorId="203C7670">
                <w10:wrap type="none"/>
                <v:fill o:detectmouseclick="t" on="false"/>
                <v:stroke color="#92d050" weight="28440" joinstyle="miter" endcap="flat"/>
              </v:oval>
            </w:pict>
          </mc:Fallback>
        </mc:AlternateContent>
      </w:r>
      <w:r>
        <w:rPr/>
        <w:br/>
      </w:r>
      <w:r>
        <w:rPr/>
        <w:drawing>
          <wp:inline distT="0" distB="0" distL="0" distR="0">
            <wp:extent cx="4937760" cy="4152900"/>
            <wp:effectExtent l="0" t="0" r="0" b="0"/>
            <wp:docPr id="9" name="Immagin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2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5</w:t>
      </w:r>
      <w:r>
        <w:fldChar w:fldCharType="end"/>
      </w:r>
      <w:r>
        <w:rPr/>
        <w:t>: la pagina</w:t>
      </w:r>
      <w:r>
        <w:rPr>
          <w:b/>
          <w:bCs/>
        </w:rPr>
        <w:t xml:space="preserve"> </w:t>
      </w:r>
      <w:r>
        <w:rPr/>
        <w:t>“Calendario”</w:t>
        <w:br/>
      </w:r>
    </w:p>
    <w:p>
      <w:pPr>
        <w:pStyle w:val="Normal"/>
        <w:rPr/>
      </w:pPr>
      <w:r>
        <w:rPr/>
        <w:t>La pagina</w:t>
      </w:r>
      <w:r>
        <w:rPr>
          <w:b/>
          <w:bCs/>
        </w:rPr>
        <w:t xml:space="preserve"> </w:t>
      </w:r>
      <w:r>
        <w:rPr/>
        <w:t xml:space="preserve">Calendario del sistema permette di consultare gli eventi calendarizzati. Per </w:t>
      </w:r>
      <w:r>
        <w:rPr>
          <w:b/>
          <w:bCs/>
        </w:rPr>
        <w:t xml:space="preserve">cambiare mese visualizzato sul calendario </w:t>
      </w:r>
      <w:r>
        <w:rPr/>
        <w:t xml:space="preserve">basta premere i bottoni a forma di freccia raffigurati in figura 6 e cerchiati in rosso in figura 5. Per </w:t>
      </w:r>
      <w:r>
        <w:rPr>
          <w:b/>
          <w:bCs/>
        </w:rPr>
        <w:t xml:space="preserve">tornare alla data odierna </w:t>
      </w:r>
      <w:r>
        <w:rPr/>
        <w:t>invece basta premere il bottone “today” raffigurato in figura 6 e cerchiato in verde in figura 5.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1744980" cy="502920"/>
            <wp:effectExtent l="0" t="0" r="0" b="0"/>
            <wp:docPr id="10" name="Immagine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5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6</w:t>
      </w:r>
      <w:r>
        <w:fldChar w:fldCharType="end"/>
      </w:r>
      <w:r>
        <w:rPr/>
        <w:t>: pulsanti per la navigazione all'interno del calendario</w:t>
      </w:r>
    </w:p>
    <w:p>
      <w:pPr>
        <w:pStyle w:val="Normal"/>
        <w:rPr/>
      </w:pPr>
      <w:r>
        <w:rPr/>
        <w:br/>
        <w:t>Gli eventi calendarizzati vengono mostrati sotto forma di linee colorate che possono coprire uno o più giorni in base alla loro durata, come visibile dalla seguente figura: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1257300" cy="1036320"/>
            <wp:effectExtent l="0" t="0" r="0" b="0"/>
            <wp:docPr id="11" name="Immagin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2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469515" cy="899160"/>
            <wp:effectExtent l="0" t="0" r="0" b="0"/>
            <wp:docPr id="12" name="Immagin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2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7</w:t>
      </w:r>
      <w:r>
        <w:fldChar w:fldCharType="end"/>
      </w:r>
      <w:r>
        <w:rPr/>
        <w:t>: evento di un giorno (a sx) e di più giorni (a dx)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Nel caso di giornate in cui si svolgano più di tre eventi</w:t>
      </w:r>
      <w:r>
        <w:rPr>
          <w:b/>
          <w:bCs/>
        </w:rPr>
        <w:t>, solo gli ultimi due eventi calendarizzati</w:t>
      </w:r>
      <w:r>
        <w:rPr/>
        <w:t xml:space="preserve"> saranno visibili immediatamente. Gli altri eventi verranno collassati e per visualizzarli basterà</w:t>
      </w:r>
      <w:r>
        <w:rPr>
          <w:b/>
          <w:bCs/>
        </w:rPr>
        <w:t xml:space="preserve"> cliccare sulla scritta “+x more”</w:t>
      </w:r>
      <w:r>
        <w:rPr/>
        <w:t xml:space="preserve"> presente sotto agli eventi visibili.</w:t>
        <w:br/>
      </w:r>
    </w:p>
    <w:p>
      <w:pPr>
        <w:pStyle w:val="Normal"/>
        <w:keepNext w:val="true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4" wp14:anchorId="71F26FEC">
                <wp:simplePos x="0" y="0"/>
                <wp:positionH relativeFrom="column">
                  <wp:posOffset>1921510</wp:posOffset>
                </wp:positionH>
                <wp:positionV relativeFrom="paragraph">
                  <wp:posOffset>908685</wp:posOffset>
                </wp:positionV>
                <wp:extent cx="1673860" cy="284480"/>
                <wp:effectExtent l="19050" t="114300" r="0" b="41275"/>
                <wp:wrapNone/>
                <wp:docPr id="13" name="Connettore 2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73280" cy="283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7632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drawing>
          <wp:inline distT="0" distB="0" distL="0" distR="0">
            <wp:extent cx="2459990" cy="1245235"/>
            <wp:effectExtent l="0" t="0" r="0" b="0"/>
            <wp:docPr id="14" name="Immagin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2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</w:t>
      </w:r>
      <w:r>
        <w:rPr/>
        <w:drawing>
          <wp:inline distT="0" distB="0" distL="0" distR="0">
            <wp:extent cx="1932305" cy="1327150"/>
            <wp:effectExtent l="0" t="0" r="0" b="0"/>
            <wp:docPr id="15" name="Immagin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2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8</w:t>
      </w:r>
      <w:r>
        <w:fldChar w:fldCharType="end"/>
      </w:r>
      <w:r>
        <w:rPr/>
        <w:t>: giornata con più di tre eventi: cliccando sulla scritta “+ x more” gli altri eventi verranno visualizzati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ogni evento verranno associati un colore e un’icona, rispettivamente in base alla sua urgenza e tipologia. La </w:t>
      </w:r>
      <w:r>
        <w:rPr>
          <w:b/>
          <w:bCs/>
        </w:rPr>
        <w:t>legenda</w:t>
      </w:r>
      <w:r>
        <w:rPr/>
        <w:t xml:space="preserve"> di tali colori e icone è visibile in fondo al calendario.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6120130" cy="627380"/>
            <wp:effectExtent l="0" t="0" r="0" b="0"/>
            <wp:docPr id="16" name="Immagin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9</w:t>
      </w:r>
      <w:r>
        <w:fldChar w:fldCharType="end"/>
      </w:r>
      <w:r>
        <w:rPr/>
        <w:t>: didascalia con la legenda per la rappresentazione degli eventi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11" w:name="_Toc10996001"/>
      <w:r>
        <w:rPr/>
        <w:t>Pagina Calendario: creazione di un nuovo evento</w:t>
      </w:r>
      <w:bookmarkEnd w:id="11"/>
      <w:r>
        <w:rPr/>
        <w:br/>
      </w:r>
    </w:p>
    <w:p>
      <w:pPr>
        <w:pStyle w:val="Normal"/>
        <w:rPr/>
      </w:pPr>
      <w:r>
        <w:rPr/>
        <w:t xml:space="preserve">Per fissare un nuovo evento sul calendario basta </w:t>
      </w:r>
      <w:r>
        <w:rPr>
          <w:b/>
          <w:bCs/>
        </w:rPr>
        <w:t>cliccare il bottone “Crea nuovo evento”</w:t>
      </w:r>
      <w:r>
        <w:rPr/>
        <w:t xml:space="preserve"> posto in alto a destra rispetto il calendario.</w:t>
        <w:b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040505" cy="950595"/>
            <wp:effectExtent l="0" t="0" r="0" b="0"/>
            <wp:docPr id="17" name="Immagin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18315" t="10173" r="15633" b="71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10</w:t>
      </w:r>
      <w:r>
        <w:fldChar w:fldCharType="end"/>
      </w:r>
      <w:r>
        <w:rPr/>
        <w:t>: il pulsante per la creazione di un nuovo evento (cerchiato in rosso)</w:t>
      </w:r>
    </w:p>
    <w:p>
      <w:pPr>
        <w:pStyle w:val="Normal"/>
        <w:rPr/>
      </w:pPr>
      <w:r>
        <w:rPr/>
        <w:br/>
        <w:t>Il click su tale pulsante porterà l’utente alla schermata seguente, in cui si potrà creare un nuovo evento:</w:t>
        <w:b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449570" cy="3850005"/>
            <wp:effectExtent l="0" t="0" r="0" b="0"/>
            <wp:docPr id="20" name="Immagin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4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3030" simplePos="0" locked="0" layoutInCell="1" allowOverlap="1" relativeHeight="25" wp14:anchorId="5500FDCF">
                <wp:simplePos x="0" y="0"/>
                <wp:positionH relativeFrom="column">
                  <wp:posOffset>2360930</wp:posOffset>
                </wp:positionH>
                <wp:positionV relativeFrom="paragraph">
                  <wp:posOffset>2776855</wp:posOffset>
                </wp:positionV>
                <wp:extent cx="1336040" cy="330200"/>
                <wp:effectExtent l="19050" t="19050" r="17780" b="13970"/>
                <wp:wrapNone/>
                <wp:docPr id="18" name="Ovale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240" cy="329400"/>
                        </a:xfrm>
                        <a:prstGeom prst="ellipse">
                          <a:avLst/>
                        </a:prstGeom>
                        <a:noFill/>
                        <a:ln w="2844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e 45" stroked="t" style="position:absolute;margin-left:185.9pt;margin-top:218.65pt;width:105.1pt;height:25.9pt" wp14:anchorId="5500FDCF">
                <w10:wrap type="none"/>
                <v:fill o:detectmouseclick="t" on="false"/>
                <v:stroke color="red" weight="2844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 wp14:anchorId="327614CD">
                <wp:simplePos x="0" y="0"/>
                <wp:positionH relativeFrom="column">
                  <wp:posOffset>4528185</wp:posOffset>
                </wp:positionH>
                <wp:positionV relativeFrom="paragraph">
                  <wp:posOffset>482600</wp:posOffset>
                </wp:positionV>
                <wp:extent cx="586105" cy="330200"/>
                <wp:effectExtent l="19050" t="19050" r="24765" b="13970"/>
                <wp:wrapNone/>
                <wp:docPr id="19" name="Ovale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360" cy="329400"/>
                        </a:xfrm>
                        <a:prstGeom prst="ellipse">
                          <a:avLst/>
                        </a:prstGeom>
                        <a:noFill/>
                        <a:ln w="2844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e 46" stroked="t" style="position:absolute;margin-left:356.55pt;margin-top:38pt;width:46.05pt;height:25.9pt" wp14:anchorId="327614CD">
                <w10:wrap type="none"/>
                <v:fill o:detectmouseclick="t" on="false"/>
                <v:stroke color="#92d050" weight="28440" joinstyle="miter" endcap="flat"/>
              </v:oval>
            </w:pict>
          </mc:Fallback>
        </mc:AlternateContent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11</w:t>
      </w:r>
      <w:r>
        <w:fldChar w:fldCharType="end"/>
      </w:r>
      <w:r>
        <w:rPr/>
        <w:t>: schermata per la creazione di un nuovo evento</w:t>
      </w:r>
    </w:p>
    <w:p>
      <w:pPr>
        <w:pStyle w:val="Normal"/>
        <w:rPr/>
      </w:pPr>
      <w:r>
        <w:rPr/>
        <w:br/>
        <w:t xml:space="preserve">Questa schermata permette di creare un nuovo evento andando a compilare appositi campi: Tipologia, Data e ora di Inizio e di Fine, Titolo e Urgenza sono </w:t>
      </w:r>
      <w:r>
        <w:rPr>
          <w:b/>
          <w:bCs/>
        </w:rPr>
        <w:t>campi obbligatori</w:t>
      </w:r>
      <w:r>
        <w:rPr/>
        <w:t xml:space="preserve">, mentre il campo Dettagli è invece </w:t>
      </w:r>
      <w:r>
        <w:rPr>
          <w:b/>
          <w:bCs/>
        </w:rPr>
        <w:t>facoltativo</w:t>
      </w:r>
      <w:r>
        <w:rPr/>
        <w:t xml:space="preserve">. La mancata compilazione di campi obbligatori porterà a degli </w:t>
      </w:r>
      <w:r>
        <w:rPr>
          <w:b/>
          <w:bCs/>
        </w:rPr>
        <w:t xml:space="preserve">avvisi </w:t>
      </w:r>
      <w:r>
        <w:rPr/>
        <w:t>all’utente.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660650" cy="1011555"/>
            <wp:effectExtent l="0" t="0" r="0" b="0"/>
            <wp:docPr id="21" name="Immagin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4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12</w:t>
      </w:r>
      <w:r>
        <w:fldChar w:fldCharType="end"/>
      </w:r>
      <w:r>
        <w:rPr/>
        <w:t>: avviso per la mancata compilazione di un campo obbligatorio</w:t>
      </w:r>
    </w:p>
    <w:p>
      <w:pPr>
        <w:pStyle w:val="Normal"/>
        <w:rPr/>
      </w:pPr>
      <w:r>
        <w:rPr/>
        <w:br/>
        <w:t xml:space="preserve">Le varie tipologie di evento sono associate a </w:t>
      </w:r>
      <w:r>
        <w:rPr>
          <w:b/>
          <w:bCs/>
        </w:rPr>
        <w:t>urgenze predefinite</w:t>
      </w:r>
      <w:r>
        <w:rPr/>
        <w:t>, che possono però essere cambiate dall’utente.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1783080" cy="1325880"/>
            <wp:effectExtent l="0" t="0" r="0" b="0"/>
            <wp:docPr id="22" name="Immagin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4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770505" cy="818515"/>
            <wp:effectExtent l="0" t="0" r="0" b="0"/>
            <wp:docPr id="23" name="Immagin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4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13</w:t>
      </w:r>
      <w:r>
        <w:fldChar w:fldCharType="end"/>
      </w:r>
      <w:r>
        <w:rPr/>
        <w:t>: le varie tipologie e urgenze di un evento</w:t>
      </w:r>
    </w:p>
    <w:p>
      <w:pPr>
        <w:pStyle w:val="Normal"/>
        <w:rPr/>
      </w:pPr>
      <w:r>
        <w:rPr/>
        <w:t xml:space="preserve">I </w:t>
      </w:r>
      <w:r>
        <w:rPr>
          <w:b/>
          <w:bCs/>
        </w:rPr>
        <w:t xml:space="preserve">tipi di urgenza </w:t>
      </w:r>
      <w:r>
        <w:rPr/>
        <w:t>sono tre:</w:t>
      </w:r>
    </w:p>
    <w:p>
      <w:pPr>
        <w:pStyle w:val="ListParagraph"/>
        <w:numPr>
          <w:ilvl w:val="0"/>
          <w:numId w:val="3"/>
        </w:numPr>
        <w:rPr/>
      </w:pPr>
      <w:r>
        <w:rPr/>
        <w:t>Non urgente: urgenza di default per gli eventi di tipo “Meeting/Conferenza” e “Altro”</w:t>
      </w:r>
    </w:p>
    <w:p>
      <w:pPr>
        <w:pStyle w:val="ListParagraph"/>
        <w:numPr>
          <w:ilvl w:val="0"/>
          <w:numId w:val="3"/>
        </w:numPr>
        <w:rPr/>
      </w:pPr>
      <w:r>
        <w:rPr/>
        <w:t>Urgente: urgenza di default per gli eventi di tipo “Cancellazione dati personali”, “Rettifica dei dati”</w:t>
      </w:r>
    </w:p>
    <w:p>
      <w:pPr>
        <w:pStyle w:val="ListParagraph"/>
        <w:numPr>
          <w:ilvl w:val="0"/>
          <w:numId w:val="3"/>
        </w:numPr>
        <w:rPr/>
      </w:pPr>
      <w:r>
        <w:rPr/>
        <w:t>Massima urgenza: urgenza di default per gli eventi di tipo “Comunicazione Data Breach”</w:t>
      </w:r>
    </w:p>
    <w:p>
      <w:pPr>
        <w:pStyle w:val="Normal"/>
        <w:rPr/>
      </w:pPr>
      <w:r>
        <w:rPr/>
        <w:br/>
        <w:t xml:space="preserve">In seguito a una corretta compilazione di un evento da calendarizzare, premendo il </w:t>
      </w:r>
      <w:r>
        <w:rPr>
          <w:b/>
          <w:bCs/>
        </w:rPr>
        <w:t>pulsante “Crea”</w:t>
      </w:r>
      <w:r>
        <w:rPr/>
        <w:t xml:space="preserve"> (cerchiato in rosso nella Figura 11) l’evento verrà salvato e verrà visualizzato un messaggio che attesta che l’evento è stato creato correttamente. Nel caso in cui si cambi idea sulla creazione dell’evento, basterà invece cliccare sul </w:t>
      </w:r>
      <w:r>
        <w:rPr>
          <w:b/>
          <w:bCs/>
        </w:rPr>
        <w:t xml:space="preserve">pulsante “Indietro” </w:t>
      </w:r>
      <w:r>
        <w:rPr/>
        <w:t>(cerchiato in verde nella Figura 11) per tornare alla pagina</w:t>
      </w:r>
      <w:r>
        <w:rPr>
          <w:b/>
          <w:bCs/>
        </w:rPr>
        <w:t xml:space="preserve"> </w:t>
      </w:r>
      <w:r>
        <w:rPr/>
        <w:t>Calendario.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6120130" cy="831850"/>
            <wp:effectExtent l="0" t="0" r="0" b="0"/>
            <wp:docPr id="24" name="Immagin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 4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0" t="0" r="0" b="35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14</w:t>
      </w:r>
      <w:r>
        <w:fldChar w:fldCharType="end"/>
      </w:r>
      <w:r>
        <w:rPr/>
        <w:t>: messaggio di creazione corretta di un evento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12" w:name="_Toc10996002"/>
      <w:bookmarkStart w:id="13" w:name="_Pagina_Calendario:_visualizzare"/>
      <w:bookmarkEnd w:id="13"/>
      <w:r>
        <w:rPr/>
        <w:t>Pagina Calendario: visualizzare i dettagli di un evento</w:t>
      </w:r>
      <w:bookmarkEnd w:id="12"/>
      <w:r>
        <w:rPr/>
        <w:br/>
      </w:r>
    </w:p>
    <w:p>
      <w:pPr>
        <w:pStyle w:val="Normal"/>
        <w:rPr/>
      </w:pPr>
      <w:r>
        <w:rPr/>
        <w:t xml:space="preserve">Per </w:t>
      </w:r>
      <w:r>
        <w:rPr>
          <w:b/>
          <w:bCs/>
        </w:rPr>
        <w:t>visualizzare i dettagli di un evento</w:t>
      </w:r>
      <w:r>
        <w:rPr/>
        <w:t>, è sufficiente cliccarvi sopra. Si aprirà una schermata con tutti i dettagli dell’evento cliccato.</w:t>
      </w:r>
    </w:p>
    <w:p>
      <w:pPr>
        <w:pStyle w:val="Normal"/>
        <w:keepNext w:val="true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2" wp14:anchorId="280AD9EC">
                <wp:simplePos x="0" y="0"/>
                <wp:positionH relativeFrom="column">
                  <wp:posOffset>1499870</wp:posOffset>
                </wp:positionH>
                <wp:positionV relativeFrom="paragraph">
                  <wp:posOffset>955040</wp:posOffset>
                </wp:positionV>
                <wp:extent cx="1528445" cy="242570"/>
                <wp:effectExtent l="19050" t="114300" r="0" b="44450"/>
                <wp:wrapNone/>
                <wp:docPr id="25" name="Connettore 2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27840" cy="241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7632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drawing>
          <wp:inline distT="0" distB="0" distL="0" distR="0">
            <wp:extent cx="1874520" cy="1181100"/>
            <wp:effectExtent l="0" t="0" r="0" b="0"/>
            <wp:docPr id="26" name="Immagin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3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959225" cy="1630680"/>
            <wp:effectExtent l="0" t="0" r="0" b="0"/>
            <wp:docPr id="27" name="Immagin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3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15</w:t>
      </w:r>
      <w:r>
        <w:fldChar w:fldCharType="end"/>
      </w:r>
      <w:r>
        <w:rPr/>
        <w:t>: cliccare su un evento ne mostrerà i dettagli.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3030" simplePos="0" locked="0" layoutInCell="1" allowOverlap="1" relativeHeight="23" wp14:anchorId="53E92151">
                <wp:simplePos x="0" y="0"/>
                <wp:positionH relativeFrom="column">
                  <wp:posOffset>4789170</wp:posOffset>
                </wp:positionH>
                <wp:positionV relativeFrom="paragraph">
                  <wp:posOffset>633095</wp:posOffset>
                </wp:positionV>
                <wp:extent cx="1336040" cy="394335"/>
                <wp:effectExtent l="19050" t="19050" r="17780" b="26035"/>
                <wp:wrapNone/>
                <wp:docPr id="28" name="Oval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240" cy="39384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e 39" stroked="t" style="position:absolute;margin-left:377.1pt;margin-top:49.85pt;width:105.1pt;height:30.95pt" wp14:anchorId="53E92151">
                <w10:wrap type="none"/>
                <v:fill o:detectmouseclick="t" on="false"/>
                <v:stroke color="red" weight="38160" joinstyle="miter" endcap="flat"/>
              </v:oval>
            </w:pict>
          </mc:Fallback>
        </mc:AlternateContent>
      </w:r>
      <w:r>
        <w:rPr/>
        <w:t xml:space="preserve">Dalla pagina con i dettagli dell’evento è possibile sia </w:t>
      </w:r>
      <w:r>
        <w:rPr>
          <w:b/>
          <w:bCs/>
        </w:rPr>
        <w:t>modificare un evento</w:t>
      </w:r>
      <w:r>
        <w:rPr/>
        <w:t xml:space="preserve"> (tramite il pulsante “Modifica”) che </w:t>
      </w:r>
      <w:r>
        <w:rPr>
          <w:b/>
          <w:bCs/>
        </w:rPr>
        <w:t xml:space="preserve">tornare indietro </w:t>
      </w:r>
      <w:r>
        <w:rPr/>
        <w:t>nella pagina calendario (tramite il pulsante “Indietro”)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6120130" cy="514350"/>
            <wp:effectExtent l="0" t="0" r="0" b="0"/>
            <wp:docPr id="29" name="Immagin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magine 3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16</w:t>
      </w:r>
      <w:r>
        <w:fldChar w:fldCharType="end"/>
      </w:r>
      <w:r>
        <w:rPr/>
        <w:t>: i pulsanti "Modifica" e "Indietro" (cerchiati in rosso) della schermata dei dettagli di un evento</w:t>
      </w:r>
    </w:p>
    <w:p>
      <w:pPr>
        <w:pStyle w:val="Caption1"/>
        <w:rPr/>
      </w:pPr>
      <w:r>
        <w:rPr/>
      </w:r>
    </w:p>
    <w:p>
      <w:pPr>
        <w:pStyle w:val="Heading3"/>
        <w:rPr/>
      </w:pPr>
      <w:bookmarkStart w:id="14" w:name="_Toc10996003"/>
      <w:bookmarkStart w:id="15" w:name="_Pagina_Calendario:_modificare"/>
      <w:bookmarkEnd w:id="14"/>
      <w:bookmarkEnd w:id="15"/>
      <w:r>
        <w:rPr/>
        <w:t>Pagina Calendario: modificare un evento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532120" cy="4058285"/>
            <wp:effectExtent l="0" t="0" r="0" b="0"/>
            <wp:docPr id="32" name="Immagine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47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3030" simplePos="0" locked="0" layoutInCell="1" allowOverlap="1" relativeHeight="28" wp14:anchorId="2C9B916D">
                <wp:simplePos x="0" y="0"/>
                <wp:positionH relativeFrom="column">
                  <wp:posOffset>2388870</wp:posOffset>
                </wp:positionH>
                <wp:positionV relativeFrom="paragraph">
                  <wp:posOffset>2970530</wp:posOffset>
                </wp:positionV>
                <wp:extent cx="1336040" cy="330200"/>
                <wp:effectExtent l="19050" t="19050" r="17780" b="13970"/>
                <wp:wrapNone/>
                <wp:docPr id="30" name="Ovale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240" cy="329400"/>
                        </a:xfrm>
                        <a:prstGeom prst="ellipse">
                          <a:avLst/>
                        </a:prstGeom>
                        <a:noFill/>
                        <a:ln w="2844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e 54" stroked="t" style="position:absolute;margin-left:188.1pt;margin-top:233.9pt;width:105.1pt;height:25.9pt" wp14:anchorId="2C9B916D">
                <w10:wrap type="none"/>
                <v:fill o:detectmouseclick="t" on="false"/>
                <v:stroke color="red" weight="2844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9" wp14:anchorId="6E2A6F5F">
                <wp:simplePos x="0" y="0"/>
                <wp:positionH relativeFrom="column">
                  <wp:posOffset>4555490</wp:posOffset>
                </wp:positionH>
                <wp:positionV relativeFrom="paragraph">
                  <wp:posOffset>483235</wp:posOffset>
                </wp:positionV>
                <wp:extent cx="586105" cy="330200"/>
                <wp:effectExtent l="19050" t="19050" r="24765" b="13970"/>
                <wp:wrapNone/>
                <wp:docPr id="31" name="Ovale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360" cy="329400"/>
                        </a:xfrm>
                        <a:prstGeom prst="ellipse">
                          <a:avLst/>
                        </a:prstGeom>
                        <a:noFill/>
                        <a:ln w="2844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e 56" stroked="t" style="position:absolute;margin-left:358.7pt;margin-top:38.05pt;width:46.05pt;height:25.9pt" wp14:anchorId="6E2A6F5F">
                <w10:wrap type="none"/>
                <v:fill o:detectmouseclick="t" on="false"/>
                <v:stroke color="#92d050" weight="28440" joinstyle="miter" endcap="flat"/>
              </v:oval>
            </w:pict>
          </mc:Fallback>
        </mc:AlternateContent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17</w:t>
      </w:r>
      <w:r>
        <w:fldChar w:fldCharType="end"/>
      </w:r>
      <w:r>
        <w:rPr/>
        <w:t>: schermata per la modifica di un evento esistente</w:t>
      </w:r>
    </w:p>
    <w:p>
      <w:pPr>
        <w:pStyle w:val="Normal"/>
        <w:rPr/>
      </w:pPr>
      <w:r>
        <w:rPr/>
        <w:t xml:space="preserve">La schermata per la modifica di un evento esistente è molto simile alla schermata per la creazione di un nuovo evento. La maggiore differenza, oltre al fatto che i campi dell’evento sono precompilati con i dettagli non ancora modificati dell’evento, sta nella presenza della </w:t>
      </w:r>
      <w:r>
        <w:rPr>
          <w:b/>
          <w:bCs/>
        </w:rPr>
        <w:t>casella “Completato”</w:t>
      </w:r>
      <w:r>
        <w:rPr/>
        <w:t xml:space="preserve">. Lo stato di completamento di un evento influisce sul meccanismo di notifica all’utente, descritto nella </w:t>
      </w:r>
      <w:hyperlink w:anchor="_Meccanismo_di_alert">
        <w:r>
          <w:rPr>
            <w:rStyle w:val="InternetLink"/>
          </w:rPr>
          <w:t>sezione apposita</w:t>
        </w:r>
      </w:hyperlink>
      <w:r>
        <w:rPr/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keepNext w:val="true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7" wp14:anchorId="62632330">
                <wp:simplePos x="0" y="0"/>
                <wp:positionH relativeFrom="column">
                  <wp:posOffset>2534920</wp:posOffset>
                </wp:positionH>
                <wp:positionV relativeFrom="paragraph">
                  <wp:posOffset>247015</wp:posOffset>
                </wp:positionV>
                <wp:extent cx="878840" cy="1905"/>
                <wp:effectExtent l="0" t="95250" r="0" b="95250"/>
                <wp:wrapNone/>
                <wp:docPr id="33" name="Connettore 2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0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0" wp14:anchorId="48EF3864">
                <wp:simplePos x="0" y="0"/>
                <wp:positionH relativeFrom="column">
                  <wp:posOffset>2487930</wp:posOffset>
                </wp:positionH>
                <wp:positionV relativeFrom="paragraph">
                  <wp:posOffset>128905</wp:posOffset>
                </wp:positionV>
                <wp:extent cx="878840" cy="1905"/>
                <wp:effectExtent l="0" t="95250" r="0" b="95250"/>
                <wp:wrapNone/>
                <wp:docPr id="34" name="Connettore 2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80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drawing>
          <wp:inline distT="0" distB="0" distL="0" distR="0">
            <wp:extent cx="1294130" cy="237490"/>
            <wp:effectExtent l="0" t="0" r="0" b="0"/>
            <wp:docPr id="35" name="Immagine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magine 5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0" t="13340" r="0" b="17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</w:t>
      </w:r>
      <w:r>
        <w:rPr>
          <w:b/>
          <w:bCs/>
        </w:rPr>
        <w:drawing>
          <wp:inline distT="0" distB="0" distL="0" distR="0">
            <wp:extent cx="1363345" cy="246380"/>
            <wp:effectExtent l="0" t="0" r="0" b="0"/>
            <wp:docPr id="36" name="Immagine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magine 4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0" t="14087" r="0" b="22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18</w:t>
      </w:r>
      <w:r>
        <w:fldChar w:fldCharType="end"/>
      </w:r>
      <w:r>
        <w:rPr/>
        <w:t>: la casella "Completato" viene usata per segnare con una spunta un evento che è stato completato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In seguito a una corretta compilazione di un evento da modificare, premendo il </w:t>
      </w:r>
      <w:r>
        <w:rPr>
          <w:b/>
          <w:bCs/>
        </w:rPr>
        <w:t>pulsante “Modifica”</w:t>
      </w:r>
      <w:r>
        <w:rPr/>
        <w:t xml:space="preserve"> (cerchiato in rosso nella Figura 16) l’evento verrà salvato e verrà visualizzato un messaggio che attesta che l’evento è stato modificato correttamente. Nel caso in cui si cambi idea sulla modifica dell’evento, basterà invece cliccare sul </w:t>
      </w:r>
      <w:r>
        <w:rPr>
          <w:b/>
          <w:bCs/>
        </w:rPr>
        <w:t xml:space="preserve">pulsante “Indietro” </w:t>
      </w:r>
      <w:r>
        <w:rPr/>
        <w:t>(cerchiato in verde nella Figura 17) per tornare alla pagina</w:t>
      </w:r>
      <w:r>
        <w:rPr>
          <w:b/>
          <w:bCs/>
        </w:rPr>
        <w:t xml:space="preserve"> </w:t>
      </w:r>
      <w:r>
        <w:rPr/>
        <w:t>Calendario.</w:t>
        <w:br/>
      </w:r>
    </w:p>
    <w:p>
      <w:pPr>
        <w:pStyle w:val="Normal"/>
        <w:rPr/>
      </w:pPr>
      <w:r>
        <w:rPr/>
        <w:drawing>
          <wp:inline distT="0" distB="0" distL="0" distR="0">
            <wp:extent cx="6120130" cy="631825"/>
            <wp:effectExtent l="0" t="0" r="0" b="0"/>
            <wp:docPr id="37" name="Immagine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magine 5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b/>
          <w:b/>
          <w:bCs/>
        </w:rPr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19</w:t>
      </w:r>
      <w:r>
        <w:fldChar w:fldCharType="end"/>
      </w:r>
      <w:r>
        <w:rPr/>
        <w:t>: messaggio di modifica corretta di un evento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rPr/>
      </w:pPr>
      <w:bookmarkStart w:id="16" w:name="_Toc10996004"/>
      <w:r>
        <w:rPr/>
        <w:t>Pagina Eventi</w:t>
      </w:r>
      <w:bookmarkEnd w:id="16"/>
      <w:r>
        <w:rPr/>
        <w:b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6120130" cy="4614545"/>
            <wp:effectExtent l="0" t="0" r="0" b="0"/>
            <wp:docPr id="39" name="Immagine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magine 6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33" wp14:anchorId="72EDCE34">
                <wp:simplePos x="0" y="0"/>
                <wp:positionH relativeFrom="column">
                  <wp:posOffset>4812665</wp:posOffset>
                </wp:positionH>
                <wp:positionV relativeFrom="paragraph">
                  <wp:posOffset>1250315</wp:posOffset>
                </wp:positionV>
                <wp:extent cx="512445" cy="311150"/>
                <wp:effectExtent l="19050" t="19050" r="41275" b="33020"/>
                <wp:wrapNone/>
                <wp:docPr id="38" name="Ovale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920" cy="310680"/>
                        </a:xfrm>
                        <a:prstGeom prst="ellipse">
                          <a:avLst/>
                        </a:prstGeom>
                        <a:noFill/>
                        <a:ln w="5724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e 66" stroked="t" style="position:absolute;margin-left:378.95pt;margin-top:98.45pt;width:40.25pt;height:24.4pt" wp14:anchorId="72EDCE34">
                <w10:wrap type="none"/>
                <v:fill o:detectmouseclick="t" on="false"/>
                <v:stroke color="#ffc000" weight="57240" joinstyle="miter" endcap="flat"/>
              </v:oval>
            </w:pict>
          </mc:Fallback>
        </mc:AlternateContent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20</w:t>
      </w:r>
      <w:r>
        <w:fldChar w:fldCharType="end"/>
      </w:r>
      <w:r>
        <w:rPr/>
        <w:t>: la pagina "Eventi"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 xml:space="preserve">Nella pagina Eventi sono visibili sotto forma di lista gli eventi passati, presenti e futuri messi a calendario. Di tali eventi verranno riportati Titolo, Tipologia, Urgenza. Verrà inoltre riportato il loro stato di Completamento: </w:t>
      </w:r>
      <w:r>
        <w:rPr>
          <w:b/>
          <w:bCs/>
          <w:lang w:eastAsia="ja-JP"/>
        </w:rPr>
        <w:t>un’icona verde simboleggia un evento completato, una rossa un evento non completato.</w:t>
      </w:r>
      <w:r>
        <w:rPr>
          <w:lang w:eastAsia="ja-JP"/>
        </w:rPr>
        <w:t xml:space="preserve"> </w:t>
      </w:r>
    </w:p>
    <w:p>
      <w:pPr>
        <w:pStyle w:val="Normal"/>
        <w:rPr>
          <w:lang w:eastAsia="ja-JP"/>
        </w:rPr>
      </w:pPr>
      <w:r>
        <w:rPr>
          <w:lang w:eastAsia="ja-JP"/>
        </w:rPr>
        <w:t xml:space="preserve">Degli eventi mostrati si potranno visualizzarne i </w:t>
      </w:r>
      <w:r>
        <w:rPr>
          <w:b/>
          <w:bCs/>
          <w:lang w:eastAsia="ja-JP"/>
        </w:rPr>
        <w:t>dettagli</w:t>
      </w:r>
      <w:r>
        <w:rPr>
          <w:lang w:eastAsia="ja-JP"/>
        </w:rPr>
        <w:t xml:space="preserve"> (in una schermata analoga a quella descritta nella </w:t>
      </w:r>
      <w:hyperlink w:anchor="_Pagina_Calendario:_visualizzare">
        <w:r>
          <w:rPr>
            <w:rStyle w:val="InternetLink"/>
            <w:lang w:eastAsia="ja-JP"/>
          </w:rPr>
          <w:t xml:space="preserve">sezione </w:t>
        </w:r>
        <w:r>
          <w:rPr>
            <w:rStyle w:val="InternetLink"/>
          </w:rPr>
          <w:t>Pagina Calendario: visualizzare i dettagli di un evento</w:t>
        </w:r>
      </w:hyperlink>
      <w:r>
        <w:rPr>
          <w:lang w:eastAsia="ja-JP"/>
        </w:rPr>
        <w:t xml:space="preserve">). Si potrà inoltre modificarli (in modo analogo a quanto descritto nella sezione </w:t>
      </w:r>
      <w:hyperlink w:anchor="_Pagina_Calendario:_modificare">
        <w:r>
          <w:rPr>
            <w:rStyle w:val="InternetLink"/>
          </w:rPr>
          <w:t>Pagina Calendario: modificare un evento</w:t>
        </w:r>
      </w:hyperlink>
      <w:r>
        <w:rPr>
          <w:lang w:eastAsia="ja-JP"/>
        </w:rPr>
        <w:t>).</w:t>
      </w:r>
    </w:p>
    <w:p>
      <w:pPr>
        <w:pStyle w:val="Normal"/>
        <w:rPr>
          <w:lang w:eastAsia="ja-JP"/>
        </w:rPr>
      </w:pPr>
      <w:r>
        <w:rPr>
          <w:lang w:eastAsia="ja-JP"/>
        </w:rPr>
        <w:t xml:space="preserve">Si potrà inoltre </w:t>
      </w:r>
      <w:r>
        <w:rPr>
          <w:b/>
          <w:bCs/>
          <w:lang w:eastAsia="ja-JP"/>
        </w:rPr>
        <w:t xml:space="preserve">creare un nuovo evento </w:t>
      </w:r>
      <w:r>
        <w:rPr>
          <w:lang w:eastAsia="ja-JP"/>
        </w:rPr>
        <w:t xml:space="preserve">(in modo analogo a quanto descritto nella sezione </w:t>
        <w:br/>
      </w:r>
    </w:p>
    <w:p>
      <w:pPr>
        <w:pStyle w:val="Heading3"/>
        <w:rPr>
          <w:lang w:eastAsia="ja-JP"/>
        </w:rPr>
      </w:pPr>
      <w:bookmarkStart w:id="17" w:name="_Toc10996005"/>
      <w:bookmarkEnd w:id="17"/>
      <w:r>
        <w:rPr>
          <w:lang w:eastAsia="ja-JP"/>
        </w:rPr>
        <w:t>Pagina Eventi: cancellare un evento</w:t>
      </w:r>
    </w:p>
    <w:p>
      <w:pPr>
        <w:pStyle w:val="Normal"/>
        <w:keepNext w:val="true"/>
        <w:rPr/>
      </w:pPr>
      <w:r>
        <w:rPr/>
        <w:br/>
        <w:t xml:space="preserve">Funzionalità esclusiva della pagina Eventi è invece quella di </w:t>
      </w:r>
      <w:r>
        <w:rPr>
          <w:b/>
          <w:bCs/>
        </w:rPr>
        <w:t>cancellare un evento calendarizzato</w:t>
      </w:r>
      <w:r>
        <w:rPr/>
        <w:t xml:space="preserve">. Cliccando il </w:t>
      </w:r>
      <w:r>
        <w:rPr>
          <w:b/>
          <w:bCs/>
        </w:rPr>
        <w:t xml:space="preserve">pulsante “Elimina” </w:t>
      </w:r>
      <w:r>
        <w:rPr/>
        <w:t xml:space="preserve">(cerchiato in arancione in Figura 20) all’utente verrà mostrato un </w:t>
      </w:r>
      <w:r>
        <w:rPr>
          <w:b/>
          <w:bCs/>
        </w:rPr>
        <w:t xml:space="preserve">alert di conferma </w:t>
      </w:r>
      <w:r>
        <w:rPr/>
        <w:t>per l’eliminazione dell’evento. Se l’utente conferma la scelta l’evento verrà eliminato e verrà mostrato un messaggio di avvenuta eliminazione dell’evento</w:t>
      </w:r>
    </w:p>
    <w:p>
      <w:pPr>
        <w:pStyle w:val="Normal"/>
        <w:keepNext w:val="true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062095" cy="1066800"/>
            <wp:effectExtent l="0" t="0" r="0" b="0"/>
            <wp:docPr id="40" name="Immagine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64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513705" cy="337820"/>
            <wp:effectExtent l="0" t="0" r="0" b="0"/>
            <wp:docPr id="41" name="Immagine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magine 6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0" t="0" r="9771" b="24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21</w:t>
      </w:r>
      <w:r>
        <w:fldChar w:fldCharType="end"/>
      </w:r>
      <w:r>
        <w:rPr/>
        <w:t>: alert per la conferma di cancellazione evento (sopra) e messaggio di avvenuta eliminazione dell’evento (sotto)</w:t>
      </w:r>
    </w:p>
    <w:p>
      <w:pPr>
        <w:pStyle w:val="Normal"/>
        <w:rPr/>
      </w:pPr>
      <w:r>
        <w:rPr/>
      </w:r>
    </w:p>
    <w:p>
      <w:pPr>
        <w:pStyle w:val="Heading2"/>
        <w:rPr>
          <w:lang w:eastAsia="ja-JP"/>
        </w:rPr>
      </w:pPr>
      <w:bookmarkStart w:id="18" w:name="_Toc10996006"/>
      <w:bookmarkEnd w:id="18"/>
      <w:r>
        <w:rPr>
          <w:lang w:eastAsia="ja-JP"/>
        </w:rPr>
        <w:t>Pagina Manuale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rFonts w:eastAsia="游明朝"/>
          <w:lang w:eastAsia="ja-JP"/>
        </w:rPr>
      </w:pPr>
      <w:r>
        <w:rPr/>
        <w:drawing>
          <wp:inline distT="0" distB="0" distL="0" distR="0">
            <wp:extent cx="6120130" cy="4756150"/>
            <wp:effectExtent l="0" t="0" r="0" b="0"/>
            <wp:docPr id="42" name="Immagin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6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游明朝"/>
          <w:lang w:eastAsia="ja-JP"/>
        </w:rPr>
      </w:pPr>
      <w:r>
        <w:rPr>
          <w:rFonts w:eastAsia="游明朝"/>
          <w:lang w:eastAsia="ja-JP"/>
        </w:rPr>
        <w:t>Nella pagina Manuale è possibile consultare, scaricare (tramite il pulsante cerchiato di rosso in Figura 22) e stampare (tramite il pulsante cerchiato di verde</w:t>
      </w:r>
      <w:bookmarkStart w:id="19" w:name="_GoBack"/>
      <w:bookmarkEnd w:id="19"/>
      <w:r>
        <w:rPr>
          <w:rFonts w:eastAsia="游明朝"/>
          <w:lang w:eastAsia="ja-JP"/>
        </w:rPr>
        <w:t xml:space="preserve"> in Figura 22) il presente manuale. </w:t>
      </w:r>
    </w:p>
    <w:p>
      <w:pPr>
        <w:pStyle w:val="Normal"/>
        <w:rPr>
          <w:rFonts w:eastAsia="游明朝"/>
          <w:lang w:eastAsia="ja-JP"/>
        </w:rPr>
      </w:pPr>
      <w:r>
        <w:rPr>
          <w:rFonts w:eastAsia="游明朝"/>
          <w:lang w:eastAsia="ja-JP"/>
        </w:rPr>
      </w:r>
    </w:p>
    <w:p>
      <w:pPr>
        <w:pStyle w:val="Heading2"/>
        <w:rPr>
          <w:lang w:eastAsia="ja-JP"/>
        </w:rPr>
      </w:pPr>
      <w:bookmarkStart w:id="20" w:name="_Toc10996007"/>
      <w:bookmarkStart w:id="21" w:name="_Meccanismo_di_alert"/>
      <w:bookmarkEnd w:id="21"/>
      <w:r>
        <w:rPr>
          <w:lang w:eastAsia="ja-JP"/>
        </w:rPr>
        <w:t xml:space="preserve">Meccanismo di </w:t>
      </w:r>
      <w:bookmarkEnd w:id="20"/>
      <w:r>
        <w:rPr>
          <w:lang w:eastAsia="ja-JP"/>
        </w:rPr>
        <w:t>notifica all’utente</w:t>
      </w:r>
    </w:p>
    <w:p>
      <w:pPr>
        <w:pStyle w:val="Normal"/>
        <w:rPr>
          <w:rFonts w:eastAsia="游明朝"/>
          <w:lang w:eastAsia="ja-JP"/>
        </w:rPr>
      </w:pPr>
      <w:r>
        <w:rPr>
          <w:rFonts w:eastAsia="游明朝"/>
          <w:lang w:eastAsia="ja-JP"/>
        </w:rPr>
      </w:r>
    </w:p>
    <w:p>
      <w:pPr>
        <w:pStyle w:val="Normal"/>
        <w:rPr>
          <w:rFonts w:eastAsia="游明朝"/>
          <w:lang w:eastAsia="ja-JP"/>
        </w:rPr>
      </w:pPr>
      <w:r>
        <w:rPr>
          <w:rFonts w:eastAsia="游明朝"/>
          <w:lang w:eastAsia="ja-JP"/>
        </w:rPr>
        <w:t xml:space="preserve">Il meccanismo del sistema di notifica all’utente viene utilizzato per segnalare a quest’ultimo eventi che si stanno avvicinando, in scadenza o sui quali si è in ritardo. </w:t>
      </w:r>
    </w:p>
    <w:p>
      <w:pPr>
        <w:pStyle w:val="Normal"/>
        <w:rPr>
          <w:rFonts w:eastAsia="游明朝"/>
          <w:lang w:eastAsia="ja-JP"/>
        </w:rPr>
      </w:pPr>
      <w:r>
        <w:rPr>
          <w:rFonts w:eastAsia="游明朝"/>
          <w:lang w:eastAsia="ja-JP"/>
        </w:rPr>
        <w:t>Tale meccanismo varia dalla tipologia e dall’urgenza di un evento e opera con la seguente logica: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Eventi di massima urgenza e/o di tipo Data Breach – notifica </w:t>
      </w:r>
      <w:r>
        <w:rPr>
          <w:b/>
          <w:bCs/>
        </w:rPr>
        <w:t>ogni ora per 72 ore</w:t>
      </w:r>
      <w:r>
        <w:rPr/>
        <w:t xml:space="preserve"> dal momento della loro creazione fino al loro completamento e anche oltre la scadenza, segnando il ritardo accumulato.</w:t>
        <w:br/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Eventi di massima urgenza ma </w:t>
      </w:r>
      <w:r>
        <w:rPr>
          <w:u w:val="single"/>
        </w:rPr>
        <w:t>non</w:t>
      </w:r>
      <w:r>
        <w:rPr/>
        <w:t xml:space="preserve"> di tipo Data Breach – notifica </w:t>
      </w:r>
      <w:r>
        <w:rPr>
          <w:b/>
          <w:bCs/>
        </w:rPr>
        <w:t>ogni ora</w:t>
      </w:r>
      <w:r>
        <w:rPr/>
        <w:t xml:space="preserve"> prima dell'inizio dell'evento e anche oltre la scadenza, segnando il ritardo accumulato.</w:t>
        <w:br/>
        <w:t xml:space="preserve"> </w:t>
      </w:r>
    </w:p>
    <w:p>
      <w:pPr>
        <w:pStyle w:val="ListParagraph"/>
        <w:numPr>
          <w:ilvl w:val="0"/>
          <w:numId w:val="8"/>
        </w:numPr>
        <w:rPr>
          <w:b/>
          <w:b/>
          <w:bCs/>
        </w:rPr>
      </w:pPr>
      <w:r>
        <w:rPr/>
        <w:t xml:space="preserve">Evento urgente – notifica </w:t>
      </w:r>
      <w:r>
        <w:rPr>
          <w:b/>
          <w:bCs/>
        </w:rPr>
        <w:t>due volte al giorno, alle ore 10:00 e 16:00</w:t>
      </w:r>
      <w:r>
        <w:rPr/>
        <w:t>.</w:t>
      </w:r>
      <w:r>
        <w:rPr>
          <w:b/>
          <w:bCs/>
        </w:rPr>
        <w:br/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Evento non urgente – notifica </w:t>
      </w:r>
      <w:r>
        <w:rPr>
          <w:b/>
          <w:bCs/>
        </w:rPr>
        <w:t>un'ora prima dell'inizio</w:t>
      </w:r>
      <w:r>
        <w:rPr/>
        <w:t>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2" w:name="_Toc10996008"/>
      <w:bookmarkStart w:id="23" w:name="_Parte_3_–"/>
      <w:bookmarkEnd w:id="22"/>
      <w:bookmarkEnd w:id="23"/>
      <w:r>
        <w:rPr/>
        <w:t>Parte 3 – Appendice con allegati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4" w:name="_Toc10996009"/>
      <w:bookmarkEnd w:id="24"/>
      <w:r>
        <w:rPr/>
        <w:t>Allegati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4472C4" w:themeColor="accent1"/>
          <w:u w:val="single"/>
        </w:rPr>
      </w:pPr>
      <w:hyperlink r:id="rId39">
        <w:r>
          <w:rPr>
            <w:rStyle w:val="InternetLink"/>
            <w:b/>
            <w:bCs/>
            <w:color w:val="4472C4" w:themeColor="accent1"/>
          </w:rPr>
          <w:t>ALLEGATO 1 – TESTO GDPR</w:t>
        </w:r>
      </w:hyperlink>
      <w:r>
        <w:rPr>
          <w:b/>
          <w:bCs/>
          <w:color w:val="4472C4" w:themeColor="accent1"/>
        </w:rPr>
        <w:br/>
      </w:r>
    </w:p>
    <w:p>
      <w:pPr>
        <w:pStyle w:val="Normal"/>
        <w:rPr>
          <w:b/>
          <w:b/>
          <w:bCs/>
          <w:color w:val="4472C4" w:themeColor="accent1"/>
          <w:u w:val="single"/>
        </w:rPr>
      </w:pPr>
      <w:hyperlink r:id="rId40">
        <w:r>
          <w:rPr>
            <w:rStyle w:val="InternetLink"/>
            <w:b/>
            <w:bCs/>
            <w:color w:val="4472C4" w:themeColor="accent1"/>
          </w:rPr>
          <w:t>ALLEGATO 2 – MODELLO DI SEGNALAZIONE DI DATA BREACH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bookmarkStart w:id="25" w:name="_Toc10996010"/>
      <w:r>
        <w:rPr>
          <w:rStyle w:val="Titolo2Carattere"/>
        </w:rPr>
        <w:t>Fonti</w:t>
      </w:r>
      <w:bookmarkEnd w:id="25"/>
      <w:r>
        <w:rPr>
          <w:sz w:val="28"/>
          <w:szCs w:val="28"/>
        </w:rPr>
        <w:br/>
      </w:r>
    </w:p>
    <w:p>
      <w:pPr>
        <w:pStyle w:val="ListParagraph"/>
        <w:numPr>
          <w:ilvl w:val="0"/>
          <w:numId w:val="1"/>
        </w:numPr>
        <w:rPr/>
      </w:pPr>
      <w:hyperlink r:id="rId41">
        <w:r>
          <w:rPr>
            <w:rStyle w:val="InternetLink"/>
          </w:rPr>
          <w:t>https://www.opensymbol.it/glossario-gdpr/</w:t>
        </w:r>
      </w:hyperlink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hyperlink r:id="rId42">
        <w:r>
          <w:rPr>
            <w:rStyle w:val="InternetLink"/>
          </w:rPr>
          <w:t>https://www.datalog.it/gdpr-2018-glossario-e-spiegazione-dei-termini/</w:t>
        </w:r>
      </w:hyperlink>
    </w:p>
    <w:sectPr>
      <w:headerReference w:type="default" r:id="rId43"/>
      <w:type w:val="nextPage"/>
      <w:pgSz w:w="11906" w:h="16838"/>
      <w:pgMar w:left="1134" w:right="1134" w:header="708" w:top="1417" w:footer="0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drawing>
        <wp:anchor behindDoc="0" distT="0" distB="0" distL="114300" distR="114300" simplePos="0" locked="0" layoutInCell="1" allowOverlap="1" relativeHeight="20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365760" cy="365760"/>
          <wp:effectExtent l="0" t="0" r="0" b="0"/>
          <wp:wrapTight wrapText="bothSides">
            <wp:wrapPolygon edited="0">
              <wp:start x="-47" y="0"/>
              <wp:lineTo x="-47" y="13470"/>
              <wp:lineTo x="2210" y="19084"/>
              <wp:lineTo x="7845" y="20207"/>
              <wp:lineTo x="20242" y="20207"/>
              <wp:lineTo x="20242" y="8979"/>
              <wp:lineTo x="13481" y="0"/>
              <wp:lineTo x="-47" y="0"/>
            </wp:wrapPolygon>
          </wp:wrapTight>
          <wp:docPr id="43" name="Immagin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Immagine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</w:t>
    </w:r>
    <w:r>
      <w:rPr>
        <w:b/>
      </w:rPr>
      <w:t xml:space="preserve">            </w:t>
    </w:r>
    <w:r>
      <w:rPr>
        <w:b/>
      </w:rPr>
      <w:t xml:space="preserve">Nome Progetto: </w:t>
    </w:r>
    <w:r>
      <w:rPr/>
      <w:t xml:space="preserve">EasyGDPR </w:t>
      <w:tab/>
      <w:t xml:space="preserve">          </w:t>
    </w:r>
    <w:r>
      <w:rPr>
        <w:b/>
      </w:rPr>
      <w:t xml:space="preserve">Documento: </w:t>
    </w:r>
    <w:r>
      <w:rPr/>
      <w:t>Glossario</w:t>
    </w:r>
  </w:p>
  <w:p>
    <w:pPr>
      <w:pStyle w:val="Header"/>
      <w:rPr/>
    </w:pPr>
    <w:r>
      <w:rPr/>
      <w:t xml:space="preserve">             </w:t>
    </w:r>
    <w:r>
      <w:rPr/>
      <w:t>Versione Documento: 3                    Autore Documento: D’Agostino Giovanni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3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b1b1a"/>
    <w:pPr>
      <w:widowControl/>
      <w:bidi w:val="0"/>
      <w:spacing w:lineRule="auto" w:line="259" w:before="0" w:after="160"/>
      <w:jc w:val="left"/>
    </w:pPr>
    <w:rPr>
      <w:rFonts w:ascii="Arial" w:hAnsi="Arial" w:eastAsia="Calibri" w:cs="Arial" w:eastAsiaTheme="minorHAnsi"/>
      <w:color w:val="00000A"/>
      <w:kern w:val="0"/>
      <w:sz w:val="24"/>
      <w:szCs w:val="24"/>
      <w:lang w:val="it-IT" w:eastAsia="en-US" w:bidi="ar-SA"/>
    </w:rPr>
  </w:style>
  <w:style w:type="paragraph" w:styleId="Heading1">
    <w:name w:val="Heading 1"/>
    <w:basedOn w:val="Normal"/>
    <w:link w:val="Titolo1Carattere"/>
    <w:uiPriority w:val="9"/>
    <w:qFormat/>
    <w:rsid w:val="005d2b19"/>
    <w:pPr>
      <w:keepNext w:val="true"/>
      <w:keepLines/>
      <w:spacing w:before="240" w:after="0"/>
      <w:outlineLvl w:val="0"/>
    </w:pPr>
    <w:rPr>
      <w:rFonts w:eastAsia="맑은 고딕" w:eastAsiaTheme="majorEastAsia"/>
      <w:b/>
      <w:color w:val="000000" w:themeColor="text1"/>
      <w:sz w:val="36"/>
      <w:szCs w:val="36"/>
    </w:rPr>
  </w:style>
  <w:style w:type="paragraph" w:styleId="Heading2">
    <w:name w:val="Heading 2"/>
    <w:basedOn w:val="Normal"/>
    <w:link w:val="Titolo2Carattere"/>
    <w:uiPriority w:val="9"/>
    <w:unhideWhenUsed/>
    <w:qFormat/>
    <w:rsid w:val="00746cf1"/>
    <w:pPr>
      <w:keepNext w:val="true"/>
      <w:keepLines/>
      <w:spacing w:before="40" w:after="0"/>
      <w:outlineLvl w:val="1"/>
    </w:pPr>
    <w:rPr>
      <w:rFonts w:eastAsia="맑은 고딕" w:eastAsiaTheme="majorEastAsia"/>
      <w:b/>
      <w:color w:val="000000" w:themeColor="text1"/>
      <w:sz w:val="32"/>
      <w:szCs w:val="32"/>
    </w:rPr>
  </w:style>
  <w:style w:type="paragraph" w:styleId="Heading3">
    <w:name w:val="Heading 3"/>
    <w:basedOn w:val="Heading1"/>
    <w:link w:val="Titolo3Carattere"/>
    <w:uiPriority w:val="9"/>
    <w:unhideWhenUsed/>
    <w:qFormat/>
    <w:rsid w:val="00746cf1"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d6b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d6b37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d56faf"/>
    <w:rPr>
      <w:b/>
      <w:bCs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b60f44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b60f44"/>
    <w:rPr/>
  </w:style>
  <w:style w:type="character" w:styleId="Voce" w:customStyle="1">
    <w:name w:val="voce"/>
    <w:basedOn w:val="DefaultParagraphFont"/>
    <w:qFormat/>
    <w:rsid w:val="00371dd5"/>
    <w:rPr/>
  </w:style>
  <w:style w:type="character" w:styleId="Emphasis">
    <w:name w:val="Emphasis"/>
    <w:basedOn w:val="DefaultParagraphFont"/>
    <w:uiPriority w:val="20"/>
    <w:qFormat/>
    <w:rsid w:val="00423adb"/>
    <w:rPr>
      <w:i/>
      <w:iCs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5d2b19"/>
    <w:rPr>
      <w:rFonts w:ascii="Arial" w:hAnsi="Arial" w:eastAsia="맑은 고딕" w:cs="Arial" w:eastAsiaTheme="majorEastAsia"/>
      <w:b/>
      <w:color w:val="000000" w:themeColor="text1"/>
      <w:sz w:val="36"/>
      <w:szCs w:val="36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746cf1"/>
    <w:rPr>
      <w:rFonts w:ascii="Arial" w:hAnsi="Arial" w:eastAsia="맑은 고딕" w:cs="Arial" w:eastAsiaTheme="majorEastAsia"/>
      <w:b/>
      <w:color w:val="000000" w:themeColor="text1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55e89"/>
    <w:rPr>
      <w:color w:val="954F72" w:themeColor="followedHyperlink"/>
      <w:u w:val="single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4f7763"/>
    <w:rPr>
      <w:rFonts w:ascii="Segoe UI" w:hAnsi="Segoe UI" w:cs="Segoe UI"/>
      <w:sz w:val="18"/>
      <w:szCs w:val="18"/>
    </w:rPr>
  </w:style>
  <w:style w:type="character" w:styleId="Titolo3Carattere" w:customStyle="1">
    <w:name w:val="Titolo 3 Carattere"/>
    <w:basedOn w:val="DefaultParagraphFont"/>
    <w:link w:val="Titolo3"/>
    <w:uiPriority w:val="9"/>
    <w:qFormat/>
    <w:rsid w:val="00746cf1"/>
    <w:rPr>
      <w:rFonts w:ascii="Arial" w:hAnsi="Arial" w:eastAsia="맑은 고딕" w:cs="Arial" w:eastAsiaTheme="majorEastAsia"/>
      <w:b/>
      <w:color w:val="000000" w:themeColor="text1"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  <w:color w:val="000000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00000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IndexLink">
    <w:name w:val="Index Link"/>
    <w:qFormat/>
    <w:rPr/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  <w:b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86b53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IntestazioneCarattere"/>
    <w:uiPriority w:val="99"/>
    <w:unhideWhenUsed/>
    <w:rsid w:val="00b60f44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b60f44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371dd5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it-IT"/>
    </w:rPr>
  </w:style>
  <w:style w:type="paragraph" w:styleId="TOCHeading">
    <w:name w:val="TOC Heading"/>
    <w:basedOn w:val="Heading1"/>
    <w:uiPriority w:val="39"/>
    <w:unhideWhenUsed/>
    <w:qFormat/>
    <w:rsid w:val="002d57bf"/>
    <w:pPr/>
    <w:rPr>
      <w:lang w:eastAsia="it-IT"/>
    </w:rPr>
  </w:style>
  <w:style w:type="paragraph" w:styleId="Contents1">
    <w:name w:val="TOC 1"/>
    <w:basedOn w:val="Normal"/>
    <w:autoRedefine/>
    <w:uiPriority w:val="39"/>
    <w:unhideWhenUsed/>
    <w:rsid w:val="002d57bf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2d57bf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4f776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1">
    <w:name w:val="caption"/>
    <w:basedOn w:val="Normal"/>
    <w:uiPriority w:val="35"/>
    <w:unhideWhenUsed/>
    <w:qFormat/>
    <w:rsid w:val="00fa38bc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Contents3">
    <w:name w:val="TOC 3"/>
    <w:basedOn w:val="Normal"/>
    <w:autoRedefine/>
    <w:uiPriority w:val="39"/>
    <w:unhideWhenUsed/>
    <w:rsid w:val="00ab1b1a"/>
    <w:pPr>
      <w:spacing w:before="0" w:after="100"/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b60f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griglia1chiara">
    <w:name w:val="Grid Table 1 Light"/>
    <w:basedOn w:val="Tabellanormale"/>
    <w:uiPriority w:val="46"/>
    <w:rsid w:val="0012584e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garanteprivacy.it/" TargetMode="External"/><Relationship Id="rId5" Type="http://schemas.openxmlformats.org/officeDocument/2006/relationships/hyperlink" Target="https://protezionedatipersonali.it/profilazione" TargetMode="External"/><Relationship Id="rId6" Type="http://schemas.openxmlformats.org/officeDocument/2006/relationships/hyperlink" Target="https://protezionedatipersonali.it/finalita-del-trattamento" TargetMode="External"/><Relationship Id="rId7" Type="http://schemas.openxmlformats.org/officeDocument/2006/relationships/hyperlink" Target="https://protezionedatipersonali.it/portabilita-dei-dati" TargetMode="External"/><Relationship Id="rId8" Type="http://schemas.openxmlformats.org/officeDocument/2006/relationships/hyperlink" Target="https://protezionedatipersonali.it/interessato-del-trattamentoa" TargetMode="External"/><Relationship Id="rId9" Type="http://schemas.openxmlformats.org/officeDocument/2006/relationships/hyperlink" Target="http://www.dposcuola.it/2018/05/15/diritto-di-opposizione-al-trattamento-dei-dati-art-21-gdpr-considerando-69-e-70/" TargetMode="External"/><Relationship Id="rId10" Type="http://schemas.openxmlformats.org/officeDocument/2006/relationships/hyperlink" Target="http://www.defensis.it/risorse-eventi/registro_dei_trattamenti_gdpr_-_modello.html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hyperlink" Target="file:///home/kikence/Desktop/uniud/Progetto/Documentazione/Manuale/Allegati/Allegato 1 - Testo GDPR.pdf" TargetMode="External"/><Relationship Id="rId40" Type="http://schemas.openxmlformats.org/officeDocument/2006/relationships/hyperlink" Target="file:///home/kikence/Desktop/uniud/Progetto/Documentazione/Manuale/Allegati/Allegato 2 - Modello di segnalazione di data breach.pdf" TargetMode="External"/><Relationship Id="rId41" Type="http://schemas.openxmlformats.org/officeDocument/2006/relationships/hyperlink" Target="https://www.opensymbol.it/glossario-gdpr/" TargetMode="External"/><Relationship Id="rId42" Type="http://schemas.openxmlformats.org/officeDocument/2006/relationships/hyperlink" Target="https://www.datalog.it/gdpr-2018-glossario-e-spiegazione-dei-termini/" TargetMode="External"/><Relationship Id="rId43" Type="http://schemas.openxmlformats.org/officeDocument/2006/relationships/header" Target="head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<Relationship Id="rId4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1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2781B-1D63-4120-B191-C425ADE84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Application>LibreOffice/5.4.6.2$Linux_X86_64 LibreOffice_project/40m0$Build-2</Application>
  <Pages>20</Pages>
  <Words>2739</Words>
  <Characters>16076</Characters>
  <CharactersWithSpaces>18767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2018-11-16T12:44:00Z</dcterms:created>
  <dc:creator>Giovanni D'Agostino</dc:creator>
  <dc:description/>
  <dc:language>en-US</dc:language>
  <cp:lastModifiedBy/>
  <cp:lastPrinted>2019-02-09T14:07:00Z</cp:lastPrinted>
  <dcterms:modified xsi:type="dcterms:W3CDTF">2019-06-09T21:50:39Z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