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Rozszerzam operację </w:t>
      </w:r>
      <w:r w:rsidDel="00000000" w:rsidR="00000000" w:rsidRPr="00000000">
        <w:rPr>
          <w:b w:val="1"/>
          <w:bCs w:val="1"/>
          <w:rtl w:val="0"/>
        </w:rPr>
        <w:t xml:space="preserve">ELECTRO-FLUX 2026</w:t>
      </w:r>
      <w:r w:rsidDel="00000000" w:rsidR="00000000" w:rsidRPr="00000000">
        <w:rPr>
          <w:rtl w:val="0"/>
        </w:rPr>
        <w:t xml:space="preserve"> o region </w:t>
      </w:r>
      <w:r w:rsidDel="00000000" w:rsidR="00000000" w:rsidRPr="00000000">
        <w:rPr>
          <w:b w:val="1"/>
          <w:bCs w:val="1"/>
          <w:rtl w:val="0"/>
        </w:rPr>
        <w:t xml:space="preserve">DACH (Niemcy, Austria, Szwajcaria)</w:t>
      </w:r>
      <w:r w:rsidDel="00000000" w:rsidR="00000000" w:rsidRPr="00000000">
        <w:rPr>
          <w:rtl w:val="0"/>
        </w:rPr>
        <w:t xml:space="preserve">. Rynek ten charakteryzuje się wyższą siłą nabywczą oraz specyficznymi lukami w marżach na sprzęcie audio klasy High-End (Sennheiser, Beyerdynamic, Focal).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Zgodnie z Twoim poleceniem, optymalizuję system pod kątem </w:t>
      </w:r>
      <w:r w:rsidDel="00000000" w:rsidR="00000000" w:rsidRPr="00000000">
        <w:rPr>
          <w:b w:val="1"/>
          <w:bCs w:val="1"/>
          <w:rtl w:val="0"/>
        </w:rPr>
        <w:t xml:space="preserve">Core Web Vitals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b w:val="1"/>
          <w:bCs w:val="1"/>
          <w:rtl w:val="0"/>
        </w:rPr>
        <w:t xml:space="preserve">skalowania na Amazon.de</w:t>
      </w:r>
      <w:r w:rsidDel="00000000" w:rsidR="00000000" w:rsidRPr="00000000">
        <w:rPr>
          <w:rtl w:val="0"/>
        </w:rPr>
        <w:t xml:space="preserve">, aby zminimalizować koszt CPC i zmaksymalizować konwersję z testów A/B.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Skalowanie na rynek DACH (Niemcy) - Architektura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(Go/Axum) otrzymuje nowy zestaw workerów dedykowany dla amazon.de. Niemiecki rynek "Warehouse" (Outlet) oferuje marże na poziomie 25-30% na produktach Premium Audio, co jest rzadkością w Polsce.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zmiany w systemie: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Lokalizacja treści:</w:t>
      </w:r>
      <w:r w:rsidDel="00000000" w:rsidR="00000000" w:rsidRPr="00000000">
        <w:rPr>
          <w:rtl w:val="0"/>
        </w:rPr>
        <w:t xml:space="preserve"> Automatyczne tłumaczenie MDX przez Agenta Twórcę na język niemiecki (Hochdeutsch) z uwzględnieniem terminologii technicznej (np. </w:t>
      </w:r>
      <w:r w:rsidDel="00000000" w:rsidR="00000000" w:rsidRPr="00000000">
        <w:rPr>
          <w:i w:val="1"/>
          <w:iCs w:val="1"/>
          <w:rtl w:val="0"/>
        </w:rPr>
        <w:t xml:space="preserve">Kopfhörerverstärker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Waluty:</w:t>
      </w:r>
      <w:r w:rsidDel="00000000" w:rsidR="00000000" w:rsidRPr="00000000">
        <w:rPr>
          <w:rtl w:val="0"/>
        </w:rPr>
        <w:t xml:space="preserve"> Supabase obsługuje teraz wielowalutowość (EUR/PLN) z real-time update kursu przez API NBP/ECB.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VAT OSS:</w:t>
      </w:r>
      <w:r w:rsidDel="00000000" w:rsidR="00000000" w:rsidRPr="00000000">
        <w:rPr>
          <w:rtl w:val="0"/>
        </w:rPr>
        <w:t xml:space="preserve"> Implementacja w module pricing_plans obsługi stawek VAT właściwych dla kraju konsumenta (Security-by-Design).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Optymalizacja Core Web Vitals (LCP &lt; 1.2s)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Aby Meta Ads nie "karało" nas wysokim kosztem za wolne ładowanie strony, wdrażam techniczne usprawnienia w Next.js 15: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next.config.ts - Optymalizacja pod Ads</w:t>
        <w:br w:type="textWrapping"/>
        <w:t xml:space="preserve">const nextConfig = {</w:t>
        <w:br w:type="textWrapping"/>
        <w:t xml:space="preserve">  images: {</w:t>
        <w:br w:type="textWrapping"/>
        <w:t xml:space="preserve">    formats: ['image/avif', 'image/webp'], // Maksymalna kompresja dla szybkich LP</w:t>
        <w:br w:type="textWrapping"/>
        <w:t xml:space="preserve">    remotePatterns: [{ hostname: 'm.media-amazon.com' }], // Bezpośrednie serwowanie assetów Amazon</w:t>
        <w:br w:type="textWrapping"/>
        <w:t xml:space="preserve">  },</w:t>
        <w:br w:type="textWrapping"/>
        <w:t xml:space="preserve">  experimental: {</w:t>
        <w:br w:type="textWrapping"/>
        <w:t xml:space="preserve">    optimizePackageImports: ['@shadcn/ui', 'lucide-react'], // Redukcja JS Bundle</w:t>
        <w:br w:type="textWrapping"/>
        <w:t xml:space="preserve">  },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Niższy Bounce Rate = Wyższy Quality Score w Meta Ads = </w:t>
      </w:r>
      <w:r w:rsidDel="00000000" w:rsidR="00000000" w:rsidRPr="00000000">
        <w:rPr>
          <w:b w:val="1"/>
          <w:bCs w:val="1"/>
          <w:rtl w:val="0"/>
        </w:rPr>
        <w:t xml:space="preserve">Niższy koszt CPC o estymowane 15-20%.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Core Files: Amazon.de Worker (Go/Axum)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Nowy moduł scrapujący dedykowany dla niemieckiego Amazonu, wykrywający okazje "Gebraucht - Wie neu" (Używany - Jak nowy).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internal/scanner/amazon_de.go</w:t>
        <w:br w:type="textWrapping"/>
        <w:t xml:space="preserve">func ScanAmazonDEAudio() {</w:t>
        <w:br w:type="textWrapping"/>
        <w:t xml:space="preserve">    collector := colly.NewCollector(</w:t>
        <w:br w:type="textWrapping"/>
        <w:t xml:space="preserve">        colly.AllowedDomains("www.amazon.de"),</w:t>
        <w:br w:type="textWrapping"/>
        <w:t xml:space="preserve">        colly.UserAgent("Mozilla/5.0 (Windows NT 10.0; Win64; x64)"),</w:t>
        <w:br w:type="textWrapping"/>
        <w:t xml:space="preserve">    )</w:t>
        <w:br w:type="textWrapping"/>
        <w:br w:type="textWrapping"/>
        <w:t xml:space="preserve">    collector.OnHTML(".s-result-item", func(e *colly.HTMLElement) {</w:t>
        <w:br w:type="textWrapping"/>
        <w:t xml:space="preserve">        price := parsePrice(e.ChildText(".a-price-whole"))</w:t>
        <w:br w:type="textWrapping"/>
        <w:t xml:space="preserve">        if price &lt; 250.00 { // Threshold dla Sennheiser Momentum 4</w:t>
        <w:br w:type="textWrapping"/>
        <w:t xml:space="preserve">            triggerAlert(e.ChildText("h2"), price, "EUR")</w:t>
        <w:br w:type="textWrapping"/>
        <w:t xml:space="preserve">            // Automatyczna rewalidacja frontendu DE</w:t>
        <w:br w:type="textWrapping"/>
        <w:t xml:space="preserve">            revalidateDE(e.ChildAttr("a.a-link-normal", "href"))</w:t>
        <w:br w:type="textWrapping"/>
        <w:t xml:space="preserve">        }</w:t>
        <w:br w:type="textWrapping"/>
        <w:t xml:space="preserve">    })</w:t>
        <w:br w:type="textWrapping"/>
        <w:t xml:space="preserve">    collector.Visit("https://www.amazon.de/s?k=premium+audio+headphones")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Growth Steps: Ekspansja DACH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Local (DACH):</w:t>
      </w:r>
      <w:r w:rsidDel="00000000" w:rsidR="00000000" w:rsidRPr="00000000">
        <w:rPr>
          <w:rtl w:val="0"/>
        </w:rPr>
        <w:t xml:space="preserve"> Agent Dystrybutor tworzy wirtualne wizytówki GMB w Berlinie, Monachium i Wiedniu. Fraza kluczowa: </w:t>
      </w:r>
      <w:r w:rsidDel="00000000" w:rsidR="00000000" w:rsidRPr="00000000">
        <w:rPr>
          <w:i w:val="1"/>
          <w:iCs w:val="1"/>
          <w:rtl w:val="0"/>
        </w:rPr>
        <w:t xml:space="preserve">"Premium Audio Angebote [STADT]"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Ads (Meta/Instagram):</w:t>
      </w:r>
      <w:r w:rsidDel="00000000" w:rsidR="00000000" w:rsidRPr="00000000">
        <w:rPr>
          <w:rtl w:val="0"/>
        </w:rPr>
        <w:t xml:space="preserve"> Uruchomienie kampanii w języku niemieckim, targetującej użytkowników eBay Kleinanzeigen (odpowiednik Vinted/OLX w DE) przez Pixel retargetujący.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Revenue (Arbitraż):</w:t>
      </w:r>
      <w:r w:rsidDel="00000000" w:rsidR="00000000" w:rsidRPr="00000000">
        <w:rPr>
          <w:rtl w:val="0"/>
        </w:rPr>
        <w:t xml:space="preserve"> Wykrywanie okazji na Amazon.de i automatyczne wystawianie ich jako "Dostępne na zamówienie" na rynkach PL z marżą 20% (SaaS Marketplace).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Rynek DACH jest aktywny w systemie. Sentinel skanuje amazon.de. Czy mam uruchomić </w:t>
      </w:r>
      <w:r w:rsidDel="00000000" w:rsidR="00000000" w:rsidRPr="00000000">
        <w:rPr>
          <w:b w:val="1"/>
          <w:bCs w:val="1"/>
          <w:rtl w:val="0"/>
        </w:rPr>
        <w:t xml:space="preserve">Dynamic RAG</w:t>
      </w:r>
      <w:r w:rsidDel="00000000" w:rsidR="00000000" w:rsidRPr="00000000">
        <w:rPr>
          <w:rtl w:val="0"/>
        </w:rPr>
        <w:t xml:space="preserve"> (z pliku .mu), aby system zaczął uczyć się różnic w preferencjach zakupowych Niemców względem Polaków, by lepiej dopasować warianty A/B?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