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przekaz: Integracja WebAssembly i TDD przekształca przeglądarkowy Dashboard w wysokowydajne, stabilne środowisko obliczeniowe klasy enterprise.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Kontekst/Tło: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Przeniesienie ciężkich obliczeń AI z serwera bezpośrednio do klienta (Edge Computing) przy jednoczesnym zachowaniu rygoru testowego pozwala na budowę systemów, które są nie tylko niezwykle szybkie, ale i odporne na błędy regresyjne.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Zaawansowanych Filarów Wdrożenia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Wydajność WebAssembly (WASM)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Binarny format instrukcji umożliwia wykonywanie kodu napisanego w C++ lub Rust z prędkością niemal natywną bezpośrednio w przeglądarce.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Metodologia Red-Green-Refactor (TDD)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Cykl pracy zaczyna się od napisania testu, który zawodzi (Red), implementacji minimalnego kodu (Green) i optymalizacji (Refactor).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Obliczenia AI na brzegu (Edge AI)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Wykorzystanie WASM do obsługi modeli neuronowych (np. przez ONNX Runtime) eliminuje opóźnienia sieciowe i koszty serwerowe.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Gwarancja stabilności interfejsu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Testy jednostkowe i integracyjne chronią krytyczne funkcje Dashboardu, takie jak dostęp do systemów plików, przed awariami po aktualizacjach.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Porównanie i Ocena Technologiczna (97/100)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WebAssembly (98/100):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Rozwiązuje "wąskie gardło" wydajnościowe JavaScriptu w zadaniach takich jak przetwarzanie obrazu w czasie rzeczywistym czy inferencja modeli LLM.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TDD (96/100):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Radykalnie skraca czas debugowania w późniejszych fazach projektu, mimo początkowo dłuższego czasu pisania kodu.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Implementacja w Systemie AI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Dla WASM: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Skompiluj moduły obliczeniowe Skarbca do formatu .wasm, aby przyspieszyć szyfrowanie i indeksowanie danych.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Dla TDD: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Skonfiguruj środowisko testowe (np. Vitest lub Jest), które automatycznie uruchamia testy przy każdej zmianie w core-logic.js.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chcesz, abym przygotował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przykładowy test TDD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dla nowej funkcji Dashboardu, czy wolisz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instrukcję kompilacji prostego modułu Rust do WebAssembly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aby sprawdzić wzrost wydajności?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do zgłębiania tematu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Warto zbadać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WebGPU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które jest następcą WebGL i pozwala na jeszcze głębszą akcelerację sprzętową obliczeń AI na karcie graficznej w przeglądarce, oraz zapoznać się z koncepcją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Mutation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(testowanie mutacyjne) w celu sprawdzenia realnej jakości Twoich testów.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