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Kluczowy przekaz:</w:t>
      </w:r>
      <w:r w:rsidDel="00000000" w:rsidR="00000000" w:rsidRPr="00000000">
        <w:rPr>
          <w:rFonts w:ascii="Google Sans" w:cs="Google Sans" w:eastAsia="Google Sans" w:hAnsi="Google Sans"/>
          <w:color w:val="1f1f1f"/>
          <w:rtl w:val="0"/>
        </w:rPr>
        <w:t xml:space="preserve"> Drzewa KD geometrycznie dzielą przestrzeń na wielowymiarowe bloki za pomocą hiperpłaszczyzn, optymalizując wyszukiwanie w precyzyjnie określonych zbiorach danych, podczas gdy struktura MECE w modelu SCQA działa jak logiczny odpowiednik drzewa algorytmicznego, kategoryzując argumenty biznesowe w sposób w pełni rozłączny i wyczerpujący, by zagwarantować bezbłędność rozwiązania.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Kontekst/Tło:</w:t>
      </w:r>
      <w:r w:rsidDel="00000000" w:rsidR="00000000" w:rsidRPr="00000000">
        <w:rPr>
          <w:rFonts w:ascii="Google Sans" w:cs="Google Sans" w:eastAsia="Google Sans" w:hAnsi="Google Sans"/>
          <w:color w:val="1f1f1f"/>
          <w:rtl w:val="0"/>
        </w:rPr>
        <w:t xml:space="preserve"> Zarówno w uczeniu maszynowym, jak i w zaawansowanej analityce biznesowej, kluczem do efektywności jest właściwa dekompozycja problemu. Wektorowe bazy danych muszą logicznie organizować punkty w wielowymiarowej przestrzeni, aby eliminować konieczność przeszukiwania całości (brute-force). Analitycy z kolei muszą organizować argumenty w raporcie tak, aby uciąć wszelkie luki logiczne i wyeliminować powtarzanie tych samych wniosków.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Szczegóły: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Drzewa KD (K-Dimensional Trees) i wyszukiwanie przestrzenne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Drzewo KD to binarna struktura danych, która rekurencyjnie dzieli przestrzeń $k$-wymiarową. Zamiast opierać się na grafach powiązań (jak w przypadku HNSW), algorytm ten dosłownie "kroi" przestrzeń na coraz mniejsze, geometryczne pudełka.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Mechanizm podziału hiperpłaszczyznami:</w:t>
      </w:r>
      <w:r w:rsidDel="00000000" w:rsidR="00000000" w:rsidRPr="00000000">
        <w:rPr>
          <w:rFonts w:ascii="Google Sans" w:cs="Google Sans" w:eastAsia="Google Sans" w:hAnsi="Google Sans"/>
          <w:color w:val="1f1f1f"/>
          <w:rtl w:val="0"/>
        </w:rPr>
        <w:t xml:space="preserve"> W pierwszym kroku algorytm analizuje pierwszą oś (np. oś X) i znajduje medianę wszystkich punktów na tej osi. Przez ten punkt prowadzona jest hiperpłaszczyzna (w 2D to prosta, w 3D płaszczyzna, w wymiarze wyższym wielowymiarowa granica), która dzieli zbiór dokładnie na dwie równe połowy.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Rekurencja przez wymiary:</w:t>
      </w:r>
      <w:r w:rsidDel="00000000" w:rsidR="00000000" w:rsidRPr="00000000">
        <w:rPr>
          <w:rFonts w:ascii="Google Sans" w:cs="Google Sans" w:eastAsia="Google Sans" w:hAnsi="Google Sans"/>
          <w:color w:val="1f1f1f"/>
          <w:rtl w:val="0"/>
        </w:rPr>
        <w:t xml:space="preserve"> Dla każdej z powstałych połów algorytm powtarza proces, ale na kolejnej osi (np. osi Y). Podział jest kontynuowany przez wszystkie $k$ wymiarów, a następnie cyklicznie wraca do pierwszej osi. Proces kończy się, gdy w docelowym bloku (liściu drzewa) zostaje określona, minimalna liczba punktów.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Optymalizacja wyszukiwania:</w:t>
      </w:r>
      <w:r w:rsidDel="00000000" w:rsidR="00000000" w:rsidRPr="00000000">
        <w:rPr>
          <w:rFonts w:ascii="Google Sans" w:cs="Google Sans" w:eastAsia="Google Sans" w:hAnsi="Google Sans"/>
          <w:color w:val="1f1f1f"/>
          <w:rtl w:val="0"/>
        </w:rPr>
        <w:t xml:space="preserve"> Gdy pojawia się nowe zapytanie, algorytm nie sprawdza wszystkich wektorów. Schodzi w dół drzewa, na każdym węźle odpowiadając tylko na jedno proste pytanie: </w:t>
      </w:r>
      <w:r w:rsidDel="00000000" w:rsidR="00000000" w:rsidRPr="00000000">
        <w:rPr>
          <w:rFonts w:ascii="Google Sans" w:cs="Google Sans" w:eastAsia="Google Sans" w:hAnsi="Google Sans"/>
          <w:i w:val="1"/>
          <w:iCs w:val="1"/>
          <w:color w:val="1f1f1f"/>
          <w:rtl w:val="0"/>
        </w:rPr>
        <w:t xml:space="preserve">„Czy punkt zapytania leży po lewej, czy po prawej stronie hiperpłaszczyzny?”</w:t>
      </w:r>
      <w:r w:rsidDel="00000000" w:rsidR="00000000" w:rsidRPr="00000000">
        <w:rPr>
          <w:rFonts w:ascii="Google Sans" w:cs="Google Sans" w:eastAsia="Google Sans" w:hAnsi="Google Sans"/>
          <w:color w:val="1f1f1f"/>
          <w:rtl w:val="0"/>
        </w:rPr>
        <w:t xml:space="preserve">. Drastycznie zmniejsza to obszar poszukiwań.</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Ograniczenia (Przekleństwo wielowymiarowości):</w:t>
      </w:r>
      <w:r w:rsidDel="00000000" w:rsidR="00000000" w:rsidRPr="00000000">
        <w:rPr>
          <w:rFonts w:ascii="Google Sans" w:cs="Google Sans" w:eastAsia="Google Sans" w:hAnsi="Google Sans"/>
          <w:color w:val="1f1f1f"/>
          <w:rtl w:val="0"/>
        </w:rPr>
        <w:t xml:space="preserve"> Drzewa KD są wysoce wydajne dla małej liczby wymiarów (zwykle $k \le 20$). W nowoczesnych modelach językowych wektory liczą od 768 do 1536 wymiarów. W tak potężnej przestrzeni objętość "pudełek" rośnie w tempie wykładniczym $O(2^k)$, przez co wyszukiwanie degraduje się niemal do powolnego przeszukiwania liniowego, wymuszając w AI stosowanie algorytmów przybliżonych.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Praktyczna implementacja MECE w SCQA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frameworku SCQA (Situation, Complication, Question, Answer), litera "A" (Odpowiedź) stanowi wierzchołek piramidy komunikacyjnej. Aby rozwiązanie to było bezdyskusyjne dla zarządu czy klienta, filary, na których się opiera, muszą przejść rygorystyczny test MECE (Mutually Exclusive, Collectively Exhaustive).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Wzajemne wykluczanie (Mutually Exclusive):</w:t>
      </w:r>
      <w:r w:rsidDel="00000000" w:rsidR="00000000" w:rsidRPr="00000000">
        <w:rPr>
          <w:rFonts w:ascii="Google Sans" w:cs="Google Sans" w:eastAsia="Google Sans" w:hAnsi="Google Sans"/>
          <w:color w:val="1f1f1f"/>
          <w:rtl w:val="0"/>
        </w:rPr>
        <w:t xml:space="preserve"> Argumenty muszą być całkowicie rozłączne, bez stref nakładania się na siebie. Jeśli raport zaleca zwiększenie przychodów poprzez restrukturyzację i dzieli działy na "Marketing", "Sprzedaż B2B" oraz "Sprzedaż Krajową", łamie zasadę rozłączności (sprzedaż krajowa zawiera w sobie sprzedaż B2B i wymaga wsparcia marketingu). To powoduje podwójne liczenie kosztów i rozmycie odpowiedzialności operacyjnej.</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Wyczerpywanie problemu (Collectively Exhaustive):</w:t>
      </w:r>
      <w:r w:rsidDel="00000000" w:rsidR="00000000" w:rsidRPr="00000000">
        <w:rPr>
          <w:rFonts w:ascii="Google Sans" w:cs="Google Sans" w:eastAsia="Google Sans" w:hAnsi="Google Sans"/>
          <w:color w:val="1f1f1f"/>
          <w:rtl w:val="0"/>
        </w:rPr>
        <w:t xml:space="preserve"> Argumenty muszą stanowić sumę 100% wszystkich możliwych przypadków. Pominięcie choćby jednego scenariusza tworzy lukę, przez którą cała odpowiedź w SCQA staje się podatna na obalenie.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Techniki wdrożenia (Drzewa Logiczne):</w:t>
      </w:r>
      <w:r w:rsidDel="00000000" w:rsidR="00000000" w:rsidRPr="00000000">
        <w:rPr>
          <w:rFonts w:ascii="Google Sans" w:cs="Google Sans" w:eastAsia="Google Sans" w:hAnsi="Google Sans"/>
          <w:color w:val="1f1f1f"/>
          <w:rtl w:val="0"/>
        </w:rPr>
        <w:t xml:space="preserve"> Aby uodpornić raport na błędy ludzkie, "Odpowiedź" wspiera się uniwersalnymi, sztywnymi ramami:</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Podejście algebraiczne:</w:t>
      </w:r>
      <w:r w:rsidDel="00000000" w:rsidR="00000000" w:rsidRPr="00000000">
        <w:rPr>
          <w:rFonts w:ascii="Google Sans" w:cs="Google Sans" w:eastAsia="Google Sans" w:hAnsi="Google Sans"/>
          <w:color w:val="1f1f1f"/>
          <w:rtl w:val="0"/>
        </w:rPr>
        <w:t xml:space="preserve"> Najlepszym sposobem na MECE jest matematyka. Odpowiedź popiera się równaniem np.: Zysk = Przychody - Koszty. Przychody dekomponuje się na (Cena $\times$ Wolumen), a Koszty na (Zmienne + Stałe). Struktura ta jest siłą rzeczy w 100% wyczerpująca i wykluczająca się wzajemnie.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Podejście procesowe (Oś Czasu):</w:t>
      </w:r>
      <w:r w:rsidDel="00000000" w:rsidR="00000000" w:rsidRPr="00000000">
        <w:rPr>
          <w:rFonts w:ascii="Google Sans" w:cs="Google Sans" w:eastAsia="Google Sans" w:hAnsi="Google Sans"/>
          <w:color w:val="1f1f1f"/>
          <w:rtl w:val="0"/>
        </w:rPr>
        <w:t xml:space="preserve"> Argumenty układa się chronologicznie (np. Etap przed-sprzedażowy, W trakcie transakcji, Obsługa po-sprzedażowa). Czas płynie w jednym kierunku, więc kategorie te z definicji nie mogą się na siebie nakładać, a połączone obejmują pełen cykl życia klienta.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Możliwości zgłębiania tematu kontynuując zrozumienie: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Połączenie geometrycznej i przestrzennej analityki z rygorem logicznym optymalizuje zarówno działanie maszyn, jak i ludzki proces decyzyjny. Chcąc poszerzyć kompetencje w tych obszarach, warto przeanalizować diagramy Woronoja i triangulację Delaunaya, które stanowią matematyczną alternatywę dzielenia przestrzeni dla zaawansowanych algorytmów. Natomiast po stronie architektury biznesowej, głębokie opanowanie zasady MECE stanowi punkt wyjścia do nauki Issue Trees (Drzew Problemów opartych na hipotezach) – nadrzędnej techniki w konsultingu strategicznym, wykorzystywanej do dekompozycji najbardziej złożonych wyzwań rynkowych.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