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D.N.Drucker Ltd. - (315) 445-1229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Campus Hill Apartments -  (888) 445-0405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Cuse Real Estate - (315) 396-0285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Horn Companies - (315) 569-2280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 Rentals - (315) 760-5666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Syracuse Quality Living - (315) 820-0200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University Hill Realty - (315) 422-0709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Upstate Management - (315) 415-8613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University Area Apartments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(315) 479-5005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University Hill Apartments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(315) 642-2000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Theory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(315) 849-9663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Park Point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(315) 414-2400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505 Walnut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(315) 475-5050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Marshall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(315) 207-7217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