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07" w:rsidRDefault="00380829">
      <w:pPr>
        <w:spacing w:after="3748" w:line="259" w:lineRule="auto"/>
        <w:ind w:left="0" w:firstLine="0"/>
        <w:jc w:val="right"/>
      </w:pPr>
      <w:r>
        <w:rPr>
          <w:noProof/>
        </w:rPr>
        <w:drawing>
          <wp:anchor distT="0" distB="0" distL="114300" distR="114300" simplePos="0" relativeHeight="251658240" behindDoc="0" locked="0" layoutInCell="1" allowOverlap="0">
            <wp:simplePos x="0" y="0"/>
            <wp:positionH relativeFrom="page">
              <wp:posOffset>619125</wp:posOffset>
            </wp:positionH>
            <wp:positionV relativeFrom="page">
              <wp:posOffset>9439275</wp:posOffset>
            </wp:positionV>
            <wp:extent cx="762000" cy="217391"/>
            <wp:effectExtent l="0" t="0" r="0" b="0"/>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762000" cy="217391"/>
                    </a:xfrm>
                    <a:prstGeom prst="rect">
                      <a:avLst/>
                    </a:prstGeom>
                  </pic:spPr>
                </pic:pic>
              </a:graphicData>
            </a:graphic>
          </wp:anchor>
        </w:drawing>
      </w:r>
      <w:r>
        <w:rPr>
          <w:color w:val="807F7F"/>
        </w:rPr>
        <w:t>A MongoDB White Paper</w:t>
      </w:r>
    </w:p>
    <w:p w:rsidR="00641207" w:rsidRDefault="00380829">
      <w:pPr>
        <w:spacing w:after="0" w:line="259" w:lineRule="auto"/>
        <w:ind w:left="3000" w:firstLine="0"/>
      </w:pPr>
      <w:r>
        <w:rPr>
          <w:sz w:val="72"/>
        </w:rPr>
        <w:t>RDBMS to MongoDB Migration Guide</w:t>
      </w:r>
    </w:p>
    <w:p w:rsidR="00641207" w:rsidRDefault="00380829">
      <w:pPr>
        <w:spacing w:after="3" w:line="259" w:lineRule="auto"/>
        <w:ind w:left="2995" w:hanging="10"/>
      </w:pPr>
      <w:r>
        <w:rPr>
          <w:color w:val="807F7F"/>
          <w:sz w:val="24"/>
        </w:rPr>
        <w:t>Considerations and Best Practices</w:t>
      </w:r>
    </w:p>
    <w:p w:rsidR="00641207" w:rsidRDefault="00380829">
      <w:pPr>
        <w:spacing w:after="3" w:line="259" w:lineRule="auto"/>
        <w:ind w:left="2995" w:hanging="10"/>
      </w:pPr>
      <w:r>
        <w:rPr>
          <w:color w:val="807F7F"/>
          <w:sz w:val="24"/>
        </w:rPr>
        <w:t>June 2016</w:t>
      </w:r>
      <w:r>
        <w:br w:type="page"/>
      </w:r>
    </w:p>
    <w:p w:rsidR="00641207" w:rsidRDefault="00380829">
      <w:pPr>
        <w:spacing w:after="11" w:line="259" w:lineRule="auto"/>
        <w:ind w:left="0" w:firstLine="0"/>
      </w:pPr>
      <w:r>
        <w:rPr>
          <w:sz w:val="48"/>
        </w:rPr>
        <w:lastRenderedPageBreak/>
        <w:t>Table of Contents</w:t>
      </w:r>
    </w:p>
    <w:p w:rsidR="00641207" w:rsidRDefault="00380829">
      <w:pPr>
        <w:tabs>
          <w:tab w:val="center" w:pos="4862"/>
        </w:tabs>
        <w:spacing w:after="137"/>
        <w:ind w:left="-15" w:firstLine="0"/>
      </w:pPr>
      <w:r>
        <w:t>Introduction</w:t>
      </w:r>
      <w:r>
        <w:tab/>
        <w:t>1</w:t>
      </w:r>
    </w:p>
    <w:p w:rsidR="00641207" w:rsidRDefault="00380829">
      <w:pPr>
        <w:tabs>
          <w:tab w:val="center" w:pos="4862"/>
        </w:tabs>
        <w:spacing w:after="137"/>
        <w:ind w:left="-15" w:firstLine="0"/>
      </w:pPr>
      <w:r>
        <w:t>Organizing for Success</w:t>
      </w:r>
      <w:r>
        <w:tab/>
        <w:t>1</w:t>
      </w:r>
    </w:p>
    <w:p w:rsidR="00641207" w:rsidRDefault="00380829">
      <w:pPr>
        <w:tabs>
          <w:tab w:val="center" w:pos="4862"/>
        </w:tabs>
        <w:spacing w:after="0"/>
        <w:ind w:left="-15" w:firstLine="0"/>
      </w:pPr>
      <w:r>
        <w:t>Schema Design</w:t>
      </w:r>
      <w:r>
        <w:tab/>
        <w:t>2</w:t>
      </w:r>
    </w:p>
    <w:p w:rsidR="00641207" w:rsidRDefault="00380829">
      <w:pPr>
        <w:spacing w:after="0"/>
        <w:ind w:left="206" w:right="14"/>
      </w:pPr>
      <w:r>
        <w:t>From Rigid Tables to Flexible and Dynamic BSON</w:t>
      </w:r>
    </w:p>
    <w:p w:rsidR="00641207" w:rsidRDefault="00380829">
      <w:pPr>
        <w:tabs>
          <w:tab w:val="center" w:pos="677"/>
          <w:tab w:val="center" w:pos="4862"/>
        </w:tabs>
        <w:spacing w:after="0"/>
        <w:ind w:left="0" w:firstLine="0"/>
      </w:pPr>
      <w:r>
        <w:rPr>
          <w:color w:val="000000"/>
          <w:sz w:val="22"/>
        </w:rPr>
        <w:tab/>
      </w:r>
      <w:r>
        <w:t>Documents</w:t>
      </w:r>
      <w:r>
        <w:tab/>
        <w:t>3</w:t>
      </w:r>
    </w:p>
    <w:p w:rsidR="00641207" w:rsidRDefault="00380829">
      <w:pPr>
        <w:tabs>
          <w:tab w:val="center" w:pos="2161"/>
          <w:tab w:val="center" w:pos="4862"/>
        </w:tabs>
        <w:spacing w:after="0"/>
        <w:ind w:left="0" w:firstLine="0"/>
      </w:pPr>
      <w:r>
        <w:rPr>
          <w:color w:val="000000"/>
          <w:sz w:val="22"/>
        </w:rPr>
        <w:tab/>
      </w:r>
      <w:r>
        <w:t>Other Advantages of the Document Model</w:t>
      </w:r>
      <w:r>
        <w:tab/>
        <w:t>4</w:t>
      </w:r>
    </w:p>
    <w:p w:rsidR="00641207" w:rsidRDefault="00380829">
      <w:pPr>
        <w:tabs>
          <w:tab w:val="center" w:pos="1953"/>
          <w:tab w:val="center" w:pos="4862"/>
        </w:tabs>
        <w:spacing w:after="0"/>
        <w:ind w:left="0" w:firstLine="0"/>
      </w:pPr>
      <w:r>
        <w:rPr>
          <w:color w:val="000000"/>
          <w:sz w:val="22"/>
        </w:rPr>
        <w:tab/>
      </w:r>
      <w:r>
        <w:t>Joining Collections for Data Analytics</w:t>
      </w:r>
      <w:r>
        <w:tab/>
        <w:t>5</w:t>
      </w:r>
    </w:p>
    <w:p w:rsidR="00641207" w:rsidRDefault="00380829">
      <w:pPr>
        <w:tabs>
          <w:tab w:val="center" w:pos="1732"/>
          <w:tab w:val="center" w:pos="4862"/>
        </w:tabs>
        <w:spacing w:after="0"/>
        <w:ind w:left="0" w:firstLine="0"/>
      </w:pPr>
      <w:r>
        <w:rPr>
          <w:color w:val="000000"/>
          <w:sz w:val="22"/>
        </w:rPr>
        <w:tab/>
      </w:r>
      <w:proofErr w:type="spellStart"/>
      <w:r>
        <w:t>DeTning</w:t>
      </w:r>
      <w:proofErr w:type="spellEnd"/>
      <w:r>
        <w:t xml:space="preserve"> the Document Schema</w:t>
      </w:r>
      <w:r>
        <w:tab/>
        <w:t>5</w:t>
      </w:r>
    </w:p>
    <w:p w:rsidR="00641207" w:rsidRDefault="00380829">
      <w:pPr>
        <w:spacing w:after="0"/>
        <w:ind w:left="206" w:right="14"/>
      </w:pPr>
      <w:r>
        <w:t>Modeling Relationships with Embedding and</w:t>
      </w:r>
    </w:p>
    <w:p w:rsidR="00641207" w:rsidRDefault="00380829">
      <w:pPr>
        <w:tabs>
          <w:tab w:val="center" w:pos="709"/>
          <w:tab w:val="center" w:pos="4862"/>
        </w:tabs>
        <w:spacing w:after="0"/>
        <w:ind w:left="0" w:firstLine="0"/>
      </w:pPr>
      <w:r>
        <w:rPr>
          <w:color w:val="000000"/>
          <w:sz w:val="22"/>
        </w:rPr>
        <w:tab/>
      </w:r>
      <w:r>
        <w:t>Referencing</w:t>
      </w:r>
      <w:r>
        <w:tab/>
        <w:t>5</w:t>
      </w:r>
    </w:p>
    <w:p w:rsidR="00641207" w:rsidRDefault="00380829">
      <w:pPr>
        <w:tabs>
          <w:tab w:val="center" w:pos="873"/>
          <w:tab w:val="center" w:pos="4862"/>
        </w:tabs>
        <w:spacing w:after="0"/>
        <w:ind w:left="0" w:firstLine="0"/>
      </w:pPr>
      <w:r>
        <w:rPr>
          <w:color w:val="000000"/>
          <w:sz w:val="22"/>
        </w:rPr>
        <w:tab/>
      </w:r>
      <w:r>
        <w:t>Embedding</w:t>
      </w:r>
      <w:r>
        <w:tab/>
        <w:t>5</w:t>
      </w:r>
    </w:p>
    <w:p w:rsidR="00641207" w:rsidRDefault="00380829">
      <w:pPr>
        <w:tabs>
          <w:tab w:val="center" w:pos="827"/>
          <w:tab w:val="center" w:pos="4862"/>
        </w:tabs>
        <w:spacing w:after="0"/>
        <w:ind w:left="0" w:firstLine="0"/>
      </w:pPr>
      <w:r>
        <w:rPr>
          <w:color w:val="000000"/>
          <w:sz w:val="22"/>
        </w:rPr>
        <w:tab/>
      </w:r>
      <w:proofErr w:type="spellStart"/>
      <w:r>
        <w:t>Rerencing</w:t>
      </w:r>
      <w:proofErr w:type="spellEnd"/>
      <w:r>
        <w:tab/>
        <w:t>6</w:t>
      </w:r>
    </w:p>
    <w:p w:rsidR="00641207" w:rsidRDefault="00380829">
      <w:pPr>
        <w:tabs>
          <w:tab w:val="center" w:pos="1352"/>
          <w:tab w:val="center" w:pos="4862"/>
        </w:tabs>
        <w:spacing w:after="0"/>
        <w:ind w:left="0" w:firstLine="0"/>
      </w:pPr>
      <w:r>
        <w:rPr>
          <w:color w:val="000000"/>
          <w:sz w:val="22"/>
        </w:rPr>
        <w:tab/>
      </w:r>
      <w:r>
        <w:t>Different Design Goals</w:t>
      </w:r>
      <w:r>
        <w:tab/>
        <w:t>6</w:t>
      </w:r>
    </w:p>
    <w:p w:rsidR="00641207" w:rsidRDefault="00380829">
      <w:pPr>
        <w:tabs>
          <w:tab w:val="center" w:pos="550"/>
          <w:tab w:val="center" w:pos="4862"/>
        </w:tabs>
        <w:spacing w:after="0"/>
        <w:ind w:left="0" w:firstLine="0"/>
      </w:pPr>
      <w:r>
        <w:rPr>
          <w:color w:val="000000"/>
          <w:sz w:val="22"/>
        </w:rPr>
        <w:tab/>
      </w:r>
      <w:r>
        <w:t>Indexing</w:t>
      </w:r>
      <w:r>
        <w:tab/>
        <w:t>7</w:t>
      </w:r>
    </w:p>
    <w:p w:rsidR="00641207" w:rsidRDefault="00380829">
      <w:pPr>
        <w:tabs>
          <w:tab w:val="center" w:pos="882"/>
          <w:tab w:val="center" w:pos="4862"/>
        </w:tabs>
        <w:spacing w:after="0"/>
        <w:ind w:left="0" w:firstLine="0"/>
      </w:pPr>
      <w:r>
        <w:rPr>
          <w:color w:val="000000"/>
          <w:sz w:val="22"/>
        </w:rPr>
        <w:tab/>
      </w:r>
      <w:r>
        <w:t>Index Types</w:t>
      </w:r>
      <w:r>
        <w:tab/>
        <w:t>7</w:t>
      </w:r>
    </w:p>
    <w:p w:rsidR="00641207" w:rsidRDefault="00380829">
      <w:pPr>
        <w:spacing w:after="134"/>
        <w:ind w:left="200" w:right="4695" w:firstLine="200"/>
      </w:pPr>
      <w:r>
        <w:t xml:space="preserve">Optimizing Performance </w:t>
      </w:r>
      <w:proofErr w:type="gramStart"/>
      <w:r>
        <w:t>With</w:t>
      </w:r>
      <w:proofErr w:type="gramEnd"/>
      <w:r>
        <w:t xml:space="preserve"> Indexes 8 Schema Evolution and the Impact on Schema Design 9</w:t>
      </w:r>
    </w:p>
    <w:p w:rsidR="00641207" w:rsidRDefault="00380829">
      <w:pPr>
        <w:tabs>
          <w:tab w:val="center" w:pos="4810"/>
        </w:tabs>
        <w:spacing w:after="0"/>
        <w:ind w:left="-15" w:firstLine="0"/>
      </w:pPr>
      <w:r>
        <w:t>Application Integration</w:t>
      </w:r>
      <w:r>
        <w:tab/>
        <w:t>10</w:t>
      </w:r>
    </w:p>
    <w:p w:rsidR="00641207" w:rsidRDefault="00380829">
      <w:pPr>
        <w:tabs>
          <w:tab w:val="center" w:pos="1462"/>
          <w:tab w:val="center" w:pos="4810"/>
        </w:tabs>
        <w:spacing w:after="0"/>
        <w:ind w:left="0" w:firstLine="0"/>
      </w:pPr>
      <w:r>
        <w:rPr>
          <w:color w:val="000000"/>
          <w:sz w:val="22"/>
        </w:rPr>
        <w:tab/>
      </w:r>
      <w:r>
        <w:t>MongoDB Drivers and the API</w:t>
      </w:r>
      <w:r>
        <w:tab/>
        <w:t>10</w:t>
      </w:r>
    </w:p>
    <w:p w:rsidR="00641207" w:rsidRDefault="00380829">
      <w:pPr>
        <w:tabs>
          <w:tab w:val="center" w:pos="1643"/>
          <w:tab w:val="center" w:pos="4810"/>
        </w:tabs>
        <w:spacing w:after="0"/>
        <w:ind w:left="0" w:firstLine="0"/>
      </w:pPr>
      <w:r>
        <w:rPr>
          <w:color w:val="000000"/>
          <w:sz w:val="22"/>
        </w:rPr>
        <w:tab/>
      </w:r>
      <w:r>
        <w:t>Mapping SQL to MongoDB Syntax</w:t>
      </w:r>
      <w:r>
        <w:tab/>
        <w:t>10</w:t>
      </w:r>
    </w:p>
    <w:p w:rsidR="00641207" w:rsidRDefault="00380829">
      <w:pPr>
        <w:tabs>
          <w:tab w:val="center" w:pos="1661"/>
          <w:tab w:val="center" w:pos="4810"/>
        </w:tabs>
        <w:spacing w:after="0"/>
        <w:ind w:left="0" w:firstLine="0"/>
      </w:pPr>
      <w:r>
        <w:rPr>
          <w:color w:val="000000"/>
          <w:sz w:val="22"/>
        </w:rPr>
        <w:tab/>
      </w:r>
      <w:r>
        <w:t>MongoDB Aggregation Framework</w:t>
      </w:r>
      <w:r>
        <w:tab/>
        <w:t>10</w:t>
      </w:r>
    </w:p>
    <w:p w:rsidR="00641207" w:rsidRDefault="00380829">
      <w:pPr>
        <w:tabs>
          <w:tab w:val="center" w:pos="1349"/>
          <w:tab w:val="center" w:pos="4825"/>
        </w:tabs>
        <w:spacing w:after="0"/>
        <w:ind w:left="0" w:firstLine="0"/>
      </w:pPr>
      <w:r>
        <w:rPr>
          <w:color w:val="000000"/>
          <w:sz w:val="22"/>
        </w:rPr>
        <w:tab/>
      </w:r>
      <w:r>
        <w:t>MongoDB Connector for BI</w:t>
      </w:r>
      <w:r>
        <w:tab/>
        <w:t>11</w:t>
      </w:r>
    </w:p>
    <w:p w:rsidR="00641207" w:rsidRDefault="00380829">
      <w:pPr>
        <w:tabs>
          <w:tab w:val="center" w:pos="1135"/>
          <w:tab w:val="center" w:pos="4825"/>
        </w:tabs>
        <w:spacing w:after="0"/>
        <w:ind w:left="0" w:firstLine="0"/>
      </w:pPr>
      <w:r>
        <w:rPr>
          <w:color w:val="000000"/>
          <w:sz w:val="22"/>
        </w:rPr>
        <w:tab/>
      </w:r>
      <w:r>
        <w:t>Atomicity in MongoDB</w:t>
      </w:r>
      <w:r>
        <w:tab/>
        <w:t>11</w:t>
      </w:r>
    </w:p>
    <w:p w:rsidR="00641207" w:rsidRDefault="00380829">
      <w:pPr>
        <w:tabs>
          <w:tab w:val="center" w:pos="1521"/>
          <w:tab w:val="center" w:pos="4814"/>
        </w:tabs>
        <w:spacing w:after="0"/>
        <w:ind w:left="0" w:firstLine="0"/>
      </w:pPr>
      <w:r>
        <w:rPr>
          <w:color w:val="000000"/>
          <w:sz w:val="22"/>
        </w:rPr>
        <w:tab/>
      </w:r>
      <w:r>
        <w:t>Maintaining Strong Consistency</w:t>
      </w:r>
      <w:r>
        <w:tab/>
        <w:t>12</w:t>
      </w:r>
    </w:p>
    <w:p w:rsidR="00641207" w:rsidRDefault="00380829">
      <w:pPr>
        <w:tabs>
          <w:tab w:val="center" w:pos="830"/>
          <w:tab w:val="center" w:pos="4814"/>
        </w:tabs>
        <w:spacing w:after="0"/>
        <w:ind w:left="0" w:firstLine="0"/>
      </w:pPr>
      <w:r>
        <w:rPr>
          <w:color w:val="000000"/>
          <w:sz w:val="22"/>
        </w:rPr>
        <w:tab/>
      </w:r>
      <w:r>
        <w:t>Write Durability</w:t>
      </w:r>
      <w:r>
        <w:tab/>
        <w:t>12</w:t>
      </w:r>
    </w:p>
    <w:p w:rsidR="00641207" w:rsidRDefault="00380829">
      <w:pPr>
        <w:tabs>
          <w:tab w:val="center" w:pos="1780"/>
          <w:tab w:val="center" w:pos="4813"/>
        </w:tabs>
        <w:spacing w:after="0"/>
        <w:ind w:left="0" w:firstLine="0"/>
      </w:pPr>
      <w:r>
        <w:rPr>
          <w:color w:val="000000"/>
          <w:sz w:val="22"/>
        </w:rPr>
        <w:tab/>
      </w:r>
      <w:r>
        <w:t>Implementing Validation &amp; Constraints</w:t>
      </w:r>
      <w:r>
        <w:tab/>
        <w:t>13</w:t>
      </w:r>
    </w:p>
    <w:p w:rsidR="00641207" w:rsidRDefault="00380829">
      <w:pPr>
        <w:tabs>
          <w:tab w:val="center" w:pos="947"/>
          <w:tab w:val="center" w:pos="4813"/>
        </w:tabs>
        <w:spacing w:after="0"/>
        <w:ind w:left="0" w:firstLine="0"/>
      </w:pPr>
      <w:r>
        <w:rPr>
          <w:color w:val="000000"/>
          <w:sz w:val="22"/>
        </w:rPr>
        <w:tab/>
      </w:r>
      <w:r>
        <w:t>Foreign Keys</w:t>
      </w:r>
      <w:r>
        <w:tab/>
        <w:t>13</w:t>
      </w:r>
    </w:p>
    <w:p w:rsidR="00641207" w:rsidRDefault="00380829">
      <w:pPr>
        <w:spacing w:after="134"/>
        <w:ind w:left="406" w:right="4566"/>
      </w:pPr>
      <w:r>
        <w:t>Document Validation</w:t>
      </w:r>
      <w:r>
        <w:tab/>
        <w:t xml:space="preserve">13 Enforcing Constraints </w:t>
      </w:r>
      <w:proofErr w:type="gramStart"/>
      <w:r>
        <w:t>With</w:t>
      </w:r>
      <w:proofErr w:type="gramEnd"/>
      <w:r>
        <w:t xml:space="preserve"> Indexes 14</w:t>
      </w:r>
    </w:p>
    <w:p w:rsidR="00641207" w:rsidRDefault="00380829">
      <w:pPr>
        <w:tabs>
          <w:tab w:val="center" w:pos="4814"/>
        </w:tabs>
        <w:spacing w:after="137"/>
        <w:ind w:left="-15" w:firstLine="0"/>
      </w:pPr>
      <w:r>
        <w:t>Migrating Data to MongoDB</w:t>
      </w:r>
      <w:r>
        <w:tab/>
        <w:t>14</w:t>
      </w:r>
    </w:p>
    <w:p w:rsidR="00641207" w:rsidRDefault="00380829">
      <w:pPr>
        <w:tabs>
          <w:tab w:val="center" w:pos="4814"/>
        </w:tabs>
        <w:spacing w:after="137"/>
        <w:ind w:left="-15" w:firstLine="0"/>
      </w:pPr>
      <w:r>
        <w:t>Operational Agility at Scale</w:t>
      </w:r>
      <w:r>
        <w:tab/>
        <w:t>15</w:t>
      </w:r>
    </w:p>
    <w:p w:rsidR="00641207" w:rsidRDefault="00380829">
      <w:pPr>
        <w:tabs>
          <w:tab w:val="center" w:pos="4814"/>
        </w:tabs>
        <w:spacing w:after="137"/>
        <w:ind w:left="-15" w:firstLine="0"/>
      </w:pPr>
      <w:r>
        <w:t xml:space="preserve">MongoDB Atlas: Database as a Service </w:t>
      </w:r>
      <w:proofErr w:type="gramStart"/>
      <w:r>
        <w:t>For</w:t>
      </w:r>
      <w:proofErr w:type="gramEnd"/>
      <w:r>
        <w:t xml:space="preserve"> MongoDB</w:t>
      </w:r>
      <w:r>
        <w:tab/>
        <w:t>15</w:t>
      </w:r>
    </w:p>
    <w:p w:rsidR="00641207" w:rsidRDefault="00380829">
      <w:pPr>
        <w:tabs>
          <w:tab w:val="center" w:pos="4814"/>
        </w:tabs>
        <w:spacing w:after="0"/>
        <w:ind w:left="-15" w:firstLine="0"/>
      </w:pPr>
      <w:r>
        <w:t>Supporting Your Migration: MongoDB Services</w:t>
      </w:r>
      <w:r>
        <w:tab/>
        <w:t>16</w:t>
      </w:r>
    </w:p>
    <w:p w:rsidR="00641207" w:rsidRDefault="00380829">
      <w:pPr>
        <w:spacing w:after="134"/>
        <w:ind w:left="206" w:right="4428"/>
      </w:pPr>
      <w:r>
        <w:t>MongoDB University</w:t>
      </w:r>
      <w:r>
        <w:tab/>
        <w:t>16 Community Resources and Consulting 16</w:t>
      </w:r>
    </w:p>
    <w:p w:rsidR="00641207" w:rsidRDefault="00380829">
      <w:pPr>
        <w:tabs>
          <w:tab w:val="center" w:pos="4814"/>
        </w:tabs>
        <w:spacing w:after="137"/>
        <w:ind w:left="-15" w:firstLine="0"/>
      </w:pPr>
      <w:r>
        <w:t>Conclusion</w:t>
      </w:r>
      <w:r>
        <w:tab/>
        <w:t>16</w:t>
      </w:r>
    </w:p>
    <w:p w:rsidR="00641207" w:rsidRDefault="00380829">
      <w:pPr>
        <w:tabs>
          <w:tab w:val="center" w:pos="4814"/>
        </w:tabs>
        <w:spacing w:after="137"/>
        <w:ind w:left="-15" w:firstLine="0"/>
      </w:pPr>
      <w:r>
        <w:t>We Can Help</w:t>
      </w:r>
      <w:r>
        <w:tab/>
        <w:t>16</w:t>
      </w:r>
    </w:p>
    <w:p w:rsidR="00641207" w:rsidRDefault="00380829">
      <w:pPr>
        <w:tabs>
          <w:tab w:val="center" w:pos="4815"/>
        </w:tabs>
        <w:ind w:left="-15" w:firstLine="0"/>
      </w:pPr>
      <w:r>
        <w:t>Resources</w:t>
      </w:r>
      <w:r>
        <w:tab/>
        <w:t>17</w:t>
      </w:r>
    </w:p>
    <w:p w:rsidR="00641207" w:rsidRDefault="00641207">
      <w:pPr>
        <w:sectPr w:rsidR="00641207">
          <w:footerReference w:type="even" r:id="rId8"/>
          <w:footerReference w:type="default" r:id="rId9"/>
          <w:footerReference w:type="first" r:id="rId10"/>
          <w:pgSz w:w="12240" w:h="15840"/>
          <w:pgMar w:top="459" w:right="975" w:bottom="2144" w:left="975" w:header="720" w:footer="720" w:gutter="0"/>
          <w:cols w:space="720"/>
        </w:sectPr>
      </w:pPr>
    </w:p>
    <w:p w:rsidR="00641207" w:rsidRDefault="00380829">
      <w:pPr>
        <w:pStyle w:val="Heading1"/>
        <w:ind w:left="-5"/>
      </w:pPr>
      <w:r>
        <w:lastRenderedPageBreak/>
        <w:t>Introduction</w:t>
      </w:r>
    </w:p>
    <w:p w:rsidR="00641207" w:rsidRDefault="00380829">
      <w:pPr>
        <w:ind w:left="-9" w:right="14"/>
      </w:pPr>
      <w:r>
        <w:t>The relational database has been the foundation of enterprise data management for over thirty years.</w:t>
      </w:r>
    </w:p>
    <w:p w:rsidR="00641207" w:rsidRDefault="00380829">
      <w:pPr>
        <w:ind w:left="-9" w:right="14"/>
      </w:pPr>
      <w:r>
        <w:t>But the way we build and run applications today, coupled with unrelenting growth in new data sources and growing user loads are pushing relational databases beyond their limits. This can inhibit business agility, limit scalability and strain budgets, compelling more and more organizations to migrate to alternatives like MongoDB or NoSQL databases.</w:t>
      </w:r>
    </w:p>
    <w:p w:rsidR="00641207" w:rsidRDefault="00380829">
      <w:pPr>
        <w:ind w:left="-9" w:right="14"/>
      </w:pPr>
      <w:r>
        <w:t>As illustrated in Figure 1, enterprises from a variety of industries have migrated successfully from relational database management systems (RDBMS) to MongoDB for myriad applications.</w:t>
      </w:r>
    </w:p>
    <w:p w:rsidR="00641207" w:rsidRDefault="00380829">
      <w:pPr>
        <w:ind w:left="-9" w:right="14"/>
      </w:pPr>
      <w:r>
        <w:t>This guide is designed for project teams that want to know how to migrate from an RDBMS to MongoDB. We provide a step-by-step roadmap, depicted in Figure 2.</w:t>
      </w:r>
    </w:p>
    <w:p w:rsidR="00641207" w:rsidRDefault="00380829">
      <w:pPr>
        <w:ind w:left="-9" w:right="14"/>
      </w:pPr>
      <w:r>
        <w:t xml:space="preserve">Many links are provided throughout this document to help guide users to the appropriate resources online. For the </w:t>
      </w:r>
      <w:r>
        <w:t xml:space="preserve">most current and detailed information on </w:t>
      </w:r>
      <w:proofErr w:type="gramStart"/>
      <w:r>
        <w:t>particular topics</w:t>
      </w:r>
      <w:proofErr w:type="gramEnd"/>
      <w:r>
        <w:t xml:space="preserve">, please see the </w:t>
      </w:r>
      <w:hyperlink r:id="rId11">
        <w:r>
          <w:rPr>
            <w:color w:val="6CA438"/>
          </w:rPr>
          <w:t>online documentation</w:t>
        </w:r>
      </w:hyperlink>
      <w:r>
        <w:t>.</w:t>
      </w:r>
    </w:p>
    <w:p w:rsidR="00641207" w:rsidRDefault="00380829">
      <w:pPr>
        <w:pStyle w:val="Heading1"/>
        <w:ind w:left="-5"/>
      </w:pPr>
      <w:r>
        <w:t>Organizing for Success</w:t>
      </w:r>
    </w:p>
    <w:p w:rsidR="00641207" w:rsidRDefault="00380829">
      <w:pPr>
        <w:ind w:left="-9" w:right="14"/>
      </w:pPr>
      <w:r>
        <w:t>Before considering technologies and architecture, a key to success is involving all key stakeholders for the application, including the line of business, developers, data architects, DBAs and systems administrators. In some organizations, these roles may be combined.</w:t>
      </w:r>
    </w:p>
    <w:p w:rsidR="00641207" w:rsidRDefault="00380829">
      <w:pPr>
        <w:spacing w:after="350"/>
        <w:ind w:left="-9" w:right="14"/>
      </w:pPr>
      <w:r>
        <w:t xml:space="preserve">The project team should work together to </w:t>
      </w:r>
      <w:proofErr w:type="spellStart"/>
      <w:r>
        <w:t>deTne</w:t>
      </w:r>
      <w:proofErr w:type="spellEnd"/>
      <w:r>
        <w:t xml:space="preserve"> business and technical objectives, timelines and responsibilities, meeting regularly to monitor progress and address any issues.</w:t>
      </w:r>
    </w:p>
    <w:p w:rsidR="00641207" w:rsidRDefault="00380829">
      <w:pPr>
        <w:spacing w:after="0"/>
        <w:ind w:left="-9" w:right="14"/>
      </w:pPr>
      <w:r>
        <w:t>There are a range of services and resources from</w:t>
      </w:r>
    </w:p>
    <w:p w:rsidR="00641207" w:rsidRDefault="00380829">
      <w:pPr>
        <w:ind w:left="-9" w:right="14"/>
      </w:pPr>
      <w:r>
        <w:t xml:space="preserve">MongoDB and the community that help build MongoDB skills and </w:t>
      </w:r>
      <w:proofErr w:type="spellStart"/>
      <w:r>
        <w:t>proTciency</w:t>
      </w:r>
      <w:proofErr w:type="spellEnd"/>
      <w:r>
        <w:t>, including free, web-based training, support and consulting. See the MongoDB Services section later in this guide for more detail.</w:t>
      </w:r>
    </w:p>
    <w:p w:rsidR="00641207" w:rsidRDefault="00641207">
      <w:pPr>
        <w:sectPr w:rsidR="00641207">
          <w:footerReference w:type="even" r:id="rId12"/>
          <w:footerReference w:type="default" r:id="rId13"/>
          <w:footerReference w:type="first" r:id="rId14"/>
          <w:pgSz w:w="12240" w:h="15840"/>
          <w:pgMar w:top="1440" w:right="995" w:bottom="1440" w:left="975" w:header="720" w:footer="555" w:gutter="0"/>
          <w:pgNumType w:start="1"/>
          <w:cols w:num="2" w:space="451"/>
        </w:sectPr>
      </w:pPr>
    </w:p>
    <w:tbl>
      <w:tblPr>
        <w:tblStyle w:val="TableGrid"/>
        <w:tblW w:w="10290" w:type="dxa"/>
        <w:tblInd w:w="0" w:type="dxa"/>
        <w:tblCellMar>
          <w:top w:w="0" w:type="dxa"/>
          <w:left w:w="0" w:type="dxa"/>
          <w:bottom w:w="0" w:type="dxa"/>
          <w:right w:w="115" w:type="dxa"/>
        </w:tblCellMar>
        <w:tblLook w:val="04A0" w:firstRow="1" w:lastRow="0" w:firstColumn="1" w:lastColumn="0" w:noHBand="0" w:noVBand="1"/>
      </w:tblPr>
      <w:tblGrid>
        <w:gridCol w:w="2673"/>
        <w:gridCol w:w="2573"/>
        <w:gridCol w:w="5044"/>
      </w:tblGrid>
      <w:tr w:rsidR="00641207">
        <w:trPr>
          <w:trHeight w:val="440"/>
        </w:trPr>
        <w:tc>
          <w:tcPr>
            <w:tcW w:w="2673" w:type="dxa"/>
            <w:tcBorders>
              <w:top w:val="nil"/>
              <w:left w:val="nil"/>
              <w:bottom w:val="nil"/>
              <w:right w:val="nil"/>
            </w:tcBorders>
            <w:shd w:val="clear" w:color="auto" w:fill="8BB661"/>
            <w:vAlign w:val="center"/>
          </w:tcPr>
          <w:p w:rsidR="00641207" w:rsidRDefault="00380829">
            <w:pPr>
              <w:spacing w:after="0" w:line="259" w:lineRule="auto"/>
              <w:ind w:left="23" w:firstLine="0"/>
              <w:jc w:val="center"/>
            </w:pPr>
            <w:r>
              <w:rPr>
                <w:color w:val="FFFFFF"/>
              </w:rPr>
              <w:t>Organization</w:t>
            </w:r>
          </w:p>
        </w:tc>
        <w:tc>
          <w:tcPr>
            <w:tcW w:w="2573" w:type="dxa"/>
            <w:tcBorders>
              <w:top w:val="nil"/>
              <w:left w:val="nil"/>
              <w:bottom w:val="nil"/>
              <w:right w:val="nil"/>
            </w:tcBorders>
            <w:shd w:val="clear" w:color="auto" w:fill="8BB661"/>
            <w:vAlign w:val="center"/>
          </w:tcPr>
          <w:p w:rsidR="00641207" w:rsidRDefault="00380829">
            <w:pPr>
              <w:spacing w:after="0" w:line="259" w:lineRule="auto"/>
              <w:ind w:left="528" w:firstLine="0"/>
            </w:pPr>
            <w:r>
              <w:rPr>
                <w:color w:val="FFFFFF"/>
              </w:rPr>
              <w:t>Migrated From</w:t>
            </w:r>
          </w:p>
        </w:tc>
        <w:tc>
          <w:tcPr>
            <w:tcW w:w="5045" w:type="dxa"/>
            <w:tcBorders>
              <w:top w:val="nil"/>
              <w:left w:val="nil"/>
              <w:bottom w:val="nil"/>
              <w:right w:val="nil"/>
            </w:tcBorders>
            <w:shd w:val="clear" w:color="auto" w:fill="8BB661"/>
            <w:vAlign w:val="center"/>
          </w:tcPr>
          <w:p w:rsidR="00641207" w:rsidRDefault="00380829">
            <w:pPr>
              <w:spacing w:after="0" w:line="259" w:lineRule="auto"/>
              <w:ind w:left="23" w:firstLine="0"/>
              <w:jc w:val="center"/>
            </w:pPr>
            <w:r>
              <w:rPr>
                <w:color w:val="FFFFFF"/>
              </w:rPr>
              <w:t>Application</w:t>
            </w:r>
          </w:p>
        </w:tc>
      </w:tr>
      <w:tr w:rsidR="00641207">
        <w:trPr>
          <w:trHeight w:val="446"/>
        </w:trPr>
        <w:tc>
          <w:tcPr>
            <w:tcW w:w="2673" w:type="dxa"/>
            <w:tcBorders>
              <w:top w:val="nil"/>
              <w:left w:val="nil"/>
              <w:bottom w:val="dashed" w:sz="5" w:space="0" w:color="AAAAAA"/>
              <w:right w:val="nil"/>
            </w:tcBorders>
            <w:vAlign w:val="center"/>
          </w:tcPr>
          <w:p w:rsidR="00641207" w:rsidRDefault="00380829">
            <w:pPr>
              <w:spacing w:after="0" w:line="259" w:lineRule="auto"/>
              <w:ind w:left="100" w:firstLine="0"/>
            </w:pPr>
            <w:r>
              <w:t>eHarmony</w:t>
            </w:r>
          </w:p>
        </w:tc>
        <w:tc>
          <w:tcPr>
            <w:tcW w:w="2573" w:type="dxa"/>
            <w:tcBorders>
              <w:top w:val="nil"/>
              <w:left w:val="nil"/>
              <w:bottom w:val="dashed" w:sz="5" w:space="0" w:color="AAAAAA"/>
              <w:right w:val="nil"/>
            </w:tcBorders>
            <w:vAlign w:val="center"/>
          </w:tcPr>
          <w:p w:rsidR="00641207" w:rsidRDefault="00380829">
            <w:pPr>
              <w:spacing w:after="0" w:line="259" w:lineRule="auto"/>
              <w:ind w:left="0" w:firstLine="0"/>
            </w:pPr>
            <w:r>
              <w:t>Oracle &amp; Postgres</w:t>
            </w:r>
          </w:p>
        </w:tc>
        <w:tc>
          <w:tcPr>
            <w:tcW w:w="5045" w:type="dxa"/>
            <w:tcBorders>
              <w:top w:val="nil"/>
              <w:left w:val="nil"/>
              <w:bottom w:val="dashed" w:sz="5" w:space="0" w:color="AAAAAA"/>
              <w:right w:val="nil"/>
            </w:tcBorders>
            <w:vAlign w:val="center"/>
          </w:tcPr>
          <w:p w:rsidR="00641207" w:rsidRDefault="00380829">
            <w:pPr>
              <w:spacing w:after="0" w:line="259" w:lineRule="auto"/>
              <w:ind w:left="0" w:firstLine="0"/>
            </w:pPr>
            <w:r>
              <w:t>Customer Data Management &amp; Analytics</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proofErr w:type="spellStart"/>
            <w:r>
              <w:t>ShutterUy</w:t>
            </w:r>
            <w:proofErr w:type="spellEnd"/>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Oracle</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Web and Mobile Services</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Cisco</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Multiple RDBMS</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Analytics, Social Networking</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Craigslist</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MySQL</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Archive</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 xml:space="preserve">Under </w:t>
            </w:r>
            <w:proofErr w:type="spellStart"/>
            <w:r>
              <w:t>Armour</w:t>
            </w:r>
            <w:proofErr w:type="spellEnd"/>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Microsoft SQL Server</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eCommerce</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Foursquare</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PostgreSQL</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Social, Mobile Networking Platforms</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MTV Networks</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Multiple RDBMS</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Centralized Content Management</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Buzzfeed</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MySQL</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Real-Time Analytics</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Verizon</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Oracle</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Single View, Employee Systems</w:t>
            </w:r>
          </w:p>
        </w:tc>
      </w:tr>
      <w:tr w:rsidR="00641207">
        <w:trPr>
          <w:trHeight w:val="451"/>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The Weather Channel</w:t>
            </w:r>
          </w:p>
        </w:tc>
        <w:tc>
          <w:tcPr>
            <w:tcW w:w="2573"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Oracle &amp; MySQL</w:t>
            </w:r>
          </w:p>
        </w:tc>
        <w:tc>
          <w:tcPr>
            <w:tcW w:w="5045"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Mobile Networking Platforms</w:t>
            </w:r>
          </w:p>
        </w:tc>
      </w:tr>
      <w:tr w:rsidR="00641207">
        <w:trPr>
          <w:trHeight w:val="460"/>
        </w:trPr>
        <w:tc>
          <w:tcPr>
            <w:tcW w:w="2673" w:type="dxa"/>
            <w:tcBorders>
              <w:top w:val="dashed" w:sz="5" w:space="0" w:color="AAAAAA"/>
              <w:left w:val="nil"/>
              <w:bottom w:val="dashed" w:sz="5" w:space="0" w:color="AAAAAA"/>
              <w:right w:val="nil"/>
            </w:tcBorders>
            <w:vAlign w:val="center"/>
          </w:tcPr>
          <w:p w:rsidR="00641207" w:rsidRDefault="00380829">
            <w:pPr>
              <w:spacing w:after="0" w:line="259" w:lineRule="auto"/>
              <w:ind w:left="104" w:firstLine="0"/>
            </w:pPr>
            <w:r>
              <w:t>Figure 1: Case Studies</w:t>
            </w:r>
          </w:p>
        </w:tc>
        <w:tc>
          <w:tcPr>
            <w:tcW w:w="2573" w:type="dxa"/>
            <w:tcBorders>
              <w:top w:val="dashed" w:sz="5" w:space="0" w:color="AAAAAA"/>
              <w:left w:val="nil"/>
              <w:bottom w:val="dashed" w:sz="5" w:space="0" w:color="AAAAAA"/>
              <w:right w:val="nil"/>
            </w:tcBorders>
          </w:tcPr>
          <w:p w:rsidR="00641207" w:rsidRDefault="00641207">
            <w:pPr>
              <w:spacing w:after="160" w:line="259" w:lineRule="auto"/>
              <w:ind w:left="0" w:firstLine="0"/>
            </w:pPr>
          </w:p>
        </w:tc>
        <w:tc>
          <w:tcPr>
            <w:tcW w:w="5045" w:type="dxa"/>
            <w:tcBorders>
              <w:top w:val="dashed" w:sz="5" w:space="0" w:color="AAAAAA"/>
              <w:left w:val="nil"/>
              <w:bottom w:val="dashed" w:sz="5" w:space="0" w:color="AAAAAA"/>
              <w:right w:val="nil"/>
            </w:tcBorders>
          </w:tcPr>
          <w:p w:rsidR="00641207" w:rsidRDefault="00641207">
            <w:pPr>
              <w:spacing w:after="160" w:line="259" w:lineRule="auto"/>
              <w:ind w:left="0" w:firstLine="0"/>
            </w:pPr>
          </w:p>
        </w:tc>
      </w:tr>
    </w:tbl>
    <w:p w:rsidR="00641207" w:rsidRDefault="00380829">
      <w:pPr>
        <w:tabs>
          <w:tab w:val="center" w:pos="5437"/>
          <w:tab w:val="right" w:pos="10210"/>
        </w:tabs>
        <w:spacing w:after="0"/>
        <w:ind w:left="-15" w:firstLine="0"/>
      </w:pPr>
      <w:r>
        <w:rPr>
          <w:sz w:val="36"/>
        </w:rPr>
        <w:t>Schema Design</w:t>
      </w:r>
      <w:r>
        <w:rPr>
          <w:sz w:val="36"/>
        </w:rPr>
        <w:tab/>
      </w:r>
      <w:r>
        <w:t>•</w:t>
      </w:r>
      <w:r>
        <w:tab/>
        <w:t xml:space="preserve">From the legacy relational data model that </w:t>
      </w:r>
      <w:proofErr w:type="spellStart"/>
      <w:r>
        <w:t>Uattens</w:t>
      </w:r>
      <w:proofErr w:type="spellEnd"/>
      <w:r>
        <w:t xml:space="preserve"> data</w:t>
      </w:r>
    </w:p>
    <w:p w:rsidR="00641207" w:rsidRDefault="00380829">
      <w:pPr>
        <w:spacing w:after="0"/>
        <w:ind w:left="5636" w:right="14"/>
      </w:pPr>
      <w:r>
        <w:lastRenderedPageBreak/>
        <w:t>into rigid 2-dimensional tabular structures of rows and columns.</w:t>
      </w:r>
    </w:p>
    <w:p w:rsidR="00641207" w:rsidRDefault="00380829">
      <w:pPr>
        <w:spacing w:after="0"/>
        <w:ind w:left="-9" w:right="14"/>
      </w:pPr>
      <w:r>
        <w:t>The most fundamental change in migrating from a</w:t>
      </w:r>
    </w:p>
    <w:p w:rsidR="00641207" w:rsidRDefault="00380829">
      <w:pPr>
        <w:tabs>
          <w:tab w:val="center" w:pos="5437"/>
          <w:tab w:val="center" w:pos="7649"/>
        </w:tabs>
        <w:spacing w:after="0" w:line="259" w:lineRule="auto"/>
        <w:ind w:left="0" w:firstLine="0"/>
      </w:pPr>
      <w:r>
        <w:rPr>
          <w:color w:val="000000"/>
          <w:sz w:val="22"/>
        </w:rPr>
        <w:tab/>
      </w:r>
      <w:r>
        <w:t>•</w:t>
      </w:r>
      <w:r>
        <w:tab/>
        <w:t>To a rich and dynamic document data model with</w:t>
      </w:r>
    </w:p>
    <w:p w:rsidR="00641207" w:rsidRDefault="00380829">
      <w:pPr>
        <w:spacing w:after="260" w:line="216" w:lineRule="auto"/>
        <w:ind w:left="-9" w:right="1407"/>
      </w:pPr>
      <w:r>
        <w:t>relational database to MongoDB is the way in which the embedded sub-documents and arrays. data is modeled.</w:t>
      </w:r>
    </w:p>
    <w:p w:rsidR="00641207" w:rsidRDefault="00380829">
      <w:pPr>
        <w:ind w:left="-9" w:right="5243"/>
      </w:pPr>
      <w:r>
        <w:t>As with any data modeling exercise, each use case will be different, but there are some general considerations that you apply to most schema migration projects.</w:t>
      </w:r>
    </w:p>
    <w:p w:rsidR="00641207" w:rsidRDefault="00380829">
      <w:pPr>
        <w:ind w:left="-9" w:right="5331"/>
      </w:pPr>
      <w:r>
        <w:t>Before exploring schema design, Figure 3 provides a useful reference for translating terminology from the relational to MongoDB worlds.</w:t>
      </w:r>
    </w:p>
    <w:p w:rsidR="00641207" w:rsidRDefault="00380829">
      <w:pPr>
        <w:spacing w:after="24"/>
        <w:ind w:left="-9" w:right="4650"/>
      </w:pPr>
      <w:r>
        <w:t>Schema design requires a change in perspective for data architects, developers and DBAs:</w:t>
      </w:r>
    </w:p>
    <w:p w:rsidR="00641207" w:rsidRDefault="00380829">
      <w:pPr>
        <w:spacing w:after="319" w:line="259" w:lineRule="auto"/>
        <w:ind w:left="0" w:right="-80" w:firstLine="0"/>
      </w:pPr>
      <w:r>
        <w:rPr>
          <w:noProof/>
        </w:rPr>
        <w:drawing>
          <wp:inline distT="0" distB="0" distL="0" distR="0">
            <wp:extent cx="6534150" cy="1266956"/>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5"/>
                    <a:stretch>
                      <a:fillRect/>
                    </a:stretch>
                  </pic:blipFill>
                  <pic:spPr>
                    <a:xfrm>
                      <a:off x="0" y="0"/>
                      <a:ext cx="6534150" cy="1266956"/>
                    </a:xfrm>
                    <a:prstGeom prst="rect">
                      <a:avLst/>
                    </a:prstGeom>
                  </pic:spPr>
                </pic:pic>
              </a:graphicData>
            </a:graphic>
          </wp:inline>
        </w:drawing>
      </w:r>
    </w:p>
    <w:p w:rsidR="00641207" w:rsidRDefault="00380829">
      <w:pPr>
        <w:spacing w:after="320" w:line="258" w:lineRule="auto"/>
        <w:ind w:left="30" w:right="-63" w:hanging="10"/>
        <w:jc w:val="center"/>
      </w:pPr>
      <w:r>
        <w:t>Figure 2: Migration Roadmap</w:t>
      </w:r>
    </w:p>
    <w:p w:rsidR="00641207" w:rsidRDefault="00641207">
      <w:pPr>
        <w:sectPr w:rsidR="00641207">
          <w:type w:val="continuous"/>
          <w:pgSz w:w="12240" w:h="15840"/>
          <w:pgMar w:top="750" w:right="1055" w:bottom="1440" w:left="975" w:header="720" w:footer="720" w:gutter="0"/>
          <w:cols w:space="720"/>
        </w:sectPr>
      </w:pPr>
    </w:p>
    <w:tbl>
      <w:tblPr>
        <w:tblStyle w:val="TableGrid"/>
        <w:tblW w:w="4920" w:type="dxa"/>
        <w:tblInd w:w="0" w:type="dxa"/>
        <w:tblCellMar>
          <w:top w:w="102" w:type="dxa"/>
          <w:left w:w="0" w:type="dxa"/>
          <w:bottom w:w="0" w:type="dxa"/>
          <w:right w:w="115" w:type="dxa"/>
        </w:tblCellMar>
        <w:tblLook w:val="04A0" w:firstRow="1" w:lastRow="0" w:firstColumn="1" w:lastColumn="0" w:noHBand="0" w:noVBand="1"/>
      </w:tblPr>
      <w:tblGrid>
        <w:gridCol w:w="1096"/>
        <w:gridCol w:w="3824"/>
      </w:tblGrid>
      <w:tr w:rsidR="00641207">
        <w:trPr>
          <w:trHeight w:val="440"/>
        </w:trPr>
        <w:tc>
          <w:tcPr>
            <w:tcW w:w="1096" w:type="dxa"/>
            <w:tcBorders>
              <w:top w:val="nil"/>
              <w:left w:val="nil"/>
              <w:bottom w:val="nil"/>
              <w:right w:val="nil"/>
            </w:tcBorders>
            <w:shd w:val="clear" w:color="auto" w:fill="8BB661"/>
            <w:vAlign w:val="center"/>
          </w:tcPr>
          <w:p w:rsidR="00641207" w:rsidRDefault="00380829">
            <w:pPr>
              <w:spacing w:after="0" w:line="259" w:lineRule="auto"/>
              <w:ind w:left="137" w:firstLine="0"/>
            </w:pPr>
            <w:r>
              <w:rPr>
                <w:color w:val="FFFFFF"/>
              </w:rPr>
              <w:t>RDBMS</w:t>
            </w:r>
          </w:p>
        </w:tc>
        <w:tc>
          <w:tcPr>
            <w:tcW w:w="3824" w:type="dxa"/>
            <w:tcBorders>
              <w:top w:val="nil"/>
              <w:left w:val="nil"/>
              <w:bottom w:val="nil"/>
              <w:right w:val="nil"/>
            </w:tcBorders>
            <w:shd w:val="clear" w:color="auto" w:fill="8BB661"/>
            <w:vAlign w:val="center"/>
          </w:tcPr>
          <w:p w:rsidR="00641207" w:rsidRDefault="00380829">
            <w:pPr>
              <w:spacing w:after="0" w:line="259" w:lineRule="auto"/>
              <w:ind w:left="23" w:firstLine="0"/>
              <w:jc w:val="center"/>
            </w:pPr>
            <w:r>
              <w:rPr>
                <w:color w:val="FFFFFF"/>
              </w:rPr>
              <w:t>MongoDB</w:t>
            </w:r>
          </w:p>
        </w:tc>
      </w:tr>
      <w:tr w:rsidR="00641207">
        <w:trPr>
          <w:trHeight w:val="446"/>
        </w:trPr>
        <w:tc>
          <w:tcPr>
            <w:tcW w:w="1096" w:type="dxa"/>
            <w:tcBorders>
              <w:top w:val="nil"/>
              <w:left w:val="nil"/>
              <w:bottom w:val="dashed" w:sz="5" w:space="0" w:color="AAAAAA"/>
              <w:right w:val="nil"/>
            </w:tcBorders>
            <w:vAlign w:val="center"/>
          </w:tcPr>
          <w:p w:rsidR="00641207" w:rsidRDefault="00380829">
            <w:pPr>
              <w:spacing w:after="0" w:line="259" w:lineRule="auto"/>
              <w:ind w:left="100" w:firstLine="0"/>
            </w:pPr>
            <w:r>
              <w:t>Database</w:t>
            </w:r>
          </w:p>
        </w:tc>
        <w:tc>
          <w:tcPr>
            <w:tcW w:w="3824" w:type="dxa"/>
            <w:tcBorders>
              <w:top w:val="nil"/>
              <w:left w:val="nil"/>
              <w:bottom w:val="dashed" w:sz="5" w:space="0" w:color="AAAAAA"/>
              <w:right w:val="nil"/>
            </w:tcBorders>
            <w:vAlign w:val="center"/>
          </w:tcPr>
          <w:p w:rsidR="00641207" w:rsidRDefault="00380829">
            <w:pPr>
              <w:spacing w:after="0" w:line="259" w:lineRule="auto"/>
              <w:ind w:left="0" w:firstLine="0"/>
            </w:pPr>
            <w:r>
              <w:t>Database</w:t>
            </w:r>
          </w:p>
        </w:tc>
      </w:tr>
      <w:tr w:rsidR="00641207">
        <w:trPr>
          <w:trHeight w:val="451"/>
        </w:trPr>
        <w:tc>
          <w:tcPr>
            <w:tcW w:w="1096"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Table</w:t>
            </w:r>
          </w:p>
        </w:tc>
        <w:tc>
          <w:tcPr>
            <w:tcW w:w="3824"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Collection</w:t>
            </w:r>
          </w:p>
        </w:tc>
      </w:tr>
      <w:tr w:rsidR="00641207">
        <w:trPr>
          <w:trHeight w:val="451"/>
        </w:trPr>
        <w:tc>
          <w:tcPr>
            <w:tcW w:w="1096"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Row</w:t>
            </w:r>
          </w:p>
        </w:tc>
        <w:tc>
          <w:tcPr>
            <w:tcW w:w="3824"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Document</w:t>
            </w:r>
          </w:p>
        </w:tc>
      </w:tr>
      <w:tr w:rsidR="00641207">
        <w:trPr>
          <w:trHeight w:val="451"/>
        </w:trPr>
        <w:tc>
          <w:tcPr>
            <w:tcW w:w="1096"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Index</w:t>
            </w:r>
          </w:p>
        </w:tc>
        <w:tc>
          <w:tcPr>
            <w:tcW w:w="3824"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Index</w:t>
            </w:r>
          </w:p>
        </w:tc>
      </w:tr>
      <w:tr w:rsidR="00641207">
        <w:trPr>
          <w:trHeight w:val="936"/>
        </w:trPr>
        <w:tc>
          <w:tcPr>
            <w:tcW w:w="1096" w:type="dxa"/>
            <w:tcBorders>
              <w:top w:val="dashed" w:sz="5" w:space="0" w:color="AAAAAA"/>
              <w:left w:val="nil"/>
              <w:bottom w:val="dashed" w:sz="5" w:space="0" w:color="AAAAAA"/>
              <w:right w:val="nil"/>
            </w:tcBorders>
          </w:tcPr>
          <w:p w:rsidR="00641207" w:rsidRDefault="00380829">
            <w:pPr>
              <w:spacing w:after="0" w:line="259" w:lineRule="auto"/>
              <w:ind w:left="100" w:firstLine="0"/>
            </w:pPr>
            <w:r>
              <w:t>JOIN</w:t>
            </w:r>
          </w:p>
        </w:tc>
        <w:tc>
          <w:tcPr>
            <w:tcW w:w="3824" w:type="dxa"/>
            <w:tcBorders>
              <w:top w:val="dashed" w:sz="5" w:space="0" w:color="AAAAAA"/>
              <w:left w:val="nil"/>
              <w:bottom w:val="dashed" w:sz="5" w:space="0" w:color="AAAAAA"/>
              <w:right w:val="nil"/>
            </w:tcBorders>
            <w:vAlign w:val="center"/>
          </w:tcPr>
          <w:p w:rsidR="00641207" w:rsidRDefault="00380829">
            <w:pPr>
              <w:spacing w:after="0" w:line="259" w:lineRule="auto"/>
              <w:ind w:left="0" w:firstLine="0"/>
            </w:pPr>
            <w:r>
              <w:t xml:space="preserve">Embedded document, document references or </w:t>
            </w:r>
            <w:r>
              <w:rPr>
                <w:rFonts w:ascii="Courier New" w:eastAsia="Courier New" w:hAnsi="Courier New" w:cs="Courier New"/>
                <w:sz w:val="18"/>
              </w:rPr>
              <w:t xml:space="preserve">$lookup </w:t>
            </w:r>
            <w:r>
              <w:t>to combine data from different collections</w:t>
            </w:r>
          </w:p>
        </w:tc>
      </w:tr>
    </w:tbl>
    <w:p w:rsidR="00641207" w:rsidRDefault="00380829">
      <w:pPr>
        <w:spacing w:after="0"/>
        <w:ind w:left="110" w:right="14"/>
      </w:pPr>
      <w:r>
        <w:t>Figure 3: Terminology Translation</w:t>
      </w:r>
    </w:p>
    <w:p w:rsidR="00641207" w:rsidRDefault="00380829">
      <w:pPr>
        <w:spacing w:after="641" w:line="259" w:lineRule="auto"/>
        <w:ind w:left="0" w:right="-11" w:firstLine="0"/>
      </w:pPr>
      <w:r>
        <w:rPr>
          <w:noProof/>
          <w:color w:val="000000"/>
          <w:sz w:val="22"/>
        </w:rPr>
        <mc:AlternateContent>
          <mc:Choice Requires="wpg">
            <w:drawing>
              <wp:inline distT="0" distB="0" distL="0" distR="0">
                <wp:extent cx="3124200" cy="7144"/>
                <wp:effectExtent l="0" t="0" r="0" b="0"/>
                <wp:docPr id="23614" name="Group 23614"/>
                <wp:cNvGraphicFramePr/>
                <a:graphic xmlns:a="http://schemas.openxmlformats.org/drawingml/2006/main">
                  <a:graphicData uri="http://schemas.microsoft.com/office/word/2010/wordprocessingGroup">
                    <wpg:wgp>
                      <wpg:cNvGrpSpPr/>
                      <wpg:grpSpPr>
                        <a:xfrm>
                          <a:off x="0" y="0"/>
                          <a:ext cx="3124200" cy="7144"/>
                          <a:chOff x="0" y="0"/>
                          <a:chExt cx="3124200" cy="7144"/>
                        </a:xfrm>
                      </wpg:grpSpPr>
                      <wps:wsp>
                        <wps:cNvPr id="391" name="Shape 391"/>
                        <wps:cNvSpPr/>
                        <wps:spPr>
                          <a:xfrm>
                            <a:off x="0" y="0"/>
                            <a:ext cx="3124200" cy="0"/>
                          </a:xfrm>
                          <a:custGeom>
                            <a:avLst/>
                            <a:gdLst/>
                            <a:ahLst/>
                            <a:cxnLst/>
                            <a:rect l="0" t="0" r="0" b="0"/>
                            <a:pathLst>
                              <a:path w="3124200">
                                <a:moveTo>
                                  <a:pt x="3124200" y="0"/>
                                </a:moveTo>
                                <a:lnTo>
                                  <a:pt x="0" y="0"/>
                                </a:lnTo>
                              </a:path>
                            </a:pathLst>
                          </a:custGeom>
                          <a:ln w="7144" cap="flat">
                            <a:custDash>
                              <a:ds d="56250" sp="56340"/>
                            </a:custDash>
                            <a:miter lim="127000"/>
                          </a:ln>
                        </wps:spPr>
                        <wps:style>
                          <a:lnRef idx="1">
                            <a:srgbClr val="AAAAA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14" style="width:246pt;height:0.5625pt;mso-position-horizontal-relative:char;mso-position-vertical-relative:line" coordsize="31242,71">
                <v:shape id="Shape 391" style="position:absolute;width:31242;height:0;left:0;top:0;" coordsize="3124200,0" path="m3124200,0l0,0">
                  <v:stroke weight="0.5625pt" endcap="flat" dashstyle="1 1.0016" joinstyle="miter" miterlimit="10" on="true" color="#aaaaaa"/>
                  <v:fill on="false" color="#000000" opacity="0"/>
                </v:shape>
              </v:group>
            </w:pict>
          </mc:Fallback>
        </mc:AlternateContent>
      </w:r>
    </w:p>
    <w:p w:rsidR="00641207" w:rsidRDefault="00380829">
      <w:pPr>
        <w:pStyle w:val="Heading2"/>
        <w:ind w:left="-5"/>
      </w:pPr>
      <w:r>
        <w:t>From Rigid Tables to Flexible and Dynamic BSON Documents</w:t>
      </w:r>
    </w:p>
    <w:p w:rsidR="00641207" w:rsidRDefault="00380829">
      <w:pPr>
        <w:ind w:left="-9" w:right="14"/>
      </w:pPr>
      <w:r>
        <w:t xml:space="preserve">Much of the data we use today has complex structures that can be modeled and represented more </w:t>
      </w:r>
      <w:proofErr w:type="spellStart"/>
      <w:r>
        <w:t>efTciently</w:t>
      </w:r>
      <w:proofErr w:type="spellEnd"/>
      <w:r>
        <w:t xml:space="preserve"> using JSON (JavaScript Object Notation) documents, rather than tables.</w:t>
      </w:r>
    </w:p>
    <w:p w:rsidR="00641207" w:rsidRDefault="00380829">
      <w:pPr>
        <w:ind w:left="-9" w:right="14"/>
      </w:pPr>
      <w:r>
        <w:t xml:space="preserve">MongoDB stores JSON documents in a binary representation called BSON (Binary JSON). BSON encoding extends the popular JSON representation to include additional data types such as </w:t>
      </w:r>
      <w:proofErr w:type="spellStart"/>
      <w:r>
        <w:t>int</w:t>
      </w:r>
      <w:proofErr w:type="spellEnd"/>
      <w:r>
        <w:t xml:space="preserve">, long and </w:t>
      </w:r>
      <w:proofErr w:type="spellStart"/>
      <w:r>
        <w:t>Uoating</w:t>
      </w:r>
      <w:proofErr w:type="spellEnd"/>
      <w:r>
        <w:t xml:space="preserve"> point.</w:t>
      </w:r>
    </w:p>
    <w:p w:rsidR="00641207" w:rsidRDefault="00380829">
      <w:pPr>
        <w:ind w:left="-9" w:right="14"/>
      </w:pPr>
      <w:r>
        <w:t>With sub-documents and arrays, JSON documents also align with the structure of objects at the application level. This makes it easy for developers to map the data used in the application to its associated document in the database.</w:t>
      </w:r>
    </w:p>
    <w:p w:rsidR="00641207" w:rsidRDefault="00380829">
      <w:pPr>
        <w:spacing w:after="0"/>
        <w:ind w:left="-9" w:right="14"/>
      </w:pPr>
      <w:r>
        <w:t xml:space="preserve">By contrast, trying to map the object representation of the data to the tabular representation of an RDBMS slows down </w:t>
      </w:r>
      <w:r>
        <w:lastRenderedPageBreak/>
        <w:t>development. Adding Object Relational Mappers (ORMs) can create additional complexity by reducing the</w:t>
      </w:r>
    </w:p>
    <w:p w:rsidR="00641207" w:rsidRDefault="00380829">
      <w:pPr>
        <w:ind w:left="-9" w:right="14"/>
      </w:pPr>
      <w:proofErr w:type="spellStart"/>
      <w:r>
        <w:t>Uexibility</w:t>
      </w:r>
      <w:proofErr w:type="spellEnd"/>
      <w:r>
        <w:t xml:space="preserve"> to evolve schemas and to optimize queries to meet new application requirements.</w:t>
      </w:r>
    </w:p>
    <w:tbl>
      <w:tblPr>
        <w:tblStyle w:val="TableGrid"/>
        <w:tblpPr w:vertAnchor="text" w:horzAnchor="margin" w:tblpY="9194"/>
        <w:tblOverlap w:val="never"/>
        <w:tblW w:w="10290" w:type="dxa"/>
        <w:tblInd w:w="0" w:type="dxa"/>
        <w:tblCellMar>
          <w:top w:w="0" w:type="dxa"/>
          <w:left w:w="0" w:type="dxa"/>
          <w:bottom w:w="1" w:type="dxa"/>
          <w:right w:w="0" w:type="dxa"/>
        </w:tblCellMar>
        <w:tblLook w:val="04A0" w:firstRow="1" w:lastRow="0" w:firstColumn="1" w:lastColumn="0" w:noHBand="0" w:noVBand="1"/>
      </w:tblPr>
      <w:tblGrid>
        <w:gridCol w:w="10290"/>
      </w:tblGrid>
      <w:tr w:rsidR="00641207">
        <w:trPr>
          <w:trHeight w:val="244"/>
        </w:trPr>
        <w:tc>
          <w:tcPr>
            <w:tcW w:w="3742" w:type="dxa"/>
            <w:tcBorders>
              <w:top w:val="nil"/>
              <w:left w:val="nil"/>
              <w:bottom w:val="nil"/>
              <w:right w:val="nil"/>
            </w:tcBorders>
            <w:vAlign w:val="bottom"/>
          </w:tcPr>
          <w:p w:rsidR="00641207" w:rsidRDefault="00380829">
            <w:pPr>
              <w:spacing w:after="340" w:line="259" w:lineRule="auto"/>
              <w:ind w:left="0" w:firstLine="0"/>
            </w:pPr>
            <w:r>
              <w:rPr>
                <w:noProof/>
              </w:rPr>
              <w:drawing>
                <wp:inline distT="0" distB="0" distL="0" distR="0">
                  <wp:extent cx="6534150" cy="3766937"/>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6"/>
                          <a:stretch>
                            <a:fillRect/>
                          </a:stretch>
                        </pic:blipFill>
                        <pic:spPr>
                          <a:xfrm>
                            <a:off x="0" y="0"/>
                            <a:ext cx="6534150" cy="3766937"/>
                          </a:xfrm>
                          <a:prstGeom prst="rect">
                            <a:avLst/>
                          </a:prstGeom>
                        </pic:spPr>
                      </pic:pic>
                    </a:graphicData>
                  </a:graphic>
                </wp:inline>
              </w:drawing>
            </w:r>
          </w:p>
          <w:p w:rsidR="00641207" w:rsidRDefault="00380829">
            <w:pPr>
              <w:spacing w:after="0" w:line="259" w:lineRule="auto"/>
              <w:ind w:left="4" w:firstLine="0"/>
              <w:jc w:val="both"/>
            </w:pPr>
            <w:r>
              <w:t>Figure 4: Relational Schema, Flat 2-D Tables</w:t>
            </w:r>
          </w:p>
        </w:tc>
      </w:tr>
    </w:tbl>
    <w:p w:rsidR="00641207" w:rsidRDefault="00380829">
      <w:pPr>
        <w:ind w:left="-9" w:right="14"/>
      </w:pPr>
      <w:r>
        <w:t xml:space="preserve">The project team should start the schema design process by considering the application’s requirements. It should model the data in a way that takes advantage of the document model’s </w:t>
      </w:r>
      <w:proofErr w:type="spellStart"/>
      <w:r>
        <w:t>Uexibility</w:t>
      </w:r>
      <w:proofErr w:type="spellEnd"/>
      <w:r>
        <w:t xml:space="preserve">. In schema migrations, it may be easy to mirror the relational database’s </w:t>
      </w:r>
      <w:proofErr w:type="spellStart"/>
      <w:r>
        <w:t>Uat</w:t>
      </w:r>
      <w:proofErr w:type="spellEnd"/>
      <w:r>
        <w:t xml:space="preserve"> schema to the document model. However, this approach negates the advantages enabled by the document model’s rich, embedded data structures. For example, data that belongs to a parent-child relationship in two RDBMS tables would</w:t>
      </w:r>
      <w:r>
        <w:br w:type="page"/>
      </w:r>
    </w:p>
    <w:p w:rsidR="00641207" w:rsidRDefault="00380829">
      <w:pPr>
        <w:ind w:left="-9" w:right="14"/>
      </w:pPr>
      <w:r>
        <w:lastRenderedPageBreak/>
        <w:t>commonly be collapsed (embedded) into a single document in MongoDB.</w:t>
      </w:r>
    </w:p>
    <w:p w:rsidR="00641207" w:rsidRDefault="00380829">
      <w:pPr>
        <w:ind w:left="-9" w:right="14"/>
      </w:pPr>
      <w:r>
        <w:t>In Figure 4, the RDBMS uses the "</w:t>
      </w:r>
      <w:proofErr w:type="spellStart"/>
      <w:r>
        <w:t>Pers_ID</w:t>
      </w:r>
      <w:proofErr w:type="spellEnd"/>
      <w:r>
        <w:t xml:space="preserve">" </w:t>
      </w:r>
      <w:proofErr w:type="spellStart"/>
      <w:r>
        <w:t>Teld</w:t>
      </w:r>
      <w:proofErr w:type="spellEnd"/>
      <w:r>
        <w:t xml:space="preserve"> to JOIN the "Person" table with the "Car" table to enable the application to report each car’s owner. Using the document model, embedded sub-documents and arrays effectively pre-JOIN data by combining related </w:t>
      </w:r>
      <w:proofErr w:type="spellStart"/>
      <w:r>
        <w:t>Telds</w:t>
      </w:r>
      <w:proofErr w:type="spellEnd"/>
      <w:r>
        <w:t xml:space="preserve"> in a single data structure. Rows and columns that were traditionally normalized and distributed across separate tables can now be stored together in a single document, eliminating the need to JOIN separate tables when the application </w:t>
      </w:r>
      <w:proofErr w:type="gramStart"/>
      <w:r>
        <w:t>has to</w:t>
      </w:r>
      <w:proofErr w:type="gramEnd"/>
      <w:r>
        <w:t xml:space="preserve"> retrieve complete records.</w:t>
      </w:r>
    </w:p>
    <w:p w:rsidR="00641207" w:rsidRDefault="00380829">
      <w:pPr>
        <w:ind w:left="-9" w:right="14"/>
      </w:pPr>
      <w:r>
        <w:t>Modeling the same data in MongoDB enables us to create a schema in which we embed an array of sub-documents for each car directly within the Person document.</w:t>
      </w:r>
    </w:p>
    <w:p w:rsidR="00641207" w:rsidRDefault="00380829">
      <w:pPr>
        <w:spacing w:after="0" w:line="263" w:lineRule="auto"/>
        <w:ind w:left="-5" w:right="2075" w:hanging="10"/>
      </w:pPr>
      <w:proofErr w:type="gramStart"/>
      <w:r>
        <w:rPr>
          <w:rFonts w:ascii="Courier New" w:eastAsia="Courier New" w:hAnsi="Courier New" w:cs="Courier New"/>
          <w:sz w:val="18"/>
        </w:rPr>
        <w:t xml:space="preserve">{ </w:t>
      </w:r>
      <w:proofErr w:type="spellStart"/>
      <w:r>
        <w:rPr>
          <w:rFonts w:ascii="Courier New" w:eastAsia="Courier New" w:hAnsi="Courier New" w:cs="Courier New"/>
          <w:sz w:val="18"/>
        </w:rPr>
        <w:t>first</w:t>
      </w:r>
      <w:proofErr w:type="gramEnd"/>
      <w:r>
        <w:rPr>
          <w:rFonts w:ascii="Courier New" w:eastAsia="Courier New" w:hAnsi="Courier New" w:cs="Courier New"/>
          <w:sz w:val="18"/>
        </w:rPr>
        <w:t>_name</w:t>
      </w:r>
      <w:proofErr w:type="spellEnd"/>
      <w:r>
        <w:rPr>
          <w:rFonts w:ascii="Courier New" w:eastAsia="Courier New" w:hAnsi="Courier New" w:cs="Courier New"/>
          <w:sz w:val="18"/>
        </w:rPr>
        <w:t>: “Paul”, surname: “Miller”, city: “London”, location: [45.123,47.232], cars: [</w:t>
      </w:r>
    </w:p>
    <w:p w:rsidR="00641207" w:rsidRDefault="00380829">
      <w:pPr>
        <w:spacing w:after="0" w:line="263" w:lineRule="auto"/>
        <w:ind w:left="432" w:right="2414" w:hanging="108"/>
      </w:pPr>
      <w:proofErr w:type="gramStart"/>
      <w:r>
        <w:rPr>
          <w:rFonts w:ascii="Courier New" w:eastAsia="Courier New" w:hAnsi="Courier New" w:cs="Courier New"/>
          <w:sz w:val="18"/>
        </w:rPr>
        <w:t>{ model</w:t>
      </w:r>
      <w:proofErr w:type="gramEnd"/>
      <w:r>
        <w:rPr>
          <w:rFonts w:ascii="Courier New" w:eastAsia="Courier New" w:hAnsi="Courier New" w:cs="Courier New"/>
          <w:sz w:val="18"/>
        </w:rPr>
        <w:t>: “Bentley”, year: 1973, value: 100000, ….},</w:t>
      </w:r>
    </w:p>
    <w:p w:rsidR="00641207" w:rsidRDefault="00380829">
      <w:pPr>
        <w:spacing w:after="0" w:line="263" w:lineRule="auto"/>
        <w:ind w:left="432" w:right="2075" w:hanging="108"/>
      </w:pPr>
      <w:proofErr w:type="gramStart"/>
      <w:r>
        <w:rPr>
          <w:rFonts w:ascii="Courier New" w:eastAsia="Courier New" w:hAnsi="Courier New" w:cs="Courier New"/>
          <w:sz w:val="18"/>
        </w:rPr>
        <w:t>{ model</w:t>
      </w:r>
      <w:proofErr w:type="gramEnd"/>
      <w:r>
        <w:rPr>
          <w:rFonts w:ascii="Courier New" w:eastAsia="Courier New" w:hAnsi="Courier New" w:cs="Courier New"/>
          <w:sz w:val="18"/>
        </w:rPr>
        <w:t>: “Rolls Royce”, year: 1965, value: 330000, ….},</w:t>
      </w:r>
    </w:p>
    <w:p w:rsidR="00641207" w:rsidRDefault="00380829">
      <w:pPr>
        <w:spacing w:after="0" w:line="263" w:lineRule="auto"/>
        <w:ind w:left="-5" w:right="2075" w:hanging="10"/>
      </w:pPr>
      <w:r>
        <w:rPr>
          <w:rFonts w:ascii="Courier New" w:eastAsia="Courier New" w:hAnsi="Courier New" w:cs="Courier New"/>
          <w:sz w:val="18"/>
        </w:rPr>
        <w:t>]</w:t>
      </w:r>
    </w:p>
    <w:p w:rsidR="00641207" w:rsidRDefault="00380829">
      <w:pPr>
        <w:spacing w:after="456" w:line="263" w:lineRule="auto"/>
        <w:ind w:left="-5" w:right="2075" w:hanging="10"/>
      </w:pPr>
      <w:r>
        <w:rPr>
          <w:rFonts w:ascii="Courier New" w:eastAsia="Courier New" w:hAnsi="Courier New" w:cs="Courier New"/>
          <w:sz w:val="18"/>
        </w:rPr>
        <w:t>}</w:t>
      </w:r>
    </w:p>
    <w:p w:rsidR="00641207" w:rsidRDefault="00380829">
      <w:pPr>
        <w:ind w:left="-9" w:right="14"/>
      </w:pPr>
      <w:r>
        <w:t xml:space="preserve">In this simple example, the relational model consists of only two tables. (In </w:t>
      </w:r>
      <w:proofErr w:type="gramStart"/>
      <w:r>
        <w:t>reality</w:t>
      </w:r>
      <w:proofErr w:type="gramEnd"/>
      <w:r>
        <w:t xml:space="preserve"> most applications will need tens, hundreds or even thousands of tables.) This approach does not </w:t>
      </w:r>
      <w:proofErr w:type="spellStart"/>
      <w:r>
        <w:t>reUect</w:t>
      </w:r>
      <w:proofErr w:type="spellEnd"/>
      <w:r>
        <w:t xml:space="preserve"> the way architects think about data, nor the way in which developers write applications. The document model enables data to be represented in a much more natural and intuitive way.</w:t>
      </w:r>
    </w:p>
    <w:p w:rsidR="00641207" w:rsidRDefault="00380829">
      <w:pPr>
        <w:ind w:left="-9" w:right="14"/>
      </w:pPr>
      <w:r>
        <w:t xml:space="preserve">To further illustrate the differences between the relational and document models, consider the example of a blogging platform in Figure 5. In this example, the application relies on the RDBMS to join </w:t>
      </w:r>
      <w:proofErr w:type="spellStart"/>
      <w:r>
        <w:t>Tve</w:t>
      </w:r>
      <w:proofErr w:type="spellEnd"/>
      <w:r>
        <w:t xml:space="preserve"> separate tables </w:t>
      </w:r>
      <w:proofErr w:type="gramStart"/>
      <w:r>
        <w:t>in order to</w:t>
      </w:r>
      <w:proofErr w:type="gramEnd"/>
      <w:r>
        <w:t xml:space="preserve"> build the blog entry. With MongoDB, </w:t>
      </w:r>
      <w:proofErr w:type="gramStart"/>
      <w:r>
        <w:t>all of</w:t>
      </w:r>
      <w:proofErr w:type="gramEnd"/>
      <w:r>
        <w:t xml:space="preserve"> the blog data is contained within a single document, linked with a single reference to a user document that contains both blog and comment authors.</w:t>
      </w:r>
    </w:p>
    <w:p w:rsidR="00641207" w:rsidRDefault="00380829">
      <w:pPr>
        <w:spacing w:after="321" w:line="259" w:lineRule="auto"/>
        <w:ind w:left="0" w:right="-15" w:firstLine="0"/>
      </w:pPr>
      <w:r>
        <w:rPr>
          <w:noProof/>
        </w:rPr>
        <w:drawing>
          <wp:inline distT="0" distB="0" distL="0" distR="0">
            <wp:extent cx="3124200" cy="62484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7"/>
                    <a:stretch>
                      <a:fillRect/>
                    </a:stretch>
                  </pic:blipFill>
                  <pic:spPr>
                    <a:xfrm>
                      <a:off x="0" y="0"/>
                      <a:ext cx="3124200" cy="6248400"/>
                    </a:xfrm>
                    <a:prstGeom prst="rect">
                      <a:avLst/>
                    </a:prstGeom>
                  </pic:spPr>
                </pic:pic>
              </a:graphicData>
            </a:graphic>
          </wp:inline>
        </w:drawing>
      </w:r>
    </w:p>
    <w:p w:rsidR="00641207" w:rsidRDefault="00380829">
      <w:pPr>
        <w:spacing w:after="320" w:line="258" w:lineRule="auto"/>
        <w:ind w:left="30" w:right="20" w:hanging="10"/>
        <w:jc w:val="center"/>
      </w:pPr>
      <w:r>
        <w:t>Figure 5: Pre-</w:t>
      </w:r>
      <w:proofErr w:type="spellStart"/>
      <w:r>
        <w:t>JOINing</w:t>
      </w:r>
      <w:proofErr w:type="spellEnd"/>
      <w:r>
        <w:t xml:space="preserve"> Data to Collapse 5 RDBMS Tables to 2 BSON Documents</w:t>
      </w:r>
    </w:p>
    <w:p w:rsidR="00641207" w:rsidRDefault="00380829">
      <w:pPr>
        <w:pStyle w:val="Heading3"/>
        <w:ind w:left="-5"/>
      </w:pPr>
      <w:r>
        <w:t>Other Advantages of the Document Model</w:t>
      </w:r>
    </w:p>
    <w:p w:rsidR="00641207" w:rsidRDefault="00380829">
      <w:pPr>
        <w:ind w:left="-9" w:right="14"/>
      </w:pPr>
      <w:r>
        <w:t>In addition to making it more natural to represent data at the database level, the document model also provides performance and scalability advantages:</w:t>
      </w:r>
    </w:p>
    <w:p w:rsidR="00641207" w:rsidRDefault="00380829">
      <w:pPr>
        <w:numPr>
          <w:ilvl w:val="0"/>
          <w:numId w:val="1"/>
        </w:numPr>
        <w:spacing w:after="90"/>
        <w:ind w:right="14" w:hanging="227"/>
      </w:pPr>
      <w:r>
        <w:t xml:space="preserve">The complete document can be accessed with a single call to the database, rather than having to JOIN multiple tables to respond to a query. The MongoDB document is physically stored as a single object, requiring only a </w:t>
      </w:r>
      <w:r>
        <w:lastRenderedPageBreak/>
        <w:t>single read from memory or disk. On the other hand, RDBMS JOINs require multiple reads from multiple physical locations.</w:t>
      </w:r>
    </w:p>
    <w:p w:rsidR="00641207" w:rsidRDefault="00380829">
      <w:pPr>
        <w:numPr>
          <w:ilvl w:val="0"/>
          <w:numId w:val="1"/>
        </w:numPr>
        <w:spacing w:after="447"/>
        <w:ind w:right="14" w:hanging="227"/>
      </w:pPr>
      <w:r>
        <w:t xml:space="preserve">As documents are self-contained, distributing the database across multiple nodes (a process called </w:t>
      </w:r>
      <w:proofErr w:type="spellStart"/>
      <w:r>
        <w:t>sharding</w:t>
      </w:r>
      <w:proofErr w:type="spellEnd"/>
      <w:r>
        <w:t>) becomes simpler and makes it possible to achieve massive horizontal scalability on commodity hardware. The DBA no longer needs to worry about the performance penalty of executing cross-node JOINs (should they even be possible in the existing RDBMS) to collect data from different tables.</w:t>
      </w:r>
    </w:p>
    <w:p w:rsidR="00641207" w:rsidRDefault="00380829">
      <w:pPr>
        <w:pStyle w:val="Heading3"/>
        <w:ind w:left="-5"/>
      </w:pPr>
      <w:r>
        <w:t>Joining Collections for Data Analytics</w:t>
      </w:r>
    </w:p>
    <w:p w:rsidR="00641207" w:rsidRDefault="00380829">
      <w:pPr>
        <w:ind w:left="-9" w:right="14"/>
      </w:pPr>
      <w:proofErr w:type="gramStart"/>
      <w:r>
        <w:t>Typically</w:t>
      </w:r>
      <w:proofErr w:type="gramEnd"/>
      <w:r>
        <w:t xml:space="preserve"> it is most advantageous to take a </w:t>
      </w:r>
      <w:proofErr w:type="spellStart"/>
      <w:r>
        <w:t>denormalized</w:t>
      </w:r>
      <w:proofErr w:type="spellEnd"/>
      <w:r>
        <w:t xml:space="preserve"> data modeling approach for operational databases – the </w:t>
      </w:r>
      <w:proofErr w:type="spellStart"/>
      <w:r>
        <w:t>efTciency</w:t>
      </w:r>
      <w:proofErr w:type="spellEnd"/>
      <w:r>
        <w:t xml:space="preserve"> of reading or writing an entire record in a single operation outweighing any modest increase in storage requirements. However, there are examples where normalizing data can be </w:t>
      </w:r>
      <w:proofErr w:type="spellStart"/>
      <w:r>
        <w:t>beneTcial</w:t>
      </w:r>
      <w:proofErr w:type="spellEnd"/>
      <w:r>
        <w:t xml:space="preserve">, especially when data from multiple sources needs to be blended for analysis – MongoDB 3.2 adds that capability with the </w:t>
      </w:r>
      <w:r>
        <w:rPr>
          <w:rFonts w:ascii="Courier New" w:eastAsia="Courier New" w:hAnsi="Courier New" w:cs="Courier New"/>
          <w:sz w:val="18"/>
        </w:rPr>
        <w:t xml:space="preserve">$lookup </w:t>
      </w:r>
      <w:r>
        <w:t xml:space="preserve">stage in the </w:t>
      </w:r>
      <w:hyperlink r:id="rId18">
        <w:r>
          <w:rPr>
            <w:color w:val="6CA438"/>
          </w:rPr>
          <w:t>MongoDB Aggregation Framework</w:t>
        </w:r>
      </w:hyperlink>
      <w:r>
        <w:t>.</w:t>
      </w:r>
    </w:p>
    <w:p w:rsidR="00641207" w:rsidRDefault="00380829">
      <w:pPr>
        <w:ind w:left="-9" w:right="14"/>
      </w:pPr>
      <w:r>
        <w:t>The Aggregation Framework is a pipeline for data aggregation modeled on the concept of data processing pipelines. Documents enter a multi-stage pipeline that transforms the documents into aggregated results. The pipeline consists of stages; each stage transforms the documents as they pass through.</w:t>
      </w:r>
    </w:p>
    <w:p w:rsidR="00641207" w:rsidRDefault="00380829">
      <w:pPr>
        <w:ind w:left="-9" w:right="14"/>
      </w:pPr>
      <w:r>
        <w:t xml:space="preserve">While not offering as rich a set of join operations as some RDBMSs, </w:t>
      </w:r>
      <w:r>
        <w:rPr>
          <w:rFonts w:ascii="Courier New" w:eastAsia="Courier New" w:hAnsi="Courier New" w:cs="Courier New"/>
          <w:sz w:val="18"/>
        </w:rPr>
        <w:t xml:space="preserve">$lookup </w:t>
      </w:r>
      <w:r>
        <w:t xml:space="preserve">provides a left outer </w:t>
      </w:r>
      <w:proofErr w:type="spellStart"/>
      <w:r>
        <w:t>equi</w:t>
      </w:r>
      <w:proofErr w:type="spellEnd"/>
      <w:r>
        <w:t xml:space="preserve">-join which provides convenience for a selection of analytics use cases. A left outer </w:t>
      </w:r>
      <w:proofErr w:type="spellStart"/>
      <w:r>
        <w:t>equi</w:t>
      </w:r>
      <w:proofErr w:type="spellEnd"/>
      <w:r>
        <w:t>-join, matches and embeds documents from the "right" collection in documents from the "left" collection.</w:t>
      </w:r>
    </w:p>
    <w:p w:rsidR="00641207" w:rsidRDefault="00380829">
      <w:pPr>
        <w:spacing w:after="6"/>
        <w:ind w:left="-9" w:right="14"/>
      </w:pPr>
      <w:r>
        <w:t xml:space="preserve">As an </w:t>
      </w:r>
      <w:proofErr w:type="gramStart"/>
      <w:r>
        <w:t>example</w:t>
      </w:r>
      <w:proofErr w:type="gramEnd"/>
      <w:r>
        <w:t xml:space="preserve"> if the left collection contains </w:t>
      </w:r>
      <w:r>
        <w:rPr>
          <w:rFonts w:ascii="Courier New" w:eastAsia="Courier New" w:hAnsi="Courier New" w:cs="Courier New"/>
          <w:sz w:val="18"/>
        </w:rPr>
        <w:t xml:space="preserve">order </w:t>
      </w:r>
      <w:r>
        <w:t>documents from a shopping cart application then the</w:t>
      </w:r>
    </w:p>
    <w:p w:rsidR="00641207" w:rsidRDefault="00380829">
      <w:pPr>
        <w:ind w:left="-9" w:right="14"/>
      </w:pPr>
      <w:r>
        <w:rPr>
          <w:rFonts w:ascii="Courier New" w:eastAsia="Courier New" w:hAnsi="Courier New" w:cs="Courier New"/>
          <w:sz w:val="18"/>
        </w:rPr>
        <w:t xml:space="preserve">$lookup </w:t>
      </w:r>
      <w:r>
        <w:t xml:space="preserve">operator can match the </w:t>
      </w:r>
      <w:proofErr w:type="spellStart"/>
      <w:r>
        <w:rPr>
          <w:rFonts w:ascii="Courier New" w:eastAsia="Courier New" w:hAnsi="Courier New" w:cs="Courier New"/>
          <w:sz w:val="18"/>
        </w:rPr>
        <w:t>product_id</w:t>
      </w:r>
      <w:proofErr w:type="spellEnd"/>
      <w:r>
        <w:rPr>
          <w:rFonts w:ascii="Courier New" w:eastAsia="Courier New" w:hAnsi="Courier New" w:cs="Courier New"/>
          <w:sz w:val="18"/>
        </w:rPr>
        <w:t xml:space="preserve"> </w:t>
      </w:r>
      <w:r>
        <w:t xml:space="preserve">references from those documents to embed the matching product details from the </w:t>
      </w:r>
      <w:r>
        <w:rPr>
          <w:rFonts w:ascii="Courier New" w:eastAsia="Courier New" w:hAnsi="Courier New" w:cs="Courier New"/>
          <w:sz w:val="18"/>
        </w:rPr>
        <w:t xml:space="preserve">products </w:t>
      </w:r>
      <w:r>
        <w:t>collection.</w:t>
      </w:r>
    </w:p>
    <w:p w:rsidR="00641207" w:rsidRDefault="00380829">
      <w:pPr>
        <w:ind w:left="-9" w:right="14"/>
      </w:pPr>
      <w:r>
        <w:t xml:space="preserve">Worked examples of using </w:t>
      </w:r>
      <w:r>
        <w:rPr>
          <w:rFonts w:ascii="Courier New" w:eastAsia="Courier New" w:hAnsi="Courier New" w:cs="Courier New"/>
          <w:sz w:val="18"/>
        </w:rPr>
        <w:t xml:space="preserve">$lookup </w:t>
      </w:r>
      <w:r>
        <w:t xml:space="preserve">as well as other </w:t>
      </w:r>
      <w:proofErr w:type="spellStart"/>
      <w:r>
        <w:t>agggregation</w:t>
      </w:r>
      <w:proofErr w:type="spellEnd"/>
      <w:r>
        <w:t xml:space="preserve"> stages can be found in the blog – </w:t>
      </w:r>
      <w:hyperlink r:id="rId19">
        <w:r>
          <w:rPr>
            <w:color w:val="6CA438"/>
          </w:rPr>
          <w:t xml:space="preserve">Joins and </w:t>
        </w:r>
      </w:hyperlink>
      <w:hyperlink r:id="rId20">
        <w:r>
          <w:rPr>
            <w:color w:val="6CA438"/>
          </w:rPr>
          <w:t>Other Aggregation Enhancements</w:t>
        </w:r>
      </w:hyperlink>
      <w:r>
        <w:t>.</w:t>
      </w:r>
    </w:p>
    <w:p w:rsidR="00641207" w:rsidRDefault="00380829">
      <w:pPr>
        <w:pStyle w:val="Heading3"/>
        <w:ind w:left="-5"/>
      </w:pPr>
      <w:proofErr w:type="spellStart"/>
      <w:r>
        <w:t>DeTning</w:t>
      </w:r>
      <w:proofErr w:type="spellEnd"/>
      <w:r>
        <w:t xml:space="preserve"> the Document Schema</w:t>
      </w:r>
    </w:p>
    <w:p w:rsidR="00641207" w:rsidRDefault="00380829">
      <w:pPr>
        <w:ind w:left="-9" w:right="14"/>
      </w:pPr>
      <w:r>
        <w:t xml:space="preserve">The application’s data access patterns should govern schema design, with </w:t>
      </w:r>
      <w:proofErr w:type="spellStart"/>
      <w:r>
        <w:t>speciTc</w:t>
      </w:r>
      <w:proofErr w:type="spellEnd"/>
      <w:r>
        <w:t xml:space="preserve"> understanding of:</w:t>
      </w:r>
    </w:p>
    <w:p w:rsidR="00641207" w:rsidRDefault="00380829">
      <w:pPr>
        <w:numPr>
          <w:ilvl w:val="0"/>
          <w:numId w:val="2"/>
        </w:numPr>
        <w:spacing w:after="90"/>
        <w:ind w:right="14" w:hanging="227"/>
      </w:pPr>
      <w:r>
        <w:t>The read/write ratio of database operations and whether it is more important to optimize performance for one over the other</w:t>
      </w:r>
    </w:p>
    <w:p w:rsidR="00641207" w:rsidRDefault="00380829">
      <w:pPr>
        <w:numPr>
          <w:ilvl w:val="0"/>
          <w:numId w:val="2"/>
        </w:numPr>
        <w:spacing w:after="90"/>
        <w:ind w:right="14" w:hanging="227"/>
      </w:pPr>
      <w:r>
        <w:t>The types of queries and updates performed by the database</w:t>
      </w:r>
    </w:p>
    <w:p w:rsidR="00641207" w:rsidRDefault="00380829">
      <w:pPr>
        <w:numPr>
          <w:ilvl w:val="0"/>
          <w:numId w:val="2"/>
        </w:numPr>
        <w:ind w:right="14" w:hanging="227"/>
      </w:pPr>
      <w:r>
        <w:t>The life-cycle of the data and growth rate of documents</w:t>
      </w:r>
    </w:p>
    <w:p w:rsidR="00641207" w:rsidRDefault="00380829">
      <w:pPr>
        <w:ind w:left="-9" w:right="14"/>
      </w:pPr>
      <w:r>
        <w:t xml:space="preserve">As a </w:t>
      </w:r>
      <w:proofErr w:type="spellStart"/>
      <w:r>
        <w:t>Trst</w:t>
      </w:r>
      <w:proofErr w:type="spellEnd"/>
      <w:r>
        <w:t xml:space="preserve"> step, the project team should document the operations performed on the application’s data, comparing:</w:t>
      </w:r>
    </w:p>
    <w:p w:rsidR="00641207" w:rsidRDefault="00380829">
      <w:pPr>
        <w:numPr>
          <w:ilvl w:val="0"/>
          <w:numId w:val="3"/>
        </w:numPr>
        <w:spacing w:after="90"/>
        <w:ind w:right="14" w:hanging="310"/>
      </w:pPr>
      <w:r>
        <w:t>How these are currently implemented by the relational database;</w:t>
      </w:r>
    </w:p>
    <w:p w:rsidR="00641207" w:rsidRDefault="00380829">
      <w:pPr>
        <w:numPr>
          <w:ilvl w:val="0"/>
          <w:numId w:val="3"/>
        </w:numPr>
        <w:ind w:right="14" w:hanging="310"/>
      </w:pPr>
      <w:r>
        <w:t>How MongoDB could implement them.</w:t>
      </w:r>
    </w:p>
    <w:p w:rsidR="00641207" w:rsidRDefault="00380829">
      <w:pPr>
        <w:ind w:left="-9" w:right="14"/>
      </w:pPr>
      <w:r>
        <w:t>Figure 6 represents an example of this exercise.</w:t>
      </w:r>
    </w:p>
    <w:p w:rsidR="00641207" w:rsidRDefault="00380829">
      <w:pPr>
        <w:ind w:left="-9" w:right="14"/>
      </w:pPr>
      <w:r>
        <w:t>This analysis helps to identify the ideal document schema for the application data and workload, based on the queries and operations to be performed against it.</w:t>
      </w:r>
    </w:p>
    <w:p w:rsidR="00641207" w:rsidRDefault="00380829">
      <w:pPr>
        <w:spacing w:after="484"/>
        <w:ind w:left="-9" w:right="14"/>
      </w:pPr>
      <w:r>
        <w:t xml:space="preserve">The project team can also identify the existing application's most common queries by analyzing the logs maintained by the RDBMS. This analysis </w:t>
      </w:r>
      <w:proofErr w:type="spellStart"/>
      <w:r>
        <w:t>identiTes</w:t>
      </w:r>
      <w:proofErr w:type="spellEnd"/>
      <w:r>
        <w:t xml:space="preserve"> the data that is most frequently accessed together, and can therefore potentially be stored together within a single MongoDB document. An example of this process is documented in the </w:t>
      </w:r>
      <w:hyperlink r:id="rId21">
        <w:r>
          <w:rPr>
            <w:color w:val="6CA438"/>
          </w:rPr>
          <w:t xml:space="preserve">Apollo </w:t>
        </w:r>
      </w:hyperlink>
      <w:hyperlink r:id="rId22">
        <w:r>
          <w:rPr>
            <w:color w:val="6CA438"/>
          </w:rPr>
          <w:t>Group’s migration from Oracle to MongoDB</w:t>
        </w:r>
      </w:hyperlink>
      <w:r>
        <w:rPr>
          <w:color w:val="6CA438"/>
        </w:rPr>
        <w:t xml:space="preserve"> </w:t>
      </w:r>
      <w:r>
        <w:t>when developing a new cloud-based learning management platform.</w:t>
      </w:r>
    </w:p>
    <w:p w:rsidR="00641207" w:rsidRPr="00C50E25" w:rsidRDefault="00380829">
      <w:pPr>
        <w:spacing w:after="119" w:line="248" w:lineRule="auto"/>
        <w:ind w:left="-5" w:hanging="10"/>
        <w:rPr>
          <w:highlight w:val="yellow"/>
        </w:rPr>
      </w:pPr>
      <w:r>
        <w:rPr>
          <w:sz w:val="28"/>
        </w:rPr>
        <w:t xml:space="preserve">Modeling Relationships with </w:t>
      </w:r>
      <w:r w:rsidRPr="00C50E25">
        <w:rPr>
          <w:sz w:val="28"/>
          <w:highlight w:val="yellow"/>
        </w:rPr>
        <w:t>Embedding</w:t>
      </w:r>
    </w:p>
    <w:p w:rsidR="00641207" w:rsidRDefault="00380829">
      <w:pPr>
        <w:pStyle w:val="Heading2"/>
        <w:ind w:left="-5"/>
      </w:pPr>
      <w:r w:rsidRPr="00C50E25">
        <w:rPr>
          <w:highlight w:val="yellow"/>
        </w:rPr>
        <w:t>and Referencing</w:t>
      </w:r>
    </w:p>
    <w:p w:rsidR="00641207" w:rsidRDefault="00380829">
      <w:pPr>
        <w:spacing w:after="447"/>
        <w:ind w:left="-9" w:right="14"/>
      </w:pPr>
      <w:r>
        <w:t>Deciding when to embed a document or instead create a reference between separate documents in different collections is an application-</w:t>
      </w:r>
      <w:proofErr w:type="spellStart"/>
      <w:r>
        <w:t>speciTc</w:t>
      </w:r>
      <w:proofErr w:type="spellEnd"/>
      <w:r>
        <w:t xml:space="preserve"> consideration. There are, however, some general considerations to guide the decision during schema design.</w:t>
      </w:r>
    </w:p>
    <w:p w:rsidR="00641207" w:rsidRDefault="00380829">
      <w:pPr>
        <w:pStyle w:val="Heading3"/>
        <w:ind w:left="-5"/>
      </w:pPr>
      <w:r w:rsidRPr="00380829">
        <w:rPr>
          <w:highlight w:val="yellow"/>
        </w:rPr>
        <w:lastRenderedPageBreak/>
        <w:t>Embedding</w:t>
      </w:r>
    </w:p>
    <w:p w:rsidR="00641207" w:rsidRDefault="00380829">
      <w:pPr>
        <w:ind w:left="-9" w:right="14"/>
      </w:pPr>
      <w:r>
        <w:t xml:space="preserve">Data with a </w:t>
      </w:r>
      <w:r w:rsidRPr="00380829">
        <w:rPr>
          <w:highlight w:val="yellow"/>
        </w:rPr>
        <w:t xml:space="preserve">1:1 or </w:t>
      </w:r>
      <w:proofErr w:type="gramStart"/>
      <w:r w:rsidRPr="00380829">
        <w:rPr>
          <w:highlight w:val="yellow"/>
        </w:rPr>
        <w:t>1:many</w:t>
      </w:r>
      <w:proofErr w:type="gramEnd"/>
      <w:r>
        <w:t xml:space="preserve"> relationship (where the “many” objects always appear with, or are viewed in the context of</w:t>
      </w:r>
    </w:p>
    <w:tbl>
      <w:tblPr>
        <w:tblStyle w:val="TableGrid"/>
        <w:tblW w:w="4668" w:type="dxa"/>
        <w:tblInd w:w="0" w:type="dxa"/>
        <w:tblCellMar>
          <w:top w:w="102" w:type="dxa"/>
          <w:left w:w="0" w:type="dxa"/>
          <w:bottom w:w="0" w:type="dxa"/>
          <w:right w:w="115" w:type="dxa"/>
        </w:tblCellMar>
        <w:tblLook w:val="04A0" w:firstRow="1" w:lastRow="0" w:firstColumn="1" w:lastColumn="0" w:noHBand="0" w:noVBand="1"/>
      </w:tblPr>
      <w:tblGrid>
        <w:gridCol w:w="1320"/>
        <w:gridCol w:w="1775"/>
        <w:gridCol w:w="1573"/>
      </w:tblGrid>
      <w:tr w:rsidR="00641207">
        <w:trPr>
          <w:trHeight w:val="680"/>
        </w:trPr>
        <w:tc>
          <w:tcPr>
            <w:tcW w:w="1320" w:type="dxa"/>
            <w:tcBorders>
              <w:top w:val="nil"/>
              <w:left w:val="nil"/>
              <w:bottom w:val="nil"/>
              <w:right w:val="nil"/>
            </w:tcBorders>
            <w:shd w:val="clear" w:color="auto" w:fill="8BB661"/>
            <w:vAlign w:val="center"/>
          </w:tcPr>
          <w:p w:rsidR="00641207" w:rsidRDefault="00380829">
            <w:pPr>
              <w:spacing w:after="0" w:line="259" w:lineRule="auto"/>
              <w:ind w:left="104" w:firstLine="0"/>
            </w:pPr>
            <w:r>
              <w:rPr>
                <w:color w:val="FFFFFF"/>
              </w:rPr>
              <w:t>Application</w:t>
            </w:r>
          </w:p>
        </w:tc>
        <w:tc>
          <w:tcPr>
            <w:tcW w:w="1775" w:type="dxa"/>
            <w:tcBorders>
              <w:top w:val="nil"/>
              <w:left w:val="nil"/>
              <w:bottom w:val="nil"/>
              <w:right w:val="nil"/>
            </w:tcBorders>
            <w:shd w:val="clear" w:color="auto" w:fill="8BB661"/>
            <w:vAlign w:val="center"/>
          </w:tcPr>
          <w:p w:rsidR="00641207" w:rsidRDefault="00380829">
            <w:pPr>
              <w:spacing w:after="0" w:line="259" w:lineRule="auto"/>
              <w:ind w:left="111" w:firstLine="0"/>
            </w:pPr>
            <w:r>
              <w:rPr>
                <w:color w:val="FFFFFF"/>
              </w:rPr>
              <w:t>RDBMS Action</w:t>
            </w:r>
          </w:p>
        </w:tc>
        <w:tc>
          <w:tcPr>
            <w:tcW w:w="1573" w:type="dxa"/>
            <w:tcBorders>
              <w:top w:val="nil"/>
              <w:left w:val="nil"/>
              <w:bottom w:val="nil"/>
              <w:right w:val="nil"/>
            </w:tcBorders>
            <w:shd w:val="clear" w:color="auto" w:fill="8BB661"/>
            <w:vAlign w:val="center"/>
          </w:tcPr>
          <w:p w:rsidR="00641207" w:rsidRDefault="00380829">
            <w:pPr>
              <w:spacing w:after="0" w:line="259" w:lineRule="auto"/>
              <w:ind w:left="454" w:hanging="165"/>
            </w:pPr>
            <w:r>
              <w:rPr>
                <w:color w:val="FFFFFF"/>
              </w:rPr>
              <w:t>MongoDB Action</w:t>
            </w:r>
          </w:p>
        </w:tc>
      </w:tr>
      <w:tr w:rsidR="00641207">
        <w:trPr>
          <w:trHeight w:val="1171"/>
        </w:trPr>
        <w:tc>
          <w:tcPr>
            <w:tcW w:w="1320" w:type="dxa"/>
            <w:tcBorders>
              <w:top w:val="nil"/>
              <w:left w:val="nil"/>
              <w:bottom w:val="dashed" w:sz="5" w:space="0" w:color="AAAAAA"/>
              <w:right w:val="nil"/>
            </w:tcBorders>
          </w:tcPr>
          <w:p w:rsidR="00641207" w:rsidRDefault="00380829">
            <w:pPr>
              <w:spacing w:after="0" w:line="259" w:lineRule="auto"/>
              <w:ind w:left="100" w:firstLine="0"/>
            </w:pPr>
            <w:r>
              <w:t>Create</w:t>
            </w:r>
          </w:p>
          <w:p w:rsidR="00641207" w:rsidRDefault="00380829">
            <w:pPr>
              <w:spacing w:after="0" w:line="259" w:lineRule="auto"/>
              <w:ind w:left="100" w:firstLine="0"/>
            </w:pPr>
            <w:r>
              <w:t>Product</w:t>
            </w:r>
          </w:p>
          <w:p w:rsidR="00641207" w:rsidRDefault="00380829">
            <w:pPr>
              <w:spacing w:after="0" w:line="259" w:lineRule="auto"/>
              <w:ind w:left="100" w:firstLine="0"/>
            </w:pPr>
            <w:r>
              <w:t>Record</w:t>
            </w:r>
          </w:p>
        </w:tc>
        <w:tc>
          <w:tcPr>
            <w:tcW w:w="1775" w:type="dxa"/>
            <w:tcBorders>
              <w:top w:val="nil"/>
              <w:left w:val="nil"/>
              <w:bottom w:val="dashed" w:sz="5" w:space="0" w:color="AAAAAA"/>
              <w:right w:val="nil"/>
            </w:tcBorders>
            <w:vAlign w:val="center"/>
          </w:tcPr>
          <w:p w:rsidR="00641207" w:rsidRDefault="00380829">
            <w:pPr>
              <w:spacing w:after="0" w:line="259" w:lineRule="auto"/>
              <w:ind w:left="0" w:firstLine="0"/>
            </w:pPr>
            <w:r>
              <w:rPr>
                <w:rFonts w:ascii="Courier New" w:eastAsia="Courier New" w:hAnsi="Courier New" w:cs="Courier New"/>
                <w:sz w:val="18"/>
              </w:rPr>
              <w:t xml:space="preserve">INSERT </w:t>
            </w:r>
            <w:r>
              <w:t xml:space="preserve">to </w:t>
            </w:r>
            <w:r>
              <w:rPr>
                <w:rFonts w:ascii="Courier New" w:eastAsia="Courier New" w:hAnsi="Courier New" w:cs="Courier New"/>
                <w:sz w:val="18"/>
              </w:rPr>
              <w:t xml:space="preserve">(n) </w:t>
            </w:r>
            <w:r>
              <w:t>tables (product description, price, manufacturer, etc.)</w:t>
            </w:r>
          </w:p>
        </w:tc>
        <w:tc>
          <w:tcPr>
            <w:tcW w:w="1573" w:type="dxa"/>
            <w:tcBorders>
              <w:top w:val="nil"/>
              <w:left w:val="nil"/>
              <w:bottom w:val="dashed" w:sz="5" w:space="0" w:color="AAAAAA"/>
              <w:right w:val="nil"/>
            </w:tcBorders>
          </w:tcPr>
          <w:p w:rsidR="00641207" w:rsidRDefault="00380829">
            <w:pPr>
              <w:spacing w:after="0" w:line="259" w:lineRule="auto"/>
              <w:ind w:left="0" w:firstLine="0"/>
            </w:pPr>
            <w:proofErr w:type="gramStart"/>
            <w:r>
              <w:rPr>
                <w:rFonts w:ascii="Courier New" w:eastAsia="Courier New" w:hAnsi="Courier New" w:cs="Courier New"/>
                <w:sz w:val="18"/>
              </w:rPr>
              <w:t>insert(</w:t>
            </w:r>
            <w:proofErr w:type="gramEnd"/>
            <w:r>
              <w:rPr>
                <w:rFonts w:ascii="Courier New" w:eastAsia="Courier New" w:hAnsi="Courier New" w:cs="Courier New"/>
                <w:sz w:val="18"/>
              </w:rPr>
              <w:t xml:space="preserve">) </w:t>
            </w:r>
            <w:r>
              <w:t>to 1 document</w:t>
            </w:r>
          </w:p>
        </w:tc>
      </w:tr>
      <w:tr w:rsidR="00641207">
        <w:trPr>
          <w:trHeight w:val="931"/>
        </w:trPr>
        <w:tc>
          <w:tcPr>
            <w:tcW w:w="1320" w:type="dxa"/>
            <w:tcBorders>
              <w:top w:val="dashed" w:sz="5" w:space="0" w:color="AAAAAA"/>
              <w:left w:val="nil"/>
              <w:bottom w:val="dashed" w:sz="5" w:space="0" w:color="AAAAAA"/>
              <w:right w:val="nil"/>
            </w:tcBorders>
            <w:vAlign w:val="center"/>
          </w:tcPr>
          <w:p w:rsidR="00641207" w:rsidRDefault="00380829">
            <w:pPr>
              <w:spacing w:after="0" w:line="259" w:lineRule="auto"/>
              <w:ind w:left="100" w:firstLine="0"/>
            </w:pPr>
            <w:r>
              <w:t>Display</w:t>
            </w:r>
          </w:p>
          <w:p w:rsidR="00641207" w:rsidRDefault="00380829">
            <w:pPr>
              <w:spacing w:after="0" w:line="259" w:lineRule="auto"/>
              <w:ind w:left="100" w:firstLine="0"/>
            </w:pPr>
            <w:r>
              <w:t>Product</w:t>
            </w:r>
          </w:p>
          <w:p w:rsidR="00641207" w:rsidRDefault="00380829">
            <w:pPr>
              <w:spacing w:after="0" w:line="259" w:lineRule="auto"/>
              <w:ind w:left="100" w:firstLine="0"/>
            </w:pPr>
            <w:r>
              <w:t>Record</w:t>
            </w:r>
          </w:p>
        </w:tc>
        <w:tc>
          <w:tcPr>
            <w:tcW w:w="1775" w:type="dxa"/>
            <w:tcBorders>
              <w:top w:val="dashed" w:sz="5" w:space="0" w:color="AAAAAA"/>
              <w:left w:val="nil"/>
              <w:bottom w:val="dashed" w:sz="5" w:space="0" w:color="AAAAAA"/>
              <w:right w:val="nil"/>
            </w:tcBorders>
          </w:tcPr>
          <w:p w:rsidR="00641207" w:rsidRDefault="00380829">
            <w:pPr>
              <w:spacing w:after="0" w:line="259" w:lineRule="auto"/>
              <w:ind w:left="0" w:firstLine="0"/>
            </w:pPr>
            <w:r>
              <w:rPr>
                <w:rFonts w:ascii="Courier New" w:eastAsia="Courier New" w:hAnsi="Courier New" w:cs="Courier New"/>
                <w:sz w:val="18"/>
              </w:rPr>
              <w:t xml:space="preserve">SELECT </w:t>
            </w:r>
            <w:r>
              <w:t xml:space="preserve">and </w:t>
            </w:r>
            <w:r>
              <w:rPr>
                <w:rFonts w:ascii="Courier New" w:eastAsia="Courier New" w:hAnsi="Courier New" w:cs="Courier New"/>
                <w:sz w:val="18"/>
              </w:rPr>
              <w:t>JOIN</w:t>
            </w:r>
          </w:p>
          <w:p w:rsidR="00641207" w:rsidRDefault="00380829">
            <w:pPr>
              <w:spacing w:after="0" w:line="259" w:lineRule="auto"/>
              <w:ind w:left="0" w:firstLine="0"/>
            </w:pPr>
            <w:r>
              <w:rPr>
                <w:rFonts w:ascii="Courier New" w:eastAsia="Courier New" w:hAnsi="Courier New" w:cs="Courier New"/>
                <w:sz w:val="18"/>
              </w:rPr>
              <w:t xml:space="preserve">(n) </w:t>
            </w:r>
            <w:r>
              <w:t>product tables</w:t>
            </w:r>
          </w:p>
        </w:tc>
        <w:tc>
          <w:tcPr>
            <w:tcW w:w="1573" w:type="dxa"/>
            <w:tcBorders>
              <w:top w:val="dashed" w:sz="5" w:space="0" w:color="AAAAAA"/>
              <w:left w:val="nil"/>
              <w:bottom w:val="dashed" w:sz="5" w:space="0" w:color="AAAAAA"/>
              <w:right w:val="nil"/>
            </w:tcBorders>
          </w:tcPr>
          <w:p w:rsidR="00641207" w:rsidRDefault="00380829">
            <w:pPr>
              <w:spacing w:after="0" w:line="259" w:lineRule="auto"/>
              <w:ind w:left="0" w:firstLine="0"/>
            </w:pPr>
            <w:proofErr w:type="gramStart"/>
            <w:r>
              <w:rPr>
                <w:rFonts w:ascii="Courier New" w:eastAsia="Courier New" w:hAnsi="Courier New" w:cs="Courier New"/>
                <w:sz w:val="18"/>
              </w:rPr>
              <w:t>find(</w:t>
            </w:r>
            <w:proofErr w:type="gramEnd"/>
            <w:r>
              <w:rPr>
                <w:rFonts w:ascii="Courier New" w:eastAsia="Courier New" w:hAnsi="Courier New" w:cs="Courier New"/>
                <w:sz w:val="18"/>
              </w:rPr>
              <w:t xml:space="preserve">) </w:t>
            </w:r>
            <w:r>
              <w:t>single document</w:t>
            </w:r>
          </w:p>
        </w:tc>
      </w:tr>
    </w:tbl>
    <w:p w:rsidR="00641207" w:rsidRDefault="00380829">
      <w:pPr>
        <w:tabs>
          <w:tab w:val="center" w:pos="2747"/>
        </w:tabs>
        <w:spacing w:after="0"/>
        <w:ind w:left="0" w:firstLine="0"/>
      </w:pPr>
      <w:r>
        <w:t>Add</w:t>
      </w:r>
      <w:r>
        <w:tab/>
      </w:r>
      <w:r>
        <w:rPr>
          <w:rFonts w:ascii="Courier New" w:eastAsia="Courier New" w:hAnsi="Courier New" w:cs="Courier New"/>
          <w:sz w:val="18"/>
        </w:rPr>
        <w:t xml:space="preserve">INSERT </w:t>
      </w:r>
      <w:r>
        <w:t xml:space="preserve">to “review” </w:t>
      </w:r>
      <w:proofErr w:type="gramStart"/>
      <w:r>
        <w:rPr>
          <w:rFonts w:ascii="Courier New" w:eastAsia="Courier New" w:hAnsi="Courier New" w:cs="Courier New"/>
          <w:sz w:val="18"/>
        </w:rPr>
        <w:t>insert(</w:t>
      </w:r>
      <w:proofErr w:type="gramEnd"/>
      <w:r>
        <w:rPr>
          <w:rFonts w:ascii="Courier New" w:eastAsia="Courier New" w:hAnsi="Courier New" w:cs="Courier New"/>
          <w:sz w:val="18"/>
        </w:rPr>
        <w:t xml:space="preserve">) </w:t>
      </w:r>
      <w:r>
        <w:t>to</w:t>
      </w:r>
    </w:p>
    <w:p w:rsidR="00641207" w:rsidRDefault="00380829">
      <w:pPr>
        <w:tabs>
          <w:tab w:val="center" w:pos="2032"/>
          <w:tab w:val="center" w:pos="3420"/>
        </w:tabs>
        <w:spacing w:after="0"/>
        <w:ind w:left="0" w:firstLine="0"/>
      </w:pPr>
      <w:r>
        <w:t>Product</w:t>
      </w:r>
      <w:r>
        <w:tab/>
        <w:t>table, foreign key</w:t>
      </w:r>
      <w:r>
        <w:tab/>
        <w:t>“review”</w:t>
      </w:r>
    </w:p>
    <w:p w:rsidR="00641207" w:rsidRDefault="00380829">
      <w:pPr>
        <w:tabs>
          <w:tab w:val="center" w:pos="2037"/>
          <w:tab w:val="center" w:pos="3508"/>
        </w:tabs>
        <w:spacing w:after="0"/>
        <w:ind w:left="0" w:firstLine="0"/>
      </w:pPr>
      <w:r>
        <w:t>Review</w:t>
      </w:r>
      <w:r>
        <w:tab/>
        <w:t>to product record</w:t>
      </w:r>
      <w:r>
        <w:tab/>
        <w:t>collection,</w:t>
      </w:r>
    </w:p>
    <w:p w:rsidR="00641207" w:rsidRDefault="00380829">
      <w:pPr>
        <w:spacing w:after="0" w:line="236" w:lineRule="auto"/>
        <w:ind w:left="3101" w:right="345"/>
      </w:pPr>
      <w:r>
        <w:t>reference to product document</w:t>
      </w:r>
    </w:p>
    <w:p w:rsidR="00641207" w:rsidRDefault="00380829">
      <w:pPr>
        <w:spacing w:after="109" w:line="259" w:lineRule="auto"/>
        <w:ind w:left="0" w:right="-17" w:firstLine="0"/>
      </w:pPr>
      <w:r>
        <w:rPr>
          <w:noProof/>
          <w:color w:val="000000"/>
          <w:sz w:val="22"/>
        </w:rPr>
        <mc:AlternateContent>
          <mc:Choice Requires="wpg">
            <w:drawing>
              <wp:inline distT="0" distB="0" distL="0" distR="0">
                <wp:extent cx="3124200" cy="7144"/>
                <wp:effectExtent l="0" t="0" r="0" b="0"/>
                <wp:docPr id="24982" name="Group 24982"/>
                <wp:cNvGraphicFramePr/>
                <a:graphic xmlns:a="http://schemas.openxmlformats.org/drawingml/2006/main">
                  <a:graphicData uri="http://schemas.microsoft.com/office/word/2010/wordprocessingGroup">
                    <wpg:wgp>
                      <wpg:cNvGrpSpPr/>
                      <wpg:grpSpPr>
                        <a:xfrm>
                          <a:off x="0" y="0"/>
                          <a:ext cx="3124200" cy="7144"/>
                          <a:chOff x="0" y="0"/>
                          <a:chExt cx="3124200" cy="7144"/>
                        </a:xfrm>
                      </wpg:grpSpPr>
                      <wps:wsp>
                        <wps:cNvPr id="887" name="Shape 887"/>
                        <wps:cNvSpPr/>
                        <wps:spPr>
                          <a:xfrm>
                            <a:off x="0" y="0"/>
                            <a:ext cx="3124200" cy="0"/>
                          </a:xfrm>
                          <a:custGeom>
                            <a:avLst/>
                            <a:gdLst/>
                            <a:ahLst/>
                            <a:cxnLst/>
                            <a:rect l="0" t="0" r="0" b="0"/>
                            <a:pathLst>
                              <a:path w="3124200">
                                <a:moveTo>
                                  <a:pt x="0" y="0"/>
                                </a:moveTo>
                                <a:lnTo>
                                  <a:pt x="3124200" y="0"/>
                                </a:lnTo>
                              </a:path>
                            </a:pathLst>
                          </a:custGeom>
                          <a:ln w="7144" cap="flat">
                            <a:custDash>
                              <a:ds d="56250" sp="56340"/>
                            </a:custDash>
                            <a:miter lim="127000"/>
                          </a:ln>
                        </wps:spPr>
                        <wps:style>
                          <a:lnRef idx="1">
                            <a:srgbClr val="AAAAA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982" style="width:246pt;height:0.5625pt;mso-position-horizontal-relative:char;mso-position-vertical-relative:line" coordsize="31242,71">
                <v:shape id="Shape 887" style="position:absolute;width:31242;height:0;left:0;top:0;" coordsize="3124200,0" path="m0,0l3124200,0">
                  <v:stroke weight="0.5625pt" endcap="flat" dashstyle="1 1.0016" joinstyle="miter" miterlimit="10" on="true" color="#aaaaaa"/>
                  <v:fill on="false" color="#000000" opacity="0"/>
                </v:shape>
              </v:group>
            </w:pict>
          </mc:Fallback>
        </mc:AlternateContent>
      </w:r>
    </w:p>
    <w:p w:rsidR="00641207" w:rsidRDefault="00380829">
      <w:pPr>
        <w:spacing w:after="0" w:line="236" w:lineRule="auto"/>
        <w:ind w:left="106" w:right="583"/>
      </w:pPr>
      <w:r>
        <w:t>More</w:t>
      </w:r>
      <w:r>
        <w:tab/>
        <w:t>……</w:t>
      </w:r>
      <w:r>
        <w:tab/>
        <w:t>…… Actions…</w:t>
      </w:r>
    </w:p>
    <w:p w:rsidR="00641207" w:rsidRDefault="00380829">
      <w:pPr>
        <w:spacing w:after="116" w:line="259" w:lineRule="auto"/>
        <w:ind w:left="0" w:firstLine="0"/>
      </w:pPr>
      <w:r>
        <w:rPr>
          <w:noProof/>
          <w:color w:val="000000"/>
          <w:sz w:val="22"/>
        </w:rPr>
        <mc:AlternateContent>
          <mc:Choice Requires="wpg">
            <w:drawing>
              <wp:inline distT="0" distB="0" distL="0" distR="0">
                <wp:extent cx="2964434" cy="7144"/>
                <wp:effectExtent l="0" t="0" r="0" b="0"/>
                <wp:docPr id="24983" name="Group 24983"/>
                <wp:cNvGraphicFramePr/>
                <a:graphic xmlns:a="http://schemas.openxmlformats.org/drawingml/2006/main">
                  <a:graphicData uri="http://schemas.microsoft.com/office/word/2010/wordprocessingGroup">
                    <wpg:wgp>
                      <wpg:cNvGrpSpPr/>
                      <wpg:grpSpPr>
                        <a:xfrm>
                          <a:off x="0" y="0"/>
                          <a:ext cx="2964434" cy="7144"/>
                          <a:chOff x="0" y="0"/>
                          <a:chExt cx="2964434" cy="7144"/>
                        </a:xfrm>
                      </wpg:grpSpPr>
                      <wps:wsp>
                        <wps:cNvPr id="888" name="Shape 888"/>
                        <wps:cNvSpPr/>
                        <wps:spPr>
                          <a:xfrm>
                            <a:off x="0" y="0"/>
                            <a:ext cx="2964434" cy="0"/>
                          </a:xfrm>
                          <a:custGeom>
                            <a:avLst/>
                            <a:gdLst/>
                            <a:ahLst/>
                            <a:cxnLst/>
                            <a:rect l="0" t="0" r="0" b="0"/>
                            <a:pathLst>
                              <a:path w="2964434">
                                <a:moveTo>
                                  <a:pt x="0" y="0"/>
                                </a:moveTo>
                                <a:lnTo>
                                  <a:pt x="2964434" y="0"/>
                                </a:lnTo>
                              </a:path>
                            </a:pathLst>
                          </a:custGeom>
                          <a:ln w="7144" cap="flat">
                            <a:custDash>
                              <a:ds d="56250" sp="56790"/>
                            </a:custDash>
                            <a:miter lim="127000"/>
                          </a:ln>
                        </wps:spPr>
                        <wps:style>
                          <a:lnRef idx="1">
                            <a:srgbClr val="AAAAA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983" style="width:233.42pt;height:0.5625pt;mso-position-horizontal-relative:char;mso-position-vertical-relative:line" coordsize="29644,71">
                <v:shape id="Shape 888" style="position:absolute;width:29644;height:0;left:0;top:0;" coordsize="2964434,0" path="m0,0l2964434,0">
                  <v:stroke weight="0.5625pt" endcap="flat" dashstyle="1 1.0096" joinstyle="miter" miterlimit="10" on="true" color="#aaaaaa"/>
                  <v:fill on="false" color="#000000" opacity="0"/>
                </v:shape>
              </v:group>
            </w:pict>
          </mc:Fallback>
        </mc:AlternateContent>
      </w:r>
    </w:p>
    <w:p w:rsidR="00641207" w:rsidRDefault="00380829">
      <w:pPr>
        <w:spacing w:after="0" w:line="237" w:lineRule="auto"/>
        <w:ind w:left="106" w:right="14"/>
      </w:pPr>
      <w:r>
        <w:t>Figure 6: Analyzing Queries to Design the Optimum</w:t>
      </w:r>
    </w:p>
    <w:p w:rsidR="00641207" w:rsidRDefault="00380829">
      <w:pPr>
        <w:spacing w:after="0" w:line="237" w:lineRule="auto"/>
        <w:ind w:left="106" w:right="14"/>
      </w:pPr>
      <w:r>
        <w:t>Schema</w:t>
      </w:r>
    </w:p>
    <w:p w:rsidR="00641207" w:rsidRDefault="00380829">
      <w:pPr>
        <w:spacing w:after="339" w:line="259" w:lineRule="auto"/>
        <w:ind w:left="0" w:firstLine="0"/>
      </w:pPr>
      <w:r>
        <w:rPr>
          <w:noProof/>
          <w:color w:val="000000"/>
          <w:sz w:val="22"/>
        </w:rPr>
        <mc:AlternateContent>
          <mc:Choice Requires="wpg">
            <w:drawing>
              <wp:inline distT="0" distB="0" distL="0" distR="0">
                <wp:extent cx="2964434" cy="7144"/>
                <wp:effectExtent l="0" t="0" r="0" b="0"/>
                <wp:docPr id="24984" name="Group 24984"/>
                <wp:cNvGraphicFramePr/>
                <a:graphic xmlns:a="http://schemas.openxmlformats.org/drawingml/2006/main">
                  <a:graphicData uri="http://schemas.microsoft.com/office/word/2010/wordprocessingGroup">
                    <wpg:wgp>
                      <wpg:cNvGrpSpPr/>
                      <wpg:grpSpPr>
                        <a:xfrm>
                          <a:off x="0" y="0"/>
                          <a:ext cx="2964434" cy="7144"/>
                          <a:chOff x="0" y="0"/>
                          <a:chExt cx="2964434" cy="7144"/>
                        </a:xfrm>
                      </wpg:grpSpPr>
                      <wps:wsp>
                        <wps:cNvPr id="889" name="Shape 889"/>
                        <wps:cNvSpPr/>
                        <wps:spPr>
                          <a:xfrm>
                            <a:off x="0" y="0"/>
                            <a:ext cx="2964434" cy="0"/>
                          </a:xfrm>
                          <a:custGeom>
                            <a:avLst/>
                            <a:gdLst/>
                            <a:ahLst/>
                            <a:cxnLst/>
                            <a:rect l="0" t="0" r="0" b="0"/>
                            <a:pathLst>
                              <a:path w="2964434">
                                <a:moveTo>
                                  <a:pt x="2964434" y="0"/>
                                </a:moveTo>
                                <a:lnTo>
                                  <a:pt x="0" y="0"/>
                                </a:lnTo>
                              </a:path>
                            </a:pathLst>
                          </a:custGeom>
                          <a:ln w="7144" cap="flat">
                            <a:custDash>
                              <a:ds d="56250" sp="56790"/>
                            </a:custDash>
                            <a:miter lim="127000"/>
                          </a:ln>
                        </wps:spPr>
                        <wps:style>
                          <a:lnRef idx="1">
                            <a:srgbClr val="AAAAA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984" style="width:233.42pt;height:0.5625pt;mso-position-horizontal-relative:char;mso-position-vertical-relative:line" coordsize="29644,71">
                <v:shape id="Shape 889" style="position:absolute;width:29644;height:0;left:0;top:0;" coordsize="2964434,0" path="m2964434,0l0,0">
                  <v:stroke weight="0.5625pt" endcap="flat" dashstyle="1 1.0096" joinstyle="miter" miterlimit="10" on="true" color="#aaaaaa"/>
                  <v:fill on="false" color="#000000" opacity="0"/>
                </v:shape>
              </v:group>
            </w:pict>
          </mc:Fallback>
        </mc:AlternateContent>
      </w:r>
    </w:p>
    <w:p w:rsidR="00641207" w:rsidRDefault="00380829">
      <w:pPr>
        <w:ind w:left="-9" w:right="14"/>
      </w:pPr>
      <w:r>
        <w:t xml:space="preserve">their parent documents) are natural candidates for embedding within a single document. The concept of data ownership and containment can also be modeled with embedding. Using the product data example above, product pricing – both current and historical – should be embedded within the product document since it is owned by and contained within that </w:t>
      </w:r>
      <w:proofErr w:type="spellStart"/>
      <w:r>
        <w:t>speciTc</w:t>
      </w:r>
      <w:proofErr w:type="spellEnd"/>
      <w:r>
        <w:t xml:space="preserve"> product. If the product is deleted, the pricing becomes irrelevant.</w:t>
      </w:r>
    </w:p>
    <w:p w:rsidR="00641207" w:rsidRDefault="00380829">
      <w:pPr>
        <w:ind w:left="-9" w:right="14"/>
      </w:pPr>
      <w:r>
        <w:t xml:space="preserve">Architects should also embed </w:t>
      </w:r>
      <w:proofErr w:type="spellStart"/>
      <w:r>
        <w:t>Telds</w:t>
      </w:r>
      <w:proofErr w:type="spellEnd"/>
      <w:r>
        <w:t xml:space="preserve"> that need to be </w:t>
      </w:r>
      <w:proofErr w:type="spellStart"/>
      <w:r>
        <w:t>modiTed</w:t>
      </w:r>
      <w:proofErr w:type="spellEnd"/>
      <w:r>
        <w:t xml:space="preserve"> together atomically. (Refer to the Application Integration section of this guide for more information.)</w:t>
      </w:r>
    </w:p>
    <w:p w:rsidR="00641207" w:rsidRDefault="00380829">
      <w:pPr>
        <w:ind w:left="-9" w:right="14"/>
      </w:pPr>
      <w:r>
        <w:t>Not all 1:1 relationships should be embedded in a single document. Referencing between documents in different collections should be used when:</w:t>
      </w:r>
    </w:p>
    <w:p w:rsidR="00641207" w:rsidRDefault="00380829">
      <w:pPr>
        <w:numPr>
          <w:ilvl w:val="0"/>
          <w:numId w:val="4"/>
        </w:numPr>
        <w:ind w:right="14" w:hanging="227"/>
      </w:pPr>
      <w:r>
        <w:t xml:space="preserve">A document is frequently read, but contains an embedded document that is rarely accessed. An example might be a customer record that embeds copies of the </w:t>
      </w:r>
      <w:r>
        <w:t>annual general report. Embedding the report only increases the in-memory requirements (the working set) of the collection</w:t>
      </w:r>
    </w:p>
    <w:p w:rsidR="00641207" w:rsidRDefault="00380829">
      <w:pPr>
        <w:numPr>
          <w:ilvl w:val="0"/>
          <w:numId w:val="4"/>
        </w:numPr>
        <w:spacing w:after="90"/>
        <w:ind w:right="14" w:hanging="227"/>
      </w:pPr>
      <w:r>
        <w:t xml:space="preserve">One part of a document is frequently updated and constantly </w:t>
      </w:r>
      <w:proofErr w:type="gramStart"/>
      <w:r>
        <w:t>growing in size</w:t>
      </w:r>
      <w:proofErr w:type="gramEnd"/>
      <w:r>
        <w:t>, while the remainder of the document is relatively static</w:t>
      </w:r>
    </w:p>
    <w:p w:rsidR="00641207" w:rsidRDefault="00380829">
      <w:pPr>
        <w:numPr>
          <w:ilvl w:val="0"/>
          <w:numId w:val="4"/>
        </w:numPr>
        <w:spacing w:after="447"/>
        <w:ind w:right="14" w:hanging="227"/>
      </w:pPr>
      <w:r>
        <w:t>The document size exceeds MongoDB’s current 16MB document limit</w:t>
      </w:r>
    </w:p>
    <w:p w:rsidR="00641207" w:rsidRDefault="00380829">
      <w:pPr>
        <w:pStyle w:val="Heading3"/>
        <w:ind w:left="-5"/>
      </w:pPr>
      <w:r w:rsidRPr="00380829">
        <w:rPr>
          <w:highlight w:val="yellow"/>
        </w:rPr>
        <w:t>Referencing</w:t>
      </w:r>
    </w:p>
    <w:p w:rsidR="00641207" w:rsidRDefault="00380829">
      <w:pPr>
        <w:ind w:left="-9" w:right="14"/>
      </w:pPr>
      <w:r>
        <w:t xml:space="preserve">Referencing enables data normalization, and can give more </w:t>
      </w:r>
      <w:proofErr w:type="spellStart"/>
      <w:r>
        <w:t>Uexibility</w:t>
      </w:r>
      <w:proofErr w:type="spellEnd"/>
      <w:r>
        <w:t xml:space="preserve"> than embedding. But the application will issue follow-up queries to resolve the reference, requiring additional round-trips to the server.</w:t>
      </w:r>
    </w:p>
    <w:p w:rsidR="00641207" w:rsidRDefault="00380829">
      <w:pPr>
        <w:spacing w:after="48"/>
        <w:ind w:left="-9" w:right="14"/>
      </w:pPr>
      <w:r>
        <w:t xml:space="preserve">References are usually implemented by saving the </w:t>
      </w:r>
      <w:r>
        <w:rPr>
          <w:rFonts w:ascii="Courier New" w:eastAsia="Courier New" w:hAnsi="Courier New" w:cs="Courier New"/>
          <w:sz w:val="18"/>
        </w:rPr>
        <w:t>_id</w:t>
      </w:r>
    </w:p>
    <w:p w:rsidR="00641207" w:rsidRDefault="00380829">
      <w:pPr>
        <w:ind w:left="-9" w:right="14"/>
      </w:pPr>
      <w:r>
        <w:t>Teld</w:t>
      </w:r>
      <w:r>
        <w:rPr>
          <w:sz w:val="25"/>
          <w:vertAlign w:val="superscript"/>
        </w:rPr>
        <w:t xml:space="preserve">1 </w:t>
      </w:r>
      <w:r>
        <w:t>of one document in the related document as a reference. A second query is then executed by the application to return the referenced data.</w:t>
      </w:r>
    </w:p>
    <w:p w:rsidR="00641207" w:rsidRDefault="00380829">
      <w:pPr>
        <w:ind w:left="-9" w:right="14"/>
      </w:pPr>
      <w:r>
        <w:t>Referencing should be used:</w:t>
      </w:r>
    </w:p>
    <w:p w:rsidR="00641207" w:rsidRDefault="00380829">
      <w:pPr>
        <w:numPr>
          <w:ilvl w:val="0"/>
          <w:numId w:val="5"/>
        </w:numPr>
        <w:spacing w:after="90"/>
        <w:ind w:right="14" w:hanging="227"/>
      </w:pPr>
      <w:r>
        <w:t xml:space="preserve">When embedding would not provide </w:t>
      </w:r>
      <w:proofErr w:type="spellStart"/>
      <w:r>
        <w:t>sufTcient</w:t>
      </w:r>
      <w:proofErr w:type="spellEnd"/>
      <w:r>
        <w:t xml:space="preserve"> read performance advantages to outweigh the implications of data duplication</w:t>
      </w:r>
    </w:p>
    <w:p w:rsidR="00641207" w:rsidRDefault="00380829">
      <w:pPr>
        <w:numPr>
          <w:ilvl w:val="0"/>
          <w:numId w:val="5"/>
        </w:numPr>
        <w:spacing w:after="90"/>
        <w:ind w:right="14" w:hanging="227"/>
      </w:pPr>
      <w:r>
        <w:t>Where the object is referenced from many different sources</w:t>
      </w:r>
    </w:p>
    <w:p w:rsidR="00641207" w:rsidRDefault="00380829">
      <w:pPr>
        <w:numPr>
          <w:ilvl w:val="0"/>
          <w:numId w:val="5"/>
        </w:numPr>
        <w:spacing w:after="97"/>
        <w:ind w:right="14" w:hanging="227"/>
      </w:pPr>
      <w:r>
        <w:t xml:space="preserve">To represent complex </w:t>
      </w:r>
      <w:r w:rsidRPr="00CA32FF">
        <w:rPr>
          <w:highlight w:val="yellow"/>
        </w:rPr>
        <w:t>many-to-many</w:t>
      </w:r>
      <w:r>
        <w:t xml:space="preserve"> relationships</w:t>
      </w:r>
    </w:p>
    <w:p w:rsidR="00641207" w:rsidRDefault="00380829">
      <w:pPr>
        <w:numPr>
          <w:ilvl w:val="0"/>
          <w:numId w:val="5"/>
        </w:numPr>
        <w:ind w:right="14" w:hanging="227"/>
      </w:pPr>
      <w:r>
        <w:t>To model large, hierarchical data sets.</w:t>
      </w:r>
    </w:p>
    <w:p w:rsidR="00641207" w:rsidRDefault="00380829">
      <w:pPr>
        <w:spacing w:after="445"/>
        <w:ind w:left="-9" w:right="14"/>
      </w:pPr>
      <w:r>
        <w:t xml:space="preserve">The </w:t>
      </w:r>
      <w:r w:rsidRPr="00CA32FF">
        <w:rPr>
          <w:rFonts w:ascii="Courier New" w:eastAsia="Courier New" w:hAnsi="Courier New" w:cs="Courier New"/>
          <w:sz w:val="18"/>
          <w:highlight w:val="yellow"/>
        </w:rPr>
        <w:t>$lookup</w:t>
      </w:r>
      <w:r>
        <w:rPr>
          <w:rFonts w:ascii="Courier New" w:eastAsia="Courier New" w:hAnsi="Courier New" w:cs="Courier New"/>
          <w:sz w:val="18"/>
        </w:rPr>
        <w:t xml:space="preserve"> </w:t>
      </w:r>
      <w:r>
        <w:t xml:space="preserve">stage in an aggregation pipeline can be used to match the references with the </w:t>
      </w:r>
      <w:r>
        <w:rPr>
          <w:rFonts w:ascii="Courier New" w:eastAsia="Courier New" w:hAnsi="Courier New" w:cs="Courier New"/>
          <w:sz w:val="18"/>
        </w:rPr>
        <w:t>_id</w:t>
      </w:r>
      <w:r>
        <w:t>s from the second collection to automatically embed the referenced data in the result set.</w:t>
      </w:r>
    </w:p>
    <w:p w:rsidR="00641207" w:rsidRDefault="00380829">
      <w:pPr>
        <w:pStyle w:val="Heading3"/>
        <w:ind w:left="-5"/>
      </w:pPr>
      <w:r w:rsidRPr="00CA32FF">
        <w:rPr>
          <w:highlight w:val="yellow"/>
        </w:rPr>
        <w:t>Different Design Goals</w:t>
      </w:r>
    </w:p>
    <w:p w:rsidR="00641207" w:rsidRDefault="00380829">
      <w:pPr>
        <w:ind w:left="-9" w:right="14"/>
      </w:pPr>
      <w:r>
        <w:t>Comparing these two design options – embedding sub-documents versus referencing between documents – highlights a fundamental difference between relational and document databases:</w:t>
      </w:r>
    </w:p>
    <w:p w:rsidR="00641207" w:rsidRDefault="00380829">
      <w:pPr>
        <w:ind w:left="212" w:right="14" w:hanging="227"/>
      </w:pPr>
      <w:r>
        <w:lastRenderedPageBreak/>
        <w:t>•</w:t>
      </w:r>
      <w:r>
        <w:tab/>
        <w:t xml:space="preserve">The RDBMS </w:t>
      </w:r>
      <w:r w:rsidRPr="00661436">
        <w:rPr>
          <w:highlight w:val="yellow"/>
        </w:rPr>
        <w:t xml:space="preserve">optimizes data storage </w:t>
      </w:r>
      <w:proofErr w:type="spellStart"/>
      <w:r w:rsidRPr="00661436">
        <w:rPr>
          <w:highlight w:val="yellow"/>
        </w:rPr>
        <w:t>efTciency</w:t>
      </w:r>
      <w:proofErr w:type="spellEnd"/>
      <w:r>
        <w:t xml:space="preserve"> (as it was con</w:t>
      </w:r>
      <w:bookmarkStart w:id="0" w:name="_GoBack"/>
      <w:bookmarkEnd w:id="0"/>
      <w:r>
        <w:t>ceived at a time when storage was the most expensive component of the system)</w:t>
      </w:r>
    </w:p>
    <w:p w:rsidR="00641207" w:rsidRDefault="00641207">
      <w:pPr>
        <w:sectPr w:rsidR="00641207">
          <w:type w:val="continuous"/>
          <w:pgSz w:w="12240" w:h="15840"/>
          <w:pgMar w:top="750" w:right="990" w:bottom="1107" w:left="975" w:header="720" w:footer="720" w:gutter="0"/>
          <w:cols w:num="2" w:space="463"/>
        </w:sectPr>
      </w:pPr>
    </w:p>
    <w:p w:rsidR="00641207" w:rsidRDefault="00380829">
      <w:pPr>
        <w:tabs>
          <w:tab w:val="right" w:pos="9913"/>
        </w:tabs>
        <w:spacing w:after="0" w:line="259" w:lineRule="auto"/>
        <w:ind w:left="0" w:firstLine="0"/>
      </w:pPr>
      <w:r>
        <w:rPr>
          <w:sz w:val="16"/>
        </w:rPr>
        <w:t>1.</w:t>
      </w:r>
      <w:r>
        <w:rPr>
          <w:sz w:val="16"/>
        </w:rPr>
        <w:tab/>
        <w:t xml:space="preserve">A required unique </w:t>
      </w:r>
      <w:proofErr w:type="spellStart"/>
      <w:r>
        <w:rPr>
          <w:sz w:val="16"/>
        </w:rPr>
        <w:t>Teld</w:t>
      </w:r>
      <w:proofErr w:type="spellEnd"/>
      <w:r>
        <w:rPr>
          <w:sz w:val="16"/>
        </w:rPr>
        <w:t xml:space="preserve"> used as the primary key within a MongoDB document, either generated automatically by the driver or </w:t>
      </w:r>
      <w:proofErr w:type="spellStart"/>
      <w:r>
        <w:rPr>
          <w:sz w:val="16"/>
        </w:rPr>
        <w:t>speciTed</w:t>
      </w:r>
      <w:proofErr w:type="spellEnd"/>
      <w:r>
        <w:rPr>
          <w:sz w:val="16"/>
        </w:rPr>
        <w:t xml:space="preserve"> by the user.</w:t>
      </w:r>
    </w:p>
    <w:p w:rsidR="00641207" w:rsidRDefault="00641207">
      <w:pPr>
        <w:spacing w:after="0" w:line="259" w:lineRule="auto"/>
        <w:ind w:left="-975" w:right="10888" w:firstLine="0"/>
      </w:pPr>
    </w:p>
    <w:tbl>
      <w:tblPr>
        <w:tblStyle w:val="TableGrid"/>
        <w:tblW w:w="10267" w:type="dxa"/>
        <w:tblInd w:w="0" w:type="dxa"/>
        <w:tblCellMar>
          <w:top w:w="0" w:type="dxa"/>
          <w:left w:w="0" w:type="dxa"/>
          <w:bottom w:w="0" w:type="dxa"/>
          <w:right w:w="0" w:type="dxa"/>
        </w:tblCellMar>
        <w:tblLook w:val="04A0" w:firstRow="1" w:lastRow="0" w:firstColumn="1" w:lastColumn="0" w:noHBand="0" w:noVBand="1"/>
      </w:tblPr>
      <w:tblGrid>
        <w:gridCol w:w="5403"/>
        <w:gridCol w:w="227"/>
        <w:gridCol w:w="4637"/>
      </w:tblGrid>
      <w:tr w:rsidR="00641207">
        <w:trPr>
          <w:trHeight w:val="14023"/>
        </w:trPr>
        <w:tc>
          <w:tcPr>
            <w:tcW w:w="5403" w:type="dxa"/>
            <w:tcBorders>
              <w:top w:val="nil"/>
              <w:left w:val="nil"/>
              <w:bottom w:val="nil"/>
              <w:right w:val="nil"/>
            </w:tcBorders>
          </w:tcPr>
          <w:p w:rsidR="00641207" w:rsidRDefault="00380829">
            <w:pPr>
              <w:spacing w:after="180" w:line="295" w:lineRule="auto"/>
              <w:ind w:left="260" w:right="345" w:hanging="227"/>
            </w:pPr>
            <w:r>
              <w:lastRenderedPageBreak/>
              <w:t>•</w:t>
            </w:r>
            <w:r>
              <w:tab/>
              <w:t xml:space="preserve">MongoDB’s document model is </w:t>
            </w:r>
            <w:r w:rsidRPr="00661436">
              <w:rPr>
                <w:highlight w:val="yellow"/>
              </w:rPr>
              <w:t>optimized for how the application accesses data</w:t>
            </w:r>
            <w:r>
              <w:t xml:space="preserve"> (as developer time and speed to market are now more expensive than storage)</w:t>
            </w:r>
          </w:p>
          <w:p w:rsidR="00641207" w:rsidRDefault="00380829">
            <w:pPr>
              <w:spacing w:after="494" w:line="295" w:lineRule="auto"/>
              <w:ind w:left="0" w:right="220" w:firstLine="0"/>
            </w:pPr>
            <w:r>
              <w:t xml:space="preserve">Data modeling considerations, patterns and examples including embedded versus referenced relationships are discussed in more detail in the </w:t>
            </w:r>
            <w:hyperlink r:id="rId23">
              <w:r>
                <w:rPr>
                  <w:color w:val="6CA438"/>
                </w:rPr>
                <w:t>documentation</w:t>
              </w:r>
            </w:hyperlink>
            <w:r>
              <w:t>.</w:t>
            </w:r>
          </w:p>
          <w:p w:rsidR="00641207" w:rsidRDefault="00380829">
            <w:pPr>
              <w:spacing w:after="103" w:line="259" w:lineRule="auto"/>
              <w:ind w:left="0" w:firstLine="0"/>
            </w:pPr>
            <w:r>
              <w:rPr>
                <w:sz w:val="28"/>
              </w:rPr>
              <w:t>Indexing</w:t>
            </w:r>
          </w:p>
          <w:p w:rsidR="00641207" w:rsidRDefault="00380829">
            <w:pPr>
              <w:spacing w:after="180" w:line="295" w:lineRule="auto"/>
              <w:ind w:left="0" w:right="140" w:firstLine="0"/>
            </w:pPr>
            <w:r>
              <w:t>In any database, indexes are the single biggest tunable performance factor and are therefore integral to schema design.</w:t>
            </w:r>
          </w:p>
          <w:p w:rsidR="00641207" w:rsidRDefault="00380829">
            <w:pPr>
              <w:spacing w:after="180" w:line="295" w:lineRule="auto"/>
              <w:ind w:left="0" w:right="333" w:firstLine="0"/>
            </w:pPr>
            <w:r>
              <w:t>Indexes in MongoDB largely correspond to indexes in a relational database. MongoDB uses B-Tree indexes, and natively supports secondary indexes. As such, it will be immediately familiar to those coming from a SQL background.</w:t>
            </w:r>
          </w:p>
          <w:p w:rsidR="00641207" w:rsidRDefault="00380829">
            <w:pPr>
              <w:spacing w:after="457" w:line="295" w:lineRule="auto"/>
              <w:ind w:left="0" w:right="240" w:firstLine="0"/>
            </w:pPr>
            <w:r>
              <w:t>The type and frequency of the application’s queries should inform index selection. As with all databases, indexing does not come free: it imposes overhead on writes and resource (disk and memory) usage.</w:t>
            </w:r>
          </w:p>
          <w:p w:rsidR="00641207" w:rsidRDefault="00380829">
            <w:pPr>
              <w:spacing w:after="145" w:line="259" w:lineRule="auto"/>
              <w:ind w:left="0" w:firstLine="0"/>
            </w:pPr>
            <w:r>
              <w:rPr>
                <w:sz w:val="24"/>
              </w:rPr>
              <w:t>Index Types</w:t>
            </w:r>
          </w:p>
          <w:p w:rsidR="00641207" w:rsidRDefault="00380829">
            <w:pPr>
              <w:spacing w:after="198" w:line="296" w:lineRule="auto"/>
              <w:ind w:left="0" w:right="381" w:firstLine="0"/>
            </w:pPr>
            <w:r>
              <w:t xml:space="preserve">MongoDB has a rich query model that provides </w:t>
            </w:r>
            <w:proofErr w:type="spellStart"/>
            <w:r>
              <w:t>Uexibility</w:t>
            </w:r>
            <w:proofErr w:type="spellEnd"/>
            <w:r>
              <w:t xml:space="preserve"> in how data is accessed. By default, MongoDB creates an index on the document’s </w:t>
            </w:r>
            <w:r>
              <w:rPr>
                <w:rFonts w:ascii="Courier New" w:eastAsia="Courier New" w:hAnsi="Courier New" w:cs="Courier New"/>
                <w:sz w:val="18"/>
              </w:rPr>
              <w:t xml:space="preserve">_id </w:t>
            </w:r>
            <w:r>
              <w:t xml:space="preserve">primary key </w:t>
            </w:r>
            <w:proofErr w:type="spellStart"/>
            <w:r>
              <w:t>Teld</w:t>
            </w:r>
            <w:proofErr w:type="spellEnd"/>
            <w:r>
              <w:t>.</w:t>
            </w:r>
          </w:p>
          <w:p w:rsidR="00641207" w:rsidRDefault="00380829">
            <w:pPr>
              <w:spacing w:after="180" w:line="295" w:lineRule="auto"/>
              <w:ind w:left="0" w:right="369" w:firstLine="0"/>
            </w:pPr>
            <w:r>
              <w:t>All user-</w:t>
            </w:r>
            <w:proofErr w:type="spellStart"/>
            <w:r>
              <w:t>deTned</w:t>
            </w:r>
            <w:proofErr w:type="spellEnd"/>
            <w:r>
              <w:t xml:space="preserve"> indexes are secondary indexes. Any </w:t>
            </w:r>
            <w:proofErr w:type="spellStart"/>
            <w:r>
              <w:t>Teld</w:t>
            </w:r>
            <w:proofErr w:type="spellEnd"/>
            <w:r>
              <w:t xml:space="preserve"> can be used for a secondary index, including </w:t>
            </w:r>
            <w:proofErr w:type="spellStart"/>
            <w:r>
              <w:t>Telds</w:t>
            </w:r>
            <w:proofErr w:type="spellEnd"/>
            <w:r>
              <w:t xml:space="preserve"> within arrays.</w:t>
            </w:r>
          </w:p>
          <w:p w:rsidR="00641207" w:rsidRDefault="00380829">
            <w:pPr>
              <w:spacing w:after="231" w:line="259" w:lineRule="auto"/>
              <w:ind w:left="0" w:firstLine="0"/>
            </w:pPr>
            <w:r>
              <w:t>Index options for MongoDB include:</w:t>
            </w:r>
          </w:p>
          <w:p w:rsidR="00641207" w:rsidRDefault="00380829">
            <w:pPr>
              <w:spacing w:after="0" w:line="259" w:lineRule="auto"/>
              <w:ind w:left="260" w:right="421" w:hanging="227"/>
            </w:pPr>
            <w:r>
              <w:t xml:space="preserve">• Compound Indexes. Using index intersection MongoDB can use more than one index to satisfy a query. This capability is useful when running ad-hoc queries as data access patterns are typically not known in advance. Where a query that accesses data based on multiple predicates is known, it will be more performant to use Compound Indexes, which use a single index structure to maintain references to multiple </w:t>
            </w:r>
            <w:proofErr w:type="spellStart"/>
            <w:r>
              <w:t>Telds</w:t>
            </w:r>
            <w:proofErr w:type="spellEnd"/>
            <w:r>
              <w:t xml:space="preserve">. For example, consider an application that stores data about customers. The application may need to </w:t>
            </w:r>
            <w:proofErr w:type="spellStart"/>
            <w:r>
              <w:t>Tnd</w:t>
            </w:r>
            <w:proofErr w:type="spellEnd"/>
            <w:r>
              <w:t xml:space="preserve"> customers based on last name, </w:t>
            </w:r>
            <w:proofErr w:type="spellStart"/>
            <w:r>
              <w:t>Trst</w:t>
            </w:r>
            <w:proofErr w:type="spellEnd"/>
            <w:r>
              <w:t xml:space="preserve"> name, and state of residence. With a compound index on last name, </w:t>
            </w:r>
            <w:proofErr w:type="spellStart"/>
            <w:r>
              <w:t>Trst</w:t>
            </w:r>
            <w:proofErr w:type="spellEnd"/>
            <w:r>
              <w:t xml:space="preserve"> name, and</w:t>
            </w:r>
          </w:p>
        </w:tc>
        <w:tc>
          <w:tcPr>
            <w:tcW w:w="227" w:type="dxa"/>
            <w:tcBorders>
              <w:top w:val="nil"/>
              <w:left w:val="nil"/>
              <w:bottom w:val="nil"/>
              <w:right w:val="nil"/>
            </w:tcBorders>
            <w:vAlign w:val="bottom"/>
          </w:tcPr>
          <w:p w:rsidR="00641207" w:rsidRDefault="00380829">
            <w:pPr>
              <w:spacing w:after="1945" w:line="259" w:lineRule="auto"/>
              <w:ind w:left="0" w:firstLine="0"/>
            </w:pPr>
            <w:r>
              <w:t>•</w:t>
            </w:r>
          </w:p>
          <w:p w:rsidR="00641207" w:rsidRDefault="00380829">
            <w:pPr>
              <w:spacing w:after="2545" w:line="259" w:lineRule="auto"/>
              <w:ind w:left="0" w:firstLine="0"/>
            </w:pPr>
            <w:r>
              <w:t>•</w:t>
            </w:r>
          </w:p>
          <w:p w:rsidR="00641207" w:rsidRDefault="00380829">
            <w:pPr>
              <w:spacing w:after="1945" w:line="259" w:lineRule="auto"/>
              <w:ind w:left="0" w:firstLine="0"/>
            </w:pPr>
            <w:r>
              <w:t>•</w:t>
            </w:r>
          </w:p>
          <w:p w:rsidR="00641207" w:rsidRDefault="00380829">
            <w:pPr>
              <w:spacing w:after="2245" w:line="259" w:lineRule="auto"/>
              <w:ind w:left="0" w:firstLine="0"/>
            </w:pPr>
            <w:r>
              <w:t>•</w:t>
            </w:r>
          </w:p>
          <w:p w:rsidR="00641207" w:rsidRDefault="00380829">
            <w:pPr>
              <w:spacing w:after="0" w:line="259" w:lineRule="auto"/>
              <w:ind w:left="0" w:firstLine="0"/>
            </w:pPr>
            <w:r>
              <w:t>•</w:t>
            </w:r>
          </w:p>
        </w:tc>
        <w:tc>
          <w:tcPr>
            <w:tcW w:w="4637" w:type="dxa"/>
            <w:tcBorders>
              <w:top w:val="nil"/>
              <w:left w:val="nil"/>
              <w:bottom w:val="nil"/>
              <w:right w:val="nil"/>
            </w:tcBorders>
          </w:tcPr>
          <w:p w:rsidR="00641207" w:rsidRDefault="00380829">
            <w:pPr>
              <w:spacing w:after="117" w:line="295" w:lineRule="auto"/>
              <w:ind w:left="0" w:firstLine="0"/>
            </w:pPr>
            <w:r>
              <w:t xml:space="preserve">state of residence, queries could </w:t>
            </w:r>
            <w:proofErr w:type="spellStart"/>
            <w:r>
              <w:t>efTciently</w:t>
            </w:r>
            <w:proofErr w:type="spellEnd"/>
            <w:r>
              <w:t xml:space="preserve"> locate people with all three of these values </w:t>
            </w:r>
            <w:proofErr w:type="spellStart"/>
            <w:r>
              <w:t>speciTed</w:t>
            </w:r>
            <w:proofErr w:type="spellEnd"/>
            <w:r>
              <w:t xml:space="preserve">. An additional </w:t>
            </w:r>
            <w:proofErr w:type="spellStart"/>
            <w:r>
              <w:t>beneTt</w:t>
            </w:r>
            <w:proofErr w:type="spellEnd"/>
            <w:r>
              <w:t xml:space="preserve"> of a compound index is that any leading </w:t>
            </w:r>
            <w:proofErr w:type="spellStart"/>
            <w:r>
              <w:t>Teld</w:t>
            </w:r>
            <w:proofErr w:type="spellEnd"/>
            <w:r>
              <w:t xml:space="preserve">(s) within the index can be used, so fewer indexes on single </w:t>
            </w:r>
            <w:proofErr w:type="spellStart"/>
            <w:r>
              <w:t>Telds</w:t>
            </w:r>
            <w:proofErr w:type="spellEnd"/>
            <w:r>
              <w:t xml:space="preserve"> may be necessary: this compound index would also optimize queries looking for customers by last name or last name and </w:t>
            </w:r>
            <w:proofErr w:type="spellStart"/>
            <w:r>
              <w:t>Trst</w:t>
            </w:r>
            <w:proofErr w:type="spellEnd"/>
            <w:r>
              <w:t xml:space="preserve"> name.</w:t>
            </w:r>
          </w:p>
          <w:p w:rsidR="00641207" w:rsidRDefault="00380829">
            <w:pPr>
              <w:spacing w:after="117" w:line="295" w:lineRule="auto"/>
              <w:ind w:left="0" w:firstLine="4"/>
            </w:pPr>
            <w:r>
              <w:t xml:space="preserve">Unique Indexes. By specifying an index as unique, MongoDB will reject inserts of new documents or updates to existing documents which would have resulted in duplicate values for the indexed </w:t>
            </w:r>
            <w:proofErr w:type="spellStart"/>
            <w:r>
              <w:t>Teld</w:t>
            </w:r>
            <w:proofErr w:type="spellEnd"/>
            <w:r>
              <w:t xml:space="preserve">. By default, all indexes are not set as unique. If a compound index is </w:t>
            </w:r>
            <w:proofErr w:type="spellStart"/>
            <w:r>
              <w:t>speciTed</w:t>
            </w:r>
            <w:proofErr w:type="spellEnd"/>
            <w:r>
              <w:t xml:space="preserve"> as unique, the combination of values must be unique.</w:t>
            </w:r>
          </w:p>
          <w:p w:rsidR="00641207" w:rsidRDefault="00380829">
            <w:pPr>
              <w:spacing w:after="117" w:line="295" w:lineRule="auto"/>
              <w:ind w:left="0" w:firstLine="4"/>
            </w:pPr>
            <w:r>
              <w:t xml:space="preserve">Array Indexes. For </w:t>
            </w:r>
            <w:proofErr w:type="spellStart"/>
            <w:r>
              <w:t>Telds</w:t>
            </w:r>
            <w:proofErr w:type="spellEnd"/>
            <w:r>
              <w:t xml:space="preserve"> that contain an array, each array value is stored as a separate index entry. For example, documents that describe a product might include a </w:t>
            </w:r>
            <w:proofErr w:type="spellStart"/>
            <w:r>
              <w:t>Teld</w:t>
            </w:r>
            <w:proofErr w:type="spellEnd"/>
            <w:r>
              <w:t xml:space="preserve"> for its main attributes. If there is an index on the attributes </w:t>
            </w:r>
            <w:proofErr w:type="spellStart"/>
            <w:r>
              <w:t>Teld</w:t>
            </w:r>
            <w:proofErr w:type="spellEnd"/>
            <w:r>
              <w:t xml:space="preserve">, each attribute is indexed and queries on the attribute </w:t>
            </w:r>
            <w:proofErr w:type="spellStart"/>
            <w:r>
              <w:t>Teld</w:t>
            </w:r>
            <w:proofErr w:type="spellEnd"/>
            <w:r>
              <w:t xml:space="preserve"> can be optimized by this index. There is no special syntax required for creating array indexes – if the </w:t>
            </w:r>
            <w:proofErr w:type="spellStart"/>
            <w:r>
              <w:t>Teld</w:t>
            </w:r>
            <w:proofErr w:type="spellEnd"/>
            <w:r>
              <w:t xml:space="preserve"> contains an array, it will be indexed as an array index.</w:t>
            </w:r>
          </w:p>
          <w:p w:rsidR="00641207" w:rsidRDefault="00380829">
            <w:pPr>
              <w:spacing w:after="115" w:line="295" w:lineRule="auto"/>
              <w:ind w:left="0" w:right="1" w:firstLine="4"/>
            </w:pPr>
            <w:r>
              <w:t xml:space="preserve">TTL Indexes. In some </w:t>
            </w:r>
            <w:proofErr w:type="gramStart"/>
            <w:r>
              <w:t>cases</w:t>
            </w:r>
            <w:proofErr w:type="gramEnd"/>
            <w:r>
              <w:t xml:space="preserve"> data should expire automatically. Time to Live (TTL) indexes allow the user to specify </w:t>
            </w:r>
            <w:proofErr w:type="gramStart"/>
            <w:r>
              <w:t>a period of time</w:t>
            </w:r>
            <w:proofErr w:type="gramEnd"/>
            <w:r>
              <w:t xml:space="preserve"> after which the database will automatically delete the data. A common use of TTL indexes is applications that maintain a rolling window of history (e.g., most recent 100 days) for user actions such as clickstreams.</w:t>
            </w:r>
          </w:p>
          <w:p w:rsidR="00641207" w:rsidRDefault="00380829">
            <w:pPr>
              <w:spacing w:after="116" w:line="295" w:lineRule="auto"/>
              <w:ind w:left="0" w:firstLine="4"/>
            </w:pPr>
            <w:r>
              <w:t>Geospatial Indexes. MongoDB provides geospatial indexes to optimize queries related to location within a two-dimensional space, such as projection systems for the earth. These indexes allow MongoDB to optimize queries for documents that contain a polygon or points that are closest to a given point or line; that are within a circle, rectangle or polygon; or that intersect a circle, rectangle or polygon.</w:t>
            </w:r>
          </w:p>
          <w:p w:rsidR="00641207" w:rsidRDefault="00380829">
            <w:pPr>
              <w:spacing w:after="0" w:line="259" w:lineRule="auto"/>
              <w:ind w:left="0" w:firstLine="4"/>
            </w:pPr>
            <w:r>
              <w:t xml:space="preserve">Sparse Indexes. Sparse indexes only contain entries for documents that contain the </w:t>
            </w:r>
            <w:proofErr w:type="spellStart"/>
            <w:r>
              <w:t>speciTed</w:t>
            </w:r>
            <w:proofErr w:type="spellEnd"/>
            <w:r>
              <w:t xml:space="preserve"> </w:t>
            </w:r>
            <w:proofErr w:type="spellStart"/>
            <w:r>
              <w:t>Teld</w:t>
            </w:r>
            <w:proofErr w:type="spellEnd"/>
            <w:r>
              <w:t xml:space="preserve">. Because MongoDB’s allows the data model to vary from one document to another, it is common for some </w:t>
            </w:r>
            <w:proofErr w:type="spellStart"/>
            <w:r>
              <w:t>Telds</w:t>
            </w:r>
            <w:proofErr w:type="spellEnd"/>
            <w:r>
              <w:t xml:space="preserve"> to be present only in a subset of all documents. Sparse indexes allow for smaller, more </w:t>
            </w:r>
            <w:proofErr w:type="spellStart"/>
            <w:r>
              <w:t>efTcient</w:t>
            </w:r>
            <w:proofErr w:type="spellEnd"/>
            <w:r>
              <w:t xml:space="preserve"> indexes when </w:t>
            </w:r>
            <w:proofErr w:type="spellStart"/>
            <w:r>
              <w:t>Telds</w:t>
            </w:r>
            <w:proofErr w:type="spellEnd"/>
            <w:r>
              <w:t xml:space="preserve"> are not present in all documents.</w:t>
            </w:r>
          </w:p>
        </w:tc>
      </w:tr>
    </w:tbl>
    <w:p w:rsidR="00641207" w:rsidRDefault="00641207">
      <w:pPr>
        <w:sectPr w:rsidR="00641207">
          <w:type w:val="continuous"/>
          <w:pgSz w:w="12240" w:h="15840"/>
          <w:pgMar w:top="755" w:right="1352" w:bottom="1012" w:left="975" w:header="720" w:footer="720" w:gutter="0"/>
          <w:cols w:space="720"/>
        </w:sectPr>
      </w:pPr>
    </w:p>
    <w:p w:rsidR="00641207" w:rsidRDefault="00380829">
      <w:pPr>
        <w:numPr>
          <w:ilvl w:val="0"/>
          <w:numId w:val="6"/>
        </w:numPr>
        <w:spacing w:after="8"/>
        <w:ind w:right="14" w:hanging="227"/>
      </w:pPr>
      <w:r>
        <w:lastRenderedPageBreak/>
        <w:t xml:space="preserve">Partial Indexes. MongoDB 3.2 introduces Partial Indexes which can be viewed as a more </w:t>
      </w:r>
      <w:proofErr w:type="spellStart"/>
      <w:r>
        <w:t>Uexible</w:t>
      </w:r>
      <w:proofErr w:type="spellEnd"/>
      <w:r>
        <w:t xml:space="preserve"> evolution of Sparse Indexes, where the DBA can specify an expression that will be checked to determine whether a document should be included in a </w:t>
      </w:r>
      <w:proofErr w:type="gramStart"/>
      <w:r>
        <w:t>particular index</w:t>
      </w:r>
      <w:proofErr w:type="gramEnd"/>
      <w:r>
        <w:t>. e.g. for an "orders" collection, an index on state and delivery company might only be needed for active orders and so the index could be made conditional on</w:t>
      </w:r>
    </w:p>
    <w:p w:rsidR="00641207" w:rsidRDefault="00380829">
      <w:pPr>
        <w:spacing w:after="106"/>
        <w:ind w:left="266" w:right="14"/>
      </w:pPr>
      <w:r>
        <w:rPr>
          <w:rFonts w:ascii="Courier New" w:eastAsia="Courier New" w:hAnsi="Courier New" w:cs="Courier New"/>
          <w:sz w:val="18"/>
        </w:rPr>
        <w:t>{</w:t>
      </w:r>
      <w:proofErr w:type="spellStart"/>
      <w:r>
        <w:rPr>
          <w:rFonts w:ascii="Courier New" w:eastAsia="Courier New" w:hAnsi="Courier New" w:cs="Courier New"/>
          <w:sz w:val="18"/>
        </w:rPr>
        <w:t>orderState</w:t>
      </w:r>
      <w:proofErr w:type="spellEnd"/>
      <w:r>
        <w:rPr>
          <w:rFonts w:ascii="Courier New" w:eastAsia="Courier New" w:hAnsi="Courier New" w:cs="Courier New"/>
          <w:sz w:val="18"/>
        </w:rPr>
        <w:t xml:space="preserve">: "active"} </w:t>
      </w:r>
      <w:r>
        <w:t>– thereby reducing the impact to memory, storage and write performance while still optimizing searches over the active orders.</w:t>
      </w:r>
    </w:p>
    <w:p w:rsidR="00641207" w:rsidRDefault="00380829">
      <w:pPr>
        <w:numPr>
          <w:ilvl w:val="0"/>
          <w:numId w:val="6"/>
        </w:numPr>
        <w:spacing w:after="106"/>
        <w:ind w:right="14" w:hanging="227"/>
      </w:pPr>
      <w:r>
        <w:t xml:space="preserve">Hash Indexes. Hash indexes compute a hash of the value of a </w:t>
      </w:r>
      <w:proofErr w:type="spellStart"/>
      <w:r>
        <w:t>Teld</w:t>
      </w:r>
      <w:proofErr w:type="spellEnd"/>
      <w:r>
        <w:t xml:space="preserve"> and index the hashed value. The primary use of this index is to enable hash-based </w:t>
      </w:r>
      <w:proofErr w:type="spellStart"/>
      <w:r>
        <w:t>sharding</w:t>
      </w:r>
      <w:proofErr w:type="spellEnd"/>
      <w:r>
        <w:t>, a simple and uniform distribution of documents across shards.</w:t>
      </w:r>
    </w:p>
    <w:p w:rsidR="00641207" w:rsidRDefault="00380829">
      <w:pPr>
        <w:numPr>
          <w:ilvl w:val="0"/>
          <w:numId w:val="6"/>
        </w:numPr>
        <w:ind w:right="14" w:hanging="227"/>
      </w:pPr>
      <w:r>
        <w:t>Text Search Indexes. MongoDB provides a specialized index for text search that uses advanced, language-</w:t>
      </w:r>
      <w:proofErr w:type="spellStart"/>
      <w:r>
        <w:t>speciTc</w:t>
      </w:r>
      <w:proofErr w:type="spellEnd"/>
      <w:r>
        <w:t xml:space="preserve"> linguistic rules for stemming, tokenization and stop words. Queries that use the text search index return documents in relevance order. Each collection may have at most one text index but it may include multiple </w:t>
      </w:r>
      <w:proofErr w:type="spellStart"/>
      <w:r>
        <w:t>Telds</w:t>
      </w:r>
      <w:proofErr w:type="spellEnd"/>
      <w:r>
        <w:t>.</w:t>
      </w:r>
    </w:p>
    <w:p w:rsidR="00641207" w:rsidRDefault="00380829">
      <w:pPr>
        <w:spacing w:after="447"/>
        <w:ind w:left="-9" w:right="14"/>
      </w:pPr>
      <w:r>
        <w:t>MongoDB’s storage engines all support all index types and the indexes can be created on any part of the JSON document – including inside sub-documents and array elements – making them much more powerful than those offered by RDBMSs.</w:t>
      </w:r>
    </w:p>
    <w:p w:rsidR="00641207" w:rsidRDefault="00380829">
      <w:pPr>
        <w:pStyle w:val="Heading3"/>
        <w:ind w:left="-5"/>
      </w:pPr>
      <w:r>
        <w:t xml:space="preserve">Optimizing Performance </w:t>
      </w:r>
      <w:proofErr w:type="gramStart"/>
      <w:r>
        <w:t>With</w:t>
      </w:r>
      <w:proofErr w:type="gramEnd"/>
      <w:r>
        <w:t xml:space="preserve"> Indexes</w:t>
      </w:r>
    </w:p>
    <w:p w:rsidR="00641207" w:rsidRDefault="00380829">
      <w:pPr>
        <w:ind w:left="-9" w:right="14"/>
      </w:pPr>
      <w:r>
        <w:t xml:space="preserve">MongoDB’s query optimizer selects the index empirically by occasionally running alternate query plans and selecting the plan with the best response time. The query optimizer can be overridden using the </w:t>
      </w:r>
      <w:proofErr w:type="spellStart"/>
      <w:proofErr w:type="gramStart"/>
      <w:r>
        <w:rPr>
          <w:rFonts w:ascii="Courier New" w:eastAsia="Courier New" w:hAnsi="Courier New" w:cs="Courier New"/>
          <w:sz w:val="18"/>
        </w:rPr>
        <w:t>cursor.hint</w:t>
      </w:r>
      <w:proofErr w:type="spellEnd"/>
      <w:proofErr w:type="gramEnd"/>
      <w:r>
        <w:rPr>
          <w:rFonts w:ascii="Courier New" w:eastAsia="Courier New" w:hAnsi="Courier New" w:cs="Courier New"/>
          <w:sz w:val="18"/>
        </w:rPr>
        <w:t xml:space="preserve">() </w:t>
      </w:r>
      <w:r>
        <w:t>method.</w:t>
      </w:r>
    </w:p>
    <w:p w:rsidR="00641207" w:rsidRDefault="00380829">
      <w:pPr>
        <w:ind w:left="-9" w:right="14"/>
      </w:pPr>
      <w:r>
        <w:t>As with a relational database, the DBA can review query plans and ensure common queries are serviced by well-</w:t>
      </w:r>
      <w:proofErr w:type="spellStart"/>
      <w:r>
        <w:t>deTned</w:t>
      </w:r>
      <w:proofErr w:type="spellEnd"/>
      <w:r>
        <w:t xml:space="preserve"> indexes by using the </w:t>
      </w:r>
      <w:proofErr w:type="gramStart"/>
      <w:r>
        <w:rPr>
          <w:rFonts w:ascii="Courier New" w:eastAsia="Courier New" w:hAnsi="Courier New" w:cs="Courier New"/>
          <w:sz w:val="18"/>
        </w:rPr>
        <w:t>explain(</w:t>
      </w:r>
      <w:proofErr w:type="gramEnd"/>
      <w:r>
        <w:rPr>
          <w:rFonts w:ascii="Courier New" w:eastAsia="Courier New" w:hAnsi="Courier New" w:cs="Courier New"/>
          <w:sz w:val="18"/>
        </w:rPr>
        <w:t xml:space="preserve">) </w:t>
      </w:r>
      <w:r>
        <w:t>function which reports on:</w:t>
      </w:r>
    </w:p>
    <w:p w:rsidR="00641207" w:rsidRDefault="00380829">
      <w:pPr>
        <w:numPr>
          <w:ilvl w:val="0"/>
          <w:numId w:val="7"/>
        </w:numPr>
        <w:spacing w:after="97"/>
        <w:ind w:right="14" w:hanging="227"/>
      </w:pPr>
      <w:r>
        <w:t>The number of documents returned</w:t>
      </w:r>
    </w:p>
    <w:p w:rsidR="00641207" w:rsidRDefault="00380829">
      <w:pPr>
        <w:numPr>
          <w:ilvl w:val="0"/>
          <w:numId w:val="7"/>
        </w:numPr>
        <w:spacing w:after="97"/>
        <w:ind w:right="14" w:hanging="227"/>
      </w:pPr>
      <w:r>
        <w:t>Which index was used – if any</w:t>
      </w:r>
    </w:p>
    <w:p w:rsidR="00641207" w:rsidRDefault="00380829">
      <w:pPr>
        <w:numPr>
          <w:ilvl w:val="0"/>
          <w:numId w:val="7"/>
        </w:numPr>
        <w:ind w:right="14" w:hanging="227"/>
      </w:pPr>
      <w:r>
        <w:t>Whether the query was covered, meaning no documents needed to be read to return results</w:t>
      </w:r>
    </w:p>
    <w:p w:rsidR="00641207" w:rsidRDefault="00380829">
      <w:pPr>
        <w:numPr>
          <w:ilvl w:val="0"/>
          <w:numId w:val="7"/>
        </w:numPr>
        <w:spacing w:after="90"/>
        <w:ind w:right="14" w:hanging="227"/>
      </w:pPr>
      <w:r>
        <w:t xml:space="preserve">Whether an in-memory sort was performed, which indicates an index would be </w:t>
      </w:r>
      <w:proofErr w:type="spellStart"/>
      <w:r>
        <w:t>beneTcial</w:t>
      </w:r>
      <w:proofErr w:type="spellEnd"/>
    </w:p>
    <w:p w:rsidR="00641207" w:rsidRDefault="00380829">
      <w:pPr>
        <w:numPr>
          <w:ilvl w:val="0"/>
          <w:numId w:val="7"/>
        </w:numPr>
        <w:spacing w:after="97"/>
        <w:ind w:right="14" w:hanging="227"/>
      </w:pPr>
      <w:r>
        <w:t>The number of index entries scanned</w:t>
      </w:r>
    </w:p>
    <w:p w:rsidR="00641207" w:rsidRDefault="00380829">
      <w:pPr>
        <w:numPr>
          <w:ilvl w:val="0"/>
          <w:numId w:val="7"/>
        </w:numPr>
        <w:spacing w:after="97"/>
        <w:ind w:right="14" w:hanging="227"/>
      </w:pPr>
      <w:r>
        <w:t>The number of documents read</w:t>
      </w:r>
    </w:p>
    <w:p w:rsidR="00641207" w:rsidRDefault="00380829">
      <w:pPr>
        <w:numPr>
          <w:ilvl w:val="0"/>
          <w:numId w:val="7"/>
        </w:numPr>
        <w:spacing w:after="90"/>
        <w:ind w:right="14" w:hanging="227"/>
      </w:pPr>
      <w:r>
        <w:t>How long the query took to resolve, reported in milliseconds</w:t>
      </w:r>
    </w:p>
    <w:p w:rsidR="00641207" w:rsidRDefault="00380829">
      <w:pPr>
        <w:numPr>
          <w:ilvl w:val="0"/>
          <w:numId w:val="7"/>
        </w:numPr>
        <w:ind w:right="14" w:hanging="227"/>
      </w:pPr>
      <w:r>
        <w:t>Alternate query plans that were assessed but then rejected</w:t>
      </w:r>
    </w:p>
    <w:p w:rsidR="00641207" w:rsidRDefault="00380829">
      <w:pPr>
        <w:ind w:left="-9" w:right="14"/>
      </w:pPr>
      <w:r>
        <w:t>MongoDB provides a range of logging and monitoring tools to ensure collections are appropriately indexed and queries are tuned. These can and should be used both in development and in production.</w:t>
      </w:r>
    </w:p>
    <w:p w:rsidR="00641207" w:rsidRDefault="00380829">
      <w:pPr>
        <w:ind w:left="-9" w:right="14"/>
      </w:pPr>
      <w:r>
        <w:t xml:space="preserve">The MongoDB Database </w:t>
      </w:r>
      <w:proofErr w:type="spellStart"/>
      <w:r>
        <w:t>ProTler</w:t>
      </w:r>
      <w:proofErr w:type="spellEnd"/>
      <w:r>
        <w:t xml:space="preserve"> is most commonly used during load testing and debugging, logging all database operations or only those events whose duration exceeds a </w:t>
      </w:r>
      <w:proofErr w:type="spellStart"/>
      <w:r>
        <w:t>conTgurable</w:t>
      </w:r>
      <w:proofErr w:type="spellEnd"/>
      <w:r>
        <w:t xml:space="preserve"> threshold (the default is 100ms). </w:t>
      </w:r>
      <w:proofErr w:type="spellStart"/>
      <w:r>
        <w:t>ProTling</w:t>
      </w:r>
      <w:proofErr w:type="spellEnd"/>
      <w:r>
        <w:t xml:space="preserve"> data is stored in a capped collection where it can easily be searched for relevant events – it is often easier to query this collection than parsing the log </w:t>
      </w:r>
      <w:proofErr w:type="spellStart"/>
      <w:r>
        <w:t>Tles</w:t>
      </w:r>
      <w:proofErr w:type="spellEnd"/>
      <w:r>
        <w:t>.</w:t>
      </w:r>
    </w:p>
    <w:p w:rsidR="00641207" w:rsidRDefault="00380829">
      <w:pPr>
        <w:ind w:left="-9" w:right="14"/>
      </w:pPr>
      <w:r>
        <w:t xml:space="preserve">Delivered as part of MongoDB’s </w:t>
      </w:r>
      <w:hyperlink r:id="rId24">
        <w:r>
          <w:rPr>
            <w:color w:val="6CA438"/>
          </w:rPr>
          <w:t>Ops Manager</w:t>
        </w:r>
      </w:hyperlink>
      <w:r>
        <w:rPr>
          <w:color w:val="6CA438"/>
        </w:rPr>
        <w:t xml:space="preserve"> </w:t>
      </w:r>
      <w:r>
        <w:t xml:space="preserve">and </w:t>
      </w:r>
      <w:hyperlink r:id="rId25">
        <w:r>
          <w:rPr>
            <w:color w:val="6CA438"/>
          </w:rPr>
          <w:t xml:space="preserve">Cloud </w:t>
        </w:r>
      </w:hyperlink>
      <w:hyperlink r:id="rId26">
        <w:r>
          <w:rPr>
            <w:color w:val="6CA438"/>
          </w:rPr>
          <w:t>Manager</w:t>
        </w:r>
      </w:hyperlink>
      <w:r>
        <w:rPr>
          <w:color w:val="6CA438"/>
        </w:rPr>
        <w:t xml:space="preserve"> </w:t>
      </w:r>
      <w:r>
        <w:t xml:space="preserve">platforms, the new Visual Query </w:t>
      </w:r>
      <w:proofErr w:type="spellStart"/>
      <w:r>
        <w:t>ProTler</w:t>
      </w:r>
      <w:proofErr w:type="spellEnd"/>
      <w:r>
        <w:t xml:space="preserve"> provides a quick and convenient way for operations teams and DBAs to analyze </w:t>
      </w:r>
      <w:proofErr w:type="spellStart"/>
      <w:r>
        <w:t>speciTc</w:t>
      </w:r>
      <w:proofErr w:type="spellEnd"/>
      <w:r>
        <w:t xml:space="preserve"> queries or query families. The Visual Query </w:t>
      </w:r>
      <w:proofErr w:type="spellStart"/>
      <w:r>
        <w:t>ProTler</w:t>
      </w:r>
      <w:proofErr w:type="spellEnd"/>
      <w:r>
        <w:t xml:space="preserve"> (as shown in Figure 7) displays how query and write latency varies over time – making it simple to identify slower queries with common access patterns and characteristics, as well as identify any latency spikes.</w:t>
      </w:r>
    </w:p>
    <w:p w:rsidR="00641207" w:rsidRDefault="00380829">
      <w:pPr>
        <w:spacing w:after="350"/>
        <w:ind w:left="-9" w:right="14"/>
      </w:pPr>
      <w:r>
        <w:t xml:space="preserve">The visual query </w:t>
      </w:r>
      <w:proofErr w:type="spellStart"/>
      <w:r>
        <w:t>proTler</w:t>
      </w:r>
      <w:proofErr w:type="spellEnd"/>
      <w:r>
        <w:t xml:space="preserve"> will analyze data it collects to provide recommendations for new indexes that can be created to improve query performance. Once </w:t>
      </w:r>
      <w:proofErr w:type="spellStart"/>
      <w:r>
        <w:t>identiTed</w:t>
      </w:r>
      <w:proofErr w:type="spellEnd"/>
      <w:r>
        <w:t>, these new indexes need to be rolled out in the production system and Ops/Cloud Manager automates that process – performing a rolling index build which avoids any impact to the application.</w:t>
      </w:r>
    </w:p>
    <w:p w:rsidR="00641207" w:rsidRDefault="00380829">
      <w:pPr>
        <w:ind w:left="-9" w:right="14"/>
      </w:pPr>
      <w:r>
        <w:t xml:space="preserve">While it may not be necessary to shard the database at the outset of the project, it is always good practice to assume that future scalability will be necessary (e.g., due to data growth or the popularity of the application). </w:t>
      </w:r>
      <w:proofErr w:type="spellStart"/>
      <w:r>
        <w:t>DeTning</w:t>
      </w:r>
      <w:proofErr w:type="spellEnd"/>
      <w:r>
        <w:t xml:space="preserve"> index keys during the schema design phase also helps identify </w:t>
      </w:r>
      <w:r>
        <w:lastRenderedPageBreak/>
        <w:t>keys that can be used when implementing MongoDB’s auto-</w:t>
      </w:r>
      <w:proofErr w:type="spellStart"/>
      <w:r>
        <w:t>sharding</w:t>
      </w:r>
      <w:proofErr w:type="spellEnd"/>
      <w:r>
        <w:t xml:space="preserve"> for application-transparent scale-out.</w:t>
      </w:r>
    </w:p>
    <w:tbl>
      <w:tblPr>
        <w:tblStyle w:val="TableGrid"/>
        <w:tblpPr w:vertAnchor="text" w:horzAnchor="margin"/>
        <w:tblOverlap w:val="never"/>
        <w:tblW w:w="10290" w:type="dxa"/>
        <w:tblInd w:w="0" w:type="dxa"/>
        <w:tblCellMar>
          <w:top w:w="0" w:type="dxa"/>
          <w:left w:w="0" w:type="dxa"/>
          <w:bottom w:w="1" w:type="dxa"/>
          <w:right w:w="0" w:type="dxa"/>
        </w:tblCellMar>
        <w:tblLook w:val="04A0" w:firstRow="1" w:lastRow="0" w:firstColumn="1" w:lastColumn="0" w:noHBand="0" w:noVBand="1"/>
      </w:tblPr>
      <w:tblGrid>
        <w:gridCol w:w="10290"/>
      </w:tblGrid>
      <w:tr w:rsidR="00641207">
        <w:trPr>
          <w:trHeight w:val="244"/>
        </w:trPr>
        <w:tc>
          <w:tcPr>
            <w:tcW w:w="4907" w:type="dxa"/>
            <w:tcBorders>
              <w:top w:val="nil"/>
              <w:left w:val="nil"/>
              <w:bottom w:val="nil"/>
              <w:right w:val="nil"/>
            </w:tcBorders>
            <w:vAlign w:val="bottom"/>
          </w:tcPr>
          <w:p w:rsidR="00641207" w:rsidRDefault="00380829">
            <w:pPr>
              <w:spacing w:after="321" w:line="259" w:lineRule="auto"/>
              <w:ind w:left="0" w:firstLine="0"/>
            </w:pPr>
            <w:r>
              <w:rPr>
                <w:noProof/>
              </w:rPr>
              <w:drawing>
                <wp:inline distT="0" distB="0" distL="0" distR="0">
                  <wp:extent cx="6534150" cy="3069311"/>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7"/>
                          <a:stretch>
                            <a:fillRect/>
                          </a:stretch>
                        </pic:blipFill>
                        <pic:spPr>
                          <a:xfrm>
                            <a:off x="0" y="0"/>
                            <a:ext cx="6534150" cy="3069311"/>
                          </a:xfrm>
                          <a:prstGeom prst="rect">
                            <a:avLst/>
                          </a:prstGeom>
                        </pic:spPr>
                      </pic:pic>
                    </a:graphicData>
                  </a:graphic>
                </wp:inline>
              </w:drawing>
            </w:r>
          </w:p>
          <w:p w:rsidR="00641207" w:rsidRDefault="00380829">
            <w:pPr>
              <w:spacing w:after="0" w:line="259" w:lineRule="auto"/>
              <w:ind w:left="2694" w:firstLine="0"/>
              <w:jc w:val="both"/>
            </w:pPr>
            <w:r>
              <w:t xml:space="preserve">Figure 7: Visual Query </w:t>
            </w:r>
            <w:proofErr w:type="spellStart"/>
            <w:r>
              <w:t>ProTling</w:t>
            </w:r>
            <w:proofErr w:type="spellEnd"/>
            <w:r>
              <w:t xml:space="preserve"> in MongoDB Ops Manager</w:t>
            </w:r>
          </w:p>
        </w:tc>
      </w:tr>
    </w:tbl>
    <w:p w:rsidR="00641207" w:rsidRDefault="00380829">
      <w:pPr>
        <w:pStyle w:val="Heading2"/>
        <w:ind w:left="-5"/>
      </w:pPr>
      <w:r>
        <w:t>Schema Evolution and the Impact on Schema Design</w:t>
      </w:r>
    </w:p>
    <w:p w:rsidR="00641207" w:rsidRDefault="00380829">
      <w:pPr>
        <w:ind w:left="-9" w:right="14"/>
      </w:pPr>
      <w:r>
        <w:t>MongoDB’s dynamic schema provides a major advantage versus relational databases.</w:t>
      </w:r>
    </w:p>
    <w:p w:rsidR="00641207" w:rsidRDefault="00380829">
      <w:pPr>
        <w:ind w:left="-9" w:right="14"/>
      </w:pPr>
      <w:r>
        <w:t xml:space="preserve">Collections can be created without </w:t>
      </w:r>
      <w:proofErr w:type="spellStart"/>
      <w:r>
        <w:t>Trst</w:t>
      </w:r>
      <w:proofErr w:type="spellEnd"/>
      <w:r>
        <w:t xml:space="preserve"> </w:t>
      </w:r>
      <w:proofErr w:type="spellStart"/>
      <w:r>
        <w:t>deTning</w:t>
      </w:r>
      <w:proofErr w:type="spellEnd"/>
      <w:r>
        <w:t xml:space="preserve"> their structure, i.e., document </w:t>
      </w:r>
      <w:proofErr w:type="spellStart"/>
      <w:r>
        <w:t>Telds</w:t>
      </w:r>
      <w:proofErr w:type="spellEnd"/>
      <w:r>
        <w:t xml:space="preserve"> and their data types. Documents </w:t>
      </w:r>
      <w:proofErr w:type="gramStart"/>
      <w:r>
        <w:t>in a given</w:t>
      </w:r>
      <w:proofErr w:type="gramEnd"/>
      <w:r>
        <w:t xml:space="preserve"> collection need not all have the same set of </w:t>
      </w:r>
      <w:proofErr w:type="spellStart"/>
      <w:r>
        <w:t>Telds</w:t>
      </w:r>
      <w:proofErr w:type="spellEnd"/>
      <w:r>
        <w:t xml:space="preserve">. One can change the structure of documents just by adding new </w:t>
      </w:r>
      <w:proofErr w:type="spellStart"/>
      <w:r>
        <w:t>Telds</w:t>
      </w:r>
      <w:proofErr w:type="spellEnd"/>
      <w:r>
        <w:t xml:space="preserve"> or deleting existing ones.</w:t>
      </w:r>
    </w:p>
    <w:p w:rsidR="00641207" w:rsidRDefault="00380829">
      <w:pPr>
        <w:ind w:left="-9" w:right="14"/>
      </w:pPr>
      <w:r>
        <w:t>Consider the example of a customer record:</w:t>
      </w:r>
    </w:p>
    <w:p w:rsidR="00641207" w:rsidRDefault="00380829">
      <w:pPr>
        <w:numPr>
          <w:ilvl w:val="0"/>
          <w:numId w:val="8"/>
        </w:numPr>
        <w:spacing w:after="90"/>
        <w:ind w:right="14" w:hanging="227"/>
      </w:pPr>
      <w:r>
        <w:t xml:space="preserve">Some customers will have multiple </w:t>
      </w:r>
      <w:proofErr w:type="spellStart"/>
      <w:r>
        <w:t>ofTce</w:t>
      </w:r>
      <w:proofErr w:type="spellEnd"/>
      <w:r>
        <w:t xml:space="preserve"> locations and lines of business, and some will not.</w:t>
      </w:r>
    </w:p>
    <w:p w:rsidR="00641207" w:rsidRDefault="00380829">
      <w:pPr>
        <w:numPr>
          <w:ilvl w:val="0"/>
          <w:numId w:val="8"/>
        </w:numPr>
        <w:spacing w:after="90"/>
        <w:ind w:right="14" w:hanging="227"/>
      </w:pPr>
      <w:r>
        <w:t>The number of contacts within each customer can be different</w:t>
      </w:r>
    </w:p>
    <w:p w:rsidR="00641207" w:rsidRDefault="00380829">
      <w:pPr>
        <w:numPr>
          <w:ilvl w:val="0"/>
          <w:numId w:val="8"/>
        </w:numPr>
        <w:spacing w:after="90"/>
        <w:ind w:right="14" w:hanging="227"/>
      </w:pPr>
      <w:r>
        <w:t>The information stored on each of these contacts can vary. For instance, some may have public social media feeds which could be useful to monitor, and some will not.</w:t>
      </w:r>
    </w:p>
    <w:p w:rsidR="00641207" w:rsidRDefault="00380829">
      <w:pPr>
        <w:numPr>
          <w:ilvl w:val="0"/>
          <w:numId w:val="8"/>
        </w:numPr>
        <w:ind w:right="14" w:hanging="227"/>
      </w:pPr>
      <w:r>
        <w:t>Each customer may buy or subscribe to different services from their vendor, each with their own sets of contracts.</w:t>
      </w:r>
    </w:p>
    <w:p w:rsidR="00641207" w:rsidRDefault="00380829">
      <w:pPr>
        <w:ind w:left="-9" w:right="14"/>
      </w:pPr>
      <w:r>
        <w:t>Modeling this real-world variance in the rigid, two-dimensional schema of a relational database is complex and convoluted. In MongoDB, supporting variance between documents is a fundamental, seamless feature of BSON documents.</w:t>
      </w:r>
    </w:p>
    <w:p w:rsidR="00641207" w:rsidRDefault="00380829">
      <w:pPr>
        <w:ind w:left="-9" w:right="14"/>
      </w:pPr>
      <w:r>
        <w:t xml:space="preserve">MongoDB’s </w:t>
      </w:r>
      <w:proofErr w:type="spellStart"/>
      <w:r>
        <w:t>Uexible</w:t>
      </w:r>
      <w:proofErr w:type="spellEnd"/>
      <w:r>
        <w:t xml:space="preserve"> and dynamic schemas mean that schema development and ongoing evolution are straightforward. For example, the developer and DBA working on a new development project using a relational database must </w:t>
      </w:r>
      <w:proofErr w:type="spellStart"/>
      <w:r>
        <w:t>Trst</w:t>
      </w:r>
      <w:proofErr w:type="spellEnd"/>
      <w:r>
        <w:t xml:space="preserve"> start by specifying the database schema, before any code is written. At </w:t>
      </w:r>
      <w:proofErr w:type="gramStart"/>
      <w:r>
        <w:t>minimum</w:t>
      </w:r>
      <w:proofErr w:type="gramEnd"/>
      <w:r>
        <w:t xml:space="preserve"> this will take days; it often takes weeks or months.</w:t>
      </w:r>
    </w:p>
    <w:p w:rsidR="00641207" w:rsidRDefault="00380829">
      <w:pPr>
        <w:ind w:left="-9" w:right="14"/>
      </w:pPr>
      <w:r>
        <w:t xml:space="preserve">MongoDB enables developers to evolve the schema through an iterative and agile approach. Developers can start writing code and persist the objects as they are created. And when they add more features, MongoDB will continue to store the updated objects without the need for performing costly </w:t>
      </w:r>
      <w:r>
        <w:rPr>
          <w:rFonts w:ascii="Courier New" w:eastAsia="Courier New" w:hAnsi="Courier New" w:cs="Courier New"/>
          <w:sz w:val="18"/>
        </w:rPr>
        <w:t xml:space="preserve">ALTER TABLE </w:t>
      </w:r>
      <w:r>
        <w:t>operations or re-designing the schema from scratch.</w:t>
      </w:r>
    </w:p>
    <w:p w:rsidR="00641207" w:rsidRDefault="00380829">
      <w:pPr>
        <w:spacing w:after="151"/>
        <w:ind w:left="-9" w:right="14"/>
      </w:pPr>
      <w:r>
        <w:t xml:space="preserve">These </w:t>
      </w:r>
      <w:proofErr w:type="spellStart"/>
      <w:r>
        <w:t>beneTts</w:t>
      </w:r>
      <w:proofErr w:type="spellEnd"/>
      <w:r>
        <w:t xml:space="preserve"> also extend to maintaining the application in production. When using a relational database, an application upgrade may require the DBA to add or modify </w:t>
      </w:r>
      <w:proofErr w:type="spellStart"/>
      <w:r>
        <w:t>Telds</w:t>
      </w:r>
      <w:proofErr w:type="spellEnd"/>
      <w:r>
        <w:t xml:space="preserve"> in the database. These changes require planning across development, DBA and operations teams to </w:t>
      </w:r>
      <w:r>
        <w:lastRenderedPageBreak/>
        <w:t xml:space="preserve">synchronize application and database upgrades, agreeing on when to schedule the necessary </w:t>
      </w:r>
      <w:r>
        <w:rPr>
          <w:rFonts w:ascii="Courier New" w:eastAsia="Courier New" w:hAnsi="Courier New" w:cs="Courier New"/>
          <w:sz w:val="18"/>
        </w:rPr>
        <w:t xml:space="preserve">ALTER TABLE </w:t>
      </w:r>
      <w:r>
        <w:t>operations.</w:t>
      </w:r>
    </w:p>
    <w:p w:rsidR="00641207" w:rsidRDefault="00380829">
      <w:pPr>
        <w:ind w:left="-9" w:right="14"/>
      </w:pPr>
      <w:r>
        <w:t xml:space="preserve">As MongoDB allows schemas to evolve dynamically, such operations </w:t>
      </w:r>
      <w:proofErr w:type="gramStart"/>
      <w:r>
        <w:t>requires</w:t>
      </w:r>
      <w:proofErr w:type="gramEnd"/>
      <w:r>
        <w:t xml:space="preserve"> upgrading just the application, with typically no action required for MongoDB. Evolving applications is simple, and project teams can improve agility and time to market.</w:t>
      </w:r>
    </w:p>
    <w:p w:rsidR="00641207" w:rsidRDefault="00380829">
      <w:pPr>
        <w:spacing w:after="558"/>
        <w:ind w:left="-9" w:right="14"/>
      </w:pPr>
      <w:r>
        <w:t>At the point that the DBA or developer determines that some constraints should be enforced on the document structure, Document Validation rules can be added – further details are provided later in this guide.</w:t>
      </w:r>
    </w:p>
    <w:p w:rsidR="00641207" w:rsidRDefault="00380829">
      <w:pPr>
        <w:pStyle w:val="Heading1"/>
        <w:ind w:left="-5"/>
      </w:pPr>
      <w:r>
        <w:t>Application Integration</w:t>
      </w:r>
    </w:p>
    <w:p w:rsidR="00641207" w:rsidRDefault="00380829">
      <w:pPr>
        <w:ind w:left="-9" w:right="14"/>
      </w:pPr>
      <w:r>
        <w:t>With the schema designed, the project can move towards integrating the application with the database using MongoDB drivers and tools.</w:t>
      </w:r>
    </w:p>
    <w:p w:rsidR="00641207" w:rsidRDefault="00380829">
      <w:pPr>
        <w:spacing w:after="484"/>
        <w:ind w:left="-9" w:right="14"/>
      </w:pPr>
      <w:r>
        <w:t xml:space="preserve">DBA’s can also </w:t>
      </w:r>
      <w:proofErr w:type="spellStart"/>
      <w:r>
        <w:t>conTgure</w:t>
      </w:r>
      <w:proofErr w:type="spellEnd"/>
      <w:r>
        <w:t xml:space="preserve"> MongoDB to meet the application’s requirements for data consistency and durability. Each of these areas are discussed below.</w:t>
      </w:r>
    </w:p>
    <w:p w:rsidR="00641207" w:rsidRDefault="00380829">
      <w:pPr>
        <w:pStyle w:val="Heading2"/>
        <w:ind w:left="-5"/>
      </w:pPr>
      <w:r>
        <w:t>MongoDB Drivers and the API</w:t>
      </w:r>
    </w:p>
    <w:p w:rsidR="00641207" w:rsidRDefault="00380829">
      <w:pPr>
        <w:ind w:left="-9" w:right="14"/>
      </w:pPr>
      <w:r>
        <w:t>Ease of use and developer productivity are two of MongoDB’s core design goals.</w:t>
      </w:r>
    </w:p>
    <w:p w:rsidR="00641207" w:rsidRDefault="00380829">
      <w:pPr>
        <w:ind w:left="-9" w:right="14"/>
      </w:pPr>
      <w:r>
        <w:t xml:space="preserve">One fundamental difference between a SQL-based RDBMS and MongoDB is that the MongoDB interface is implemented as methods (or functions) within the API of a </w:t>
      </w:r>
      <w:proofErr w:type="spellStart"/>
      <w:r>
        <w:t>speciTc</w:t>
      </w:r>
      <w:proofErr w:type="spellEnd"/>
      <w:r>
        <w:t xml:space="preserve"> programming language, as opposed to </w:t>
      </w:r>
      <w:proofErr w:type="gramStart"/>
      <w:r>
        <w:t>a completely separate</w:t>
      </w:r>
      <w:proofErr w:type="gramEnd"/>
      <w:r>
        <w:t xml:space="preserve"> text-based language like SQL. This, coupled with the </w:t>
      </w:r>
      <w:proofErr w:type="spellStart"/>
      <w:r>
        <w:t>afTnity</w:t>
      </w:r>
      <w:proofErr w:type="spellEnd"/>
      <w:r>
        <w:t xml:space="preserve"> between MongoDB’s BSON document model and the data structures used in object-oriented programming, makes application integration simple.</w:t>
      </w:r>
    </w:p>
    <w:p w:rsidR="00641207" w:rsidRDefault="00380829">
      <w:pPr>
        <w:ind w:left="-9" w:right="14"/>
      </w:pPr>
      <w:r>
        <w:t xml:space="preserve">MongoDB has </w:t>
      </w:r>
      <w:hyperlink r:id="rId28">
        <w:r>
          <w:rPr>
            <w:color w:val="6CA438"/>
          </w:rPr>
          <w:t xml:space="preserve">idiomatic drivers for the most popular </w:t>
        </w:r>
      </w:hyperlink>
      <w:hyperlink r:id="rId29">
        <w:r>
          <w:rPr>
            <w:color w:val="6CA438"/>
          </w:rPr>
          <w:t>languages</w:t>
        </w:r>
      </w:hyperlink>
      <w:r>
        <w:t>, including eleven developed and supported by MongoDB (e.g., Java, Python, .NET, PHP) and more than 30 community-supported drivers.</w:t>
      </w:r>
    </w:p>
    <w:p w:rsidR="00641207" w:rsidRDefault="00380829">
      <w:pPr>
        <w:spacing w:after="484"/>
        <w:ind w:left="-9" w:right="14"/>
      </w:pPr>
      <w:r>
        <w:t xml:space="preserve">MongoDB’s idiomatic drivers minimize onboarding time for new developers and simplify application development. For instance, Java developers can simply code against MongoDB </w:t>
      </w:r>
      <w:r>
        <w:t xml:space="preserve">natively in Java; </w:t>
      </w:r>
      <w:proofErr w:type="gramStart"/>
      <w:r>
        <w:t>likewise</w:t>
      </w:r>
      <w:proofErr w:type="gramEnd"/>
      <w:r>
        <w:t xml:space="preserve"> for Ruby developers, PHP developers and so on. The drivers are created by development teams that are experts in their given language and know how programmers prefer to work within those languages.</w:t>
      </w:r>
    </w:p>
    <w:p w:rsidR="00641207" w:rsidRDefault="00380829">
      <w:pPr>
        <w:pStyle w:val="Heading2"/>
        <w:ind w:left="-5"/>
      </w:pPr>
      <w:r>
        <w:t>Mapping SQL to MongoDB Syntax</w:t>
      </w:r>
    </w:p>
    <w:p w:rsidR="00641207" w:rsidRDefault="00380829">
      <w:pPr>
        <w:spacing w:after="30"/>
        <w:ind w:left="-9" w:right="14"/>
      </w:pPr>
      <w:r>
        <w:t xml:space="preserve">For </w:t>
      </w:r>
      <w:proofErr w:type="gramStart"/>
      <w:r>
        <w:t>developers</w:t>
      </w:r>
      <w:proofErr w:type="gramEnd"/>
      <w:r>
        <w:t xml:space="preserve"> familiar with SQL, it is useful to understand how core SQL statements such as </w:t>
      </w:r>
      <w:r>
        <w:rPr>
          <w:rFonts w:ascii="Courier New" w:eastAsia="Courier New" w:hAnsi="Courier New" w:cs="Courier New"/>
          <w:sz w:val="18"/>
        </w:rPr>
        <w:t>CREATE, ALTER,</w:t>
      </w:r>
    </w:p>
    <w:p w:rsidR="00641207" w:rsidRDefault="00380829">
      <w:pPr>
        <w:spacing w:after="484"/>
        <w:ind w:left="-9" w:right="14"/>
      </w:pPr>
      <w:r>
        <w:rPr>
          <w:rFonts w:ascii="Courier New" w:eastAsia="Courier New" w:hAnsi="Courier New" w:cs="Courier New"/>
          <w:sz w:val="18"/>
        </w:rPr>
        <w:t xml:space="preserve">INSERT, SELECT, UPDATE </w:t>
      </w:r>
      <w:r>
        <w:t xml:space="preserve">and </w:t>
      </w:r>
      <w:r>
        <w:rPr>
          <w:rFonts w:ascii="Courier New" w:eastAsia="Courier New" w:hAnsi="Courier New" w:cs="Courier New"/>
          <w:sz w:val="18"/>
        </w:rPr>
        <w:t xml:space="preserve">DELETE </w:t>
      </w:r>
      <w:r>
        <w:t xml:space="preserve">map to the MongoDB API. The documentation includes a </w:t>
      </w:r>
      <w:hyperlink r:id="rId30">
        <w:r>
          <w:rPr>
            <w:color w:val="6CA438"/>
          </w:rPr>
          <w:t xml:space="preserve">comparison </w:t>
        </w:r>
      </w:hyperlink>
      <w:hyperlink r:id="rId31">
        <w:r>
          <w:rPr>
            <w:color w:val="6CA438"/>
          </w:rPr>
          <w:t>chart</w:t>
        </w:r>
      </w:hyperlink>
      <w:r>
        <w:rPr>
          <w:color w:val="6CA438"/>
        </w:rPr>
        <w:t xml:space="preserve"> </w:t>
      </w:r>
      <w:r>
        <w:t xml:space="preserve">with examples to assist in the transition to MongoDB Query Language structure and semantics. In addition, MongoDB offers an extensive array of </w:t>
      </w:r>
      <w:hyperlink r:id="rId32">
        <w:r>
          <w:rPr>
            <w:color w:val="6CA438"/>
          </w:rPr>
          <w:t xml:space="preserve">advanced query </w:t>
        </w:r>
      </w:hyperlink>
      <w:hyperlink r:id="rId33">
        <w:r>
          <w:rPr>
            <w:color w:val="6CA438"/>
          </w:rPr>
          <w:t>operators</w:t>
        </w:r>
      </w:hyperlink>
      <w:r>
        <w:t>.</w:t>
      </w:r>
    </w:p>
    <w:p w:rsidR="00641207" w:rsidRDefault="00380829">
      <w:pPr>
        <w:pStyle w:val="Heading2"/>
        <w:ind w:left="-5"/>
      </w:pPr>
      <w:r>
        <w:t>MongoDB Aggregation Framework</w:t>
      </w:r>
    </w:p>
    <w:p w:rsidR="00641207" w:rsidRDefault="00380829">
      <w:pPr>
        <w:ind w:left="-9" w:right="14"/>
      </w:pPr>
      <w:r>
        <w:t>Aggregating data within any database is an important capability and a strength of the RDBMS.</w:t>
      </w:r>
    </w:p>
    <w:p w:rsidR="00641207" w:rsidRDefault="00380829">
      <w:pPr>
        <w:ind w:left="-9" w:right="14"/>
      </w:pPr>
      <w:r>
        <w:t>Many NoSQL databases do not have aggregation capabilities. As a result, migrating to NoSQL databases has traditionally forced developers to develop workarounds, such as:</w:t>
      </w:r>
    </w:p>
    <w:p w:rsidR="00641207" w:rsidRDefault="00380829">
      <w:pPr>
        <w:numPr>
          <w:ilvl w:val="0"/>
          <w:numId w:val="9"/>
        </w:numPr>
        <w:spacing w:after="90"/>
        <w:ind w:right="14" w:hanging="310"/>
      </w:pPr>
      <w:r>
        <w:t>Building aggregations within their application code, increasing complexity and compromising performance.</w:t>
      </w:r>
    </w:p>
    <w:p w:rsidR="00641207" w:rsidRDefault="00380829">
      <w:pPr>
        <w:numPr>
          <w:ilvl w:val="0"/>
          <w:numId w:val="9"/>
        </w:numPr>
        <w:spacing w:after="90"/>
        <w:ind w:right="14" w:hanging="310"/>
      </w:pPr>
      <w:r>
        <w:t>Exporting data to Hadoop to run MapReduce jobs against the data. This also drastically increases complexity, duplicates data across multiple data stores and does not allow for real-time analytics.</w:t>
      </w:r>
    </w:p>
    <w:p w:rsidR="00641207" w:rsidRDefault="00380829">
      <w:pPr>
        <w:numPr>
          <w:ilvl w:val="0"/>
          <w:numId w:val="9"/>
        </w:numPr>
        <w:ind w:right="14" w:hanging="310"/>
      </w:pPr>
      <w:r>
        <w:t>If available, writing native MapReduce operations within the NoSQL database itself.</w:t>
      </w:r>
    </w:p>
    <w:p w:rsidR="00641207" w:rsidRDefault="00380829">
      <w:pPr>
        <w:ind w:left="-9" w:right="14"/>
      </w:pPr>
      <w:r>
        <w:t xml:space="preserve">MongoDB provides the Aggregation Framework natively within the database, which delivers similar functionality to the </w:t>
      </w:r>
      <w:r>
        <w:rPr>
          <w:rFonts w:ascii="Courier New" w:eastAsia="Courier New" w:hAnsi="Courier New" w:cs="Courier New"/>
          <w:sz w:val="18"/>
        </w:rPr>
        <w:t xml:space="preserve">GROUP BY </w:t>
      </w:r>
      <w:r>
        <w:t>and related SQL statements.</w:t>
      </w:r>
    </w:p>
    <w:tbl>
      <w:tblPr>
        <w:tblStyle w:val="TableGrid"/>
        <w:tblpPr w:vertAnchor="text" w:horzAnchor="margin" w:tblpY="1733"/>
        <w:tblOverlap w:val="never"/>
        <w:tblW w:w="10290" w:type="dxa"/>
        <w:tblInd w:w="0" w:type="dxa"/>
        <w:tblCellMar>
          <w:top w:w="0" w:type="dxa"/>
          <w:left w:w="0" w:type="dxa"/>
          <w:bottom w:w="1" w:type="dxa"/>
          <w:right w:w="0" w:type="dxa"/>
        </w:tblCellMar>
        <w:tblLook w:val="04A0" w:firstRow="1" w:lastRow="0" w:firstColumn="1" w:lastColumn="0" w:noHBand="0" w:noVBand="1"/>
      </w:tblPr>
      <w:tblGrid>
        <w:gridCol w:w="10290"/>
      </w:tblGrid>
      <w:tr w:rsidR="00641207">
        <w:trPr>
          <w:trHeight w:val="244"/>
        </w:trPr>
        <w:tc>
          <w:tcPr>
            <w:tcW w:w="7170" w:type="dxa"/>
            <w:tcBorders>
              <w:top w:val="nil"/>
              <w:left w:val="nil"/>
              <w:bottom w:val="nil"/>
              <w:right w:val="nil"/>
            </w:tcBorders>
            <w:vAlign w:val="bottom"/>
          </w:tcPr>
          <w:p w:rsidR="00641207" w:rsidRDefault="00380829">
            <w:pPr>
              <w:spacing w:after="322" w:line="259" w:lineRule="auto"/>
              <w:ind w:left="0" w:firstLine="0"/>
            </w:pPr>
            <w:r>
              <w:rPr>
                <w:noProof/>
              </w:rPr>
              <w:lastRenderedPageBreak/>
              <w:drawing>
                <wp:inline distT="0" distB="0" distL="0" distR="0">
                  <wp:extent cx="6534150" cy="2095414"/>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34"/>
                          <a:stretch>
                            <a:fillRect/>
                          </a:stretch>
                        </pic:blipFill>
                        <pic:spPr>
                          <a:xfrm>
                            <a:off x="0" y="0"/>
                            <a:ext cx="6534150" cy="2095414"/>
                          </a:xfrm>
                          <a:prstGeom prst="rect">
                            <a:avLst/>
                          </a:prstGeom>
                        </pic:spPr>
                      </pic:pic>
                    </a:graphicData>
                  </a:graphic>
                </wp:inline>
              </w:drawing>
            </w:r>
          </w:p>
          <w:p w:rsidR="00641207" w:rsidRDefault="00380829">
            <w:pPr>
              <w:spacing w:after="0" w:line="259" w:lineRule="auto"/>
              <w:ind w:left="1562" w:firstLine="0"/>
              <w:jc w:val="both"/>
            </w:pPr>
            <w:r>
              <w:t>Figure 8: Uncover new insights with powerful visualizations generated from MongoDB</w:t>
            </w:r>
          </w:p>
        </w:tc>
      </w:tr>
    </w:tbl>
    <w:p w:rsidR="00641207" w:rsidRDefault="00380829">
      <w:pPr>
        <w:ind w:left="-9" w:right="14"/>
      </w:pPr>
      <w:r>
        <w:t xml:space="preserve">When using the Aggregation Framework, documents in a collection pass through an aggregation pipeline, where they are processed in stages. Expressions produce output documents based on calculations performed on the input documents. The accumulator expressions used in the </w:t>
      </w:r>
      <w:r>
        <w:rPr>
          <w:rFonts w:ascii="Courier New" w:eastAsia="Courier New" w:hAnsi="Courier New" w:cs="Courier New"/>
          <w:sz w:val="18"/>
        </w:rPr>
        <w:t xml:space="preserve">$group </w:t>
      </w:r>
      <w:r>
        <w:t>stage maintain state (e.g., totals, maximums, minimums, averages, standard deviations and related data) as documents progress through the pipeline.</w:t>
      </w:r>
    </w:p>
    <w:p w:rsidR="00641207" w:rsidRDefault="00380829">
      <w:pPr>
        <w:spacing w:after="484"/>
        <w:ind w:left="-9" w:right="14"/>
      </w:pPr>
      <w:r>
        <w:t xml:space="preserve">The </w:t>
      </w:r>
      <w:hyperlink r:id="rId35">
        <w:r>
          <w:rPr>
            <w:color w:val="6CA438"/>
          </w:rPr>
          <w:t>SQL to Aggregation Mapping Chart</w:t>
        </w:r>
      </w:hyperlink>
      <w:r>
        <w:rPr>
          <w:color w:val="6CA438"/>
        </w:rPr>
        <w:t xml:space="preserve"> </w:t>
      </w:r>
      <w:r>
        <w:t xml:space="preserve">shows </w:t>
      </w:r>
      <w:proofErr w:type="gramStart"/>
      <w:r>
        <w:t>a number of</w:t>
      </w:r>
      <w:proofErr w:type="gramEnd"/>
      <w:r>
        <w:t xml:space="preserve"> examples demonstrating how queries in SQL are handled in MongoDB’s Aggregation Framework. To enable more complex analysis, MongoDB also provides native support for MapReduce operations in both </w:t>
      </w:r>
      <w:proofErr w:type="spellStart"/>
      <w:r>
        <w:t>sharded</w:t>
      </w:r>
      <w:proofErr w:type="spellEnd"/>
      <w:r>
        <w:t xml:space="preserve"> and </w:t>
      </w:r>
      <w:proofErr w:type="spellStart"/>
      <w:r>
        <w:t>unsharded</w:t>
      </w:r>
      <w:proofErr w:type="spellEnd"/>
      <w:r>
        <w:t xml:space="preserve"> collections.</w:t>
      </w:r>
    </w:p>
    <w:p w:rsidR="00641207" w:rsidRDefault="00380829">
      <w:pPr>
        <w:spacing w:after="119" w:line="248" w:lineRule="auto"/>
        <w:ind w:left="-5" w:hanging="10"/>
      </w:pPr>
      <w:r>
        <w:rPr>
          <w:sz w:val="28"/>
        </w:rPr>
        <w:t>Business Intelligence Integration –</w:t>
      </w:r>
    </w:p>
    <w:p w:rsidR="00641207" w:rsidRDefault="00380829">
      <w:pPr>
        <w:pStyle w:val="Heading2"/>
        <w:ind w:left="-5"/>
      </w:pPr>
      <w:r>
        <w:t>MongoDB Connector for BI</w:t>
      </w:r>
    </w:p>
    <w:p w:rsidR="00641207" w:rsidRDefault="00380829">
      <w:pPr>
        <w:ind w:left="-9" w:right="14"/>
      </w:pPr>
      <w:r>
        <w:t>Driven by growing requirements for self-service analytics, faster discovery and prediction based on real-time operational data, and the need to integrate multi-structured and streaming data sets, BI and analytics platforms are one of the fastest growing software markets.</w:t>
      </w:r>
    </w:p>
    <w:p w:rsidR="00641207" w:rsidRDefault="00380829">
      <w:pPr>
        <w:spacing w:after="350"/>
        <w:ind w:left="-9" w:right="14"/>
      </w:pPr>
      <w:r>
        <w:t xml:space="preserve">To address these requirements, modern application data stored in MongoDB can for the </w:t>
      </w:r>
      <w:proofErr w:type="spellStart"/>
      <w:r>
        <w:t>Trst</w:t>
      </w:r>
      <w:proofErr w:type="spellEnd"/>
      <w:r>
        <w:t xml:space="preserve"> time be easily explored with industry-standard SQL-based BI and analytics platforms. Using the BI Connector, analysts, data scientists and business users can now seamlessly visualize semi-structured and unstructured data managed in MongoDB, </w:t>
      </w:r>
      <w:r>
        <w:t>alongside traditional data in their SQL databases, using the same BI tools deployed within millions of enterprises.</w:t>
      </w:r>
    </w:p>
    <w:p w:rsidR="00641207" w:rsidRDefault="00380829">
      <w:pPr>
        <w:ind w:left="-9" w:right="14"/>
      </w:pPr>
      <w:r>
        <w:t xml:space="preserve">SQL-based BI tools such as Tableau expect to connect to a data source with a </w:t>
      </w:r>
      <w:proofErr w:type="spellStart"/>
      <w:r>
        <w:t>Txed</w:t>
      </w:r>
      <w:proofErr w:type="spellEnd"/>
      <w:r>
        <w:t xml:space="preserve"> schema presenting tabular data. This presents a challenge when working with MongoDB’s dynamic schema and rich, multi-dimensional documents. </w:t>
      </w:r>
      <w:proofErr w:type="gramStart"/>
      <w:r>
        <w:t>In order for</w:t>
      </w:r>
      <w:proofErr w:type="gramEnd"/>
      <w:r>
        <w:t xml:space="preserve"> BI tools to query MongoDB as a data source, the BI Connector does the following:</w:t>
      </w:r>
    </w:p>
    <w:p w:rsidR="00641207" w:rsidRDefault="00380829">
      <w:pPr>
        <w:numPr>
          <w:ilvl w:val="0"/>
          <w:numId w:val="10"/>
        </w:numPr>
        <w:spacing w:after="90"/>
        <w:ind w:right="14" w:hanging="227"/>
      </w:pPr>
      <w:r>
        <w:t>Provides the BI tool with the schema of the MongoDB collection to be visualized. Users can review the schema output to ensure data types, sub-documents and arrays are correctly represented</w:t>
      </w:r>
    </w:p>
    <w:p w:rsidR="00641207" w:rsidRDefault="00380829">
      <w:pPr>
        <w:numPr>
          <w:ilvl w:val="0"/>
          <w:numId w:val="10"/>
        </w:numPr>
        <w:spacing w:after="90"/>
        <w:ind w:right="14" w:hanging="227"/>
      </w:pPr>
      <w:r>
        <w:t>Translates SQL statements issued by the BI tool into equivalent MongoDB queries that are then sent to MongoDB for processing</w:t>
      </w:r>
    </w:p>
    <w:p w:rsidR="00641207" w:rsidRDefault="00380829">
      <w:pPr>
        <w:numPr>
          <w:ilvl w:val="0"/>
          <w:numId w:val="10"/>
        </w:numPr>
        <w:ind w:right="14" w:hanging="227"/>
      </w:pPr>
      <w:r>
        <w:t>Converts the returned results into the tabular format expected by the BI tool, which can then visualize the data based on user requirements</w:t>
      </w:r>
    </w:p>
    <w:p w:rsidR="00641207" w:rsidRDefault="00380829">
      <w:pPr>
        <w:spacing w:after="0"/>
        <w:ind w:left="-9" w:right="14"/>
      </w:pPr>
      <w:r>
        <w:t xml:space="preserve">Additionally, </w:t>
      </w:r>
      <w:proofErr w:type="gramStart"/>
      <w:r>
        <w:t>a number of</w:t>
      </w:r>
      <w:proofErr w:type="gramEnd"/>
      <w:r>
        <w:t xml:space="preserve"> Business Intelligence (BI) vendors have developed connectors to integrate MongoDB with their suites (without using SQL), alongside traditional relational databases. This integration provides reporting, ad hoc analysis, and dashboarding, enabling visualization and analysis across multiple data sources. Integrations are available with tools from a range of vendors including</w:t>
      </w:r>
    </w:p>
    <w:p w:rsidR="00641207" w:rsidRDefault="00380829">
      <w:pPr>
        <w:spacing w:after="484"/>
        <w:ind w:left="-9" w:right="14"/>
      </w:pPr>
      <w:r>
        <w:t xml:space="preserve">Actuate, Alteryx, </w:t>
      </w:r>
      <w:proofErr w:type="spellStart"/>
      <w:r>
        <w:t>Informatica</w:t>
      </w:r>
      <w:proofErr w:type="spellEnd"/>
      <w:r>
        <w:t xml:space="preserve">, </w:t>
      </w:r>
      <w:proofErr w:type="spellStart"/>
      <w:r>
        <w:t>JasperSoft</w:t>
      </w:r>
      <w:proofErr w:type="spellEnd"/>
      <w:r>
        <w:t xml:space="preserve">, </w:t>
      </w:r>
      <w:proofErr w:type="spellStart"/>
      <w:r>
        <w:t>Logi</w:t>
      </w:r>
      <w:proofErr w:type="spellEnd"/>
      <w:r>
        <w:t xml:space="preserve"> Analytics, MicroStrategy, Pentaho, </w:t>
      </w:r>
      <w:proofErr w:type="spellStart"/>
      <w:r>
        <w:t>QlikTech</w:t>
      </w:r>
      <w:proofErr w:type="spellEnd"/>
      <w:r>
        <w:t xml:space="preserve">, SAP </w:t>
      </w:r>
      <w:proofErr w:type="spellStart"/>
      <w:r>
        <w:t>Lumira</w:t>
      </w:r>
      <w:proofErr w:type="spellEnd"/>
      <w:r>
        <w:t xml:space="preserve"> and </w:t>
      </w:r>
      <w:proofErr w:type="spellStart"/>
      <w:r>
        <w:t>Talend</w:t>
      </w:r>
      <w:proofErr w:type="spellEnd"/>
      <w:r>
        <w:t>.</w:t>
      </w:r>
    </w:p>
    <w:p w:rsidR="00641207" w:rsidRDefault="00380829">
      <w:pPr>
        <w:pStyle w:val="Heading2"/>
        <w:ind w:left="-5"/>
      </w:pPr>
      <w:r>
        <w:lastRenderedPageBreak/>
        <w:t>Atomicity in MongoDB</w:t>
      </w:r>
    </w:p>
    <w:p w:rsidR="00641207" w:rsidRDefault="00380829">
      <w:pPr>
        <w:ind w:left="-9" w:right="14"/>
      </w:pPr>
      <w:r>
        <w:t xml:space="preserve">Relational databases typically have well developed features for data integrity, including ACID transactions and constraint enforcement. Rightly, users do not want to </w:t>
      </w:r>
      <w:proofErr w:type="spellStart"/>
      <w:r>
        <w:t>sacriTce</w:t>
      </w:r>
      <w:proofErr w:type="spellEnd"/>
      <w:r>
        <w:t xml:space="preserve"> data integrity as they move to new types of databases. With MongoDB, users can maintain many capabilities of relational databases, even though the technical implementation of those capabilities may be different.</w:t>
      </w:r>
    </w:p>
    <w:p w:rsidR="00641207" w:rsidRDefault="00380829">
      <w:pPr>
        <w:ind w:left="-9" w:right="14"/>
      </w:pPr>
      <w:r>
        <w:t xml:space="preserve">MongoDB write operations are ACID at the document level – including the ability to update embedded arrays and sub-documents atomically. By embedding related </w:t>
      </w:r>
      <w:proofErr w:type="spellStart"/>
      <w:r>
        <w:t>Telds</w:t>
      </w:r>
      <w:proofErr w:type="spellEnd"/>
      <w:r>
        <w:t xml:space="preserve"> within a single document, users get the same integrity guarantees as a traditional RDBMS, which </w:t>
      </w:r>
      <w:proofErr w:type="gramStart"/>
      <w:r>
        <w:t>has to</w:t>
      </w:r>
      <w:proofErr w:type="gramEnd"/>
      <w:r>
        <w:t xml:space="preserve"> synchronize costly ACID operations and maintain referential integrity across separate tables.</w:t>
      </w:r>
    </w:p>
    <w:p w:rsidR="00641207" w:rsidRDefault="00380829">
      <w:pPr>
        <w:ind w:left="-9" w:right="14"/>
      </w:pPr>
      <w:r>
        <w:t>Document-level atomicity in MongoDB ensures complete isolation as a document is updated; any errors cause the operation to roll back and clients receive a consistent view of the document.</w:t>
      </w:r>
    </w:p>
    <w:p w:rsidR="00641207" w:rsidRDefault="00380829">
      <w:pPr>
        <w:spacing w:after="483"/>
        <w:ind w:left="-9" w:right="14"/>
      </w:pPr>
      <w:r>
        <w:t xml:space="preserve">Despite the power of single-document atomic operations, there may be cases that require multi-document transactions. There are multiple approaches to this – including using the </w:t>
      </w:r>
      <w:proofErr w:type="spellStart"/>
      <w:r>
        <w:rPr>
          <w:rFonts w:ascii="Courier New" w:eastAsia="Courier New" w:hAnsi="Courier New" w:cs="Courier New"/>
          <w:sz w:val="18"/>
        </w:rPr>
        <w:t>findAndModify</w:t>
      </w:r>
      <w:proofErr w:type="spellEnd"/>
      <w:r>
        <w:rPr>
          <w:rFonts w:ascii="Courier New" w:eastAsia="Courier New" w:hAnsi="Courier New" w:cs="Courier New"/>
          <w:sz w:val="18"/>
        </w:rPr>
        <w:t xml:space="preserve"> </w:t>
      </w:r>
      <w:r>
        <w:t xml:space="preserve">command that allows a document to be updated atomically and returned in the same round trip. </w:t>
      </w:r>
      <w:proofErr w:type="spellStart"/>
      <w:r>
        <w:rPr>
          <w:rFonts w:ascii="Courier New" w:eastAsia="Courier New" w:hAnsi="Courier New" w:cs="Courier New"/>
          <w:sz w:val="18"/>
        </w:rPr>
        <w:t>findAndModify</w:t>
      </w:r>
      <w:proofErr w:type="spellEnd"/>
      <w:r>
        <w:rPr>
          <w:rFonts w:ascii="Courier New" w:eastAsia="Courier New" w:hAnsi="Courier New" w:cs="Courier New"/>
          <w:sz w:val="18"/>
        </w:rPr>
        <w:t xml:space="preserve"> </w:t>
      </w:r>
      <w:r>
        <w:t xml:space="preserve">is a powerful primitive on top of which users can build other more complex transaction protocols. For example, users frequently build atomic soft-state locks, job queues, counters and state machines that can help coordinate more complex behaviors. Another alternative </w:t>
      </w:r>
      <w:proofErr w:type="gramStart"/>
      <w:r>
        <w:t>entails</w:t>
      </w:r>
      <w:proofErr w:type="gramEnd"/>
      <w:r>
        <w:t xml:space="preserve"> implementing a two-phase commit to provide transaction-like semantics. The </w:t>
      </w:r>
      <w:hyperlink r:id="rId36">
        <w:r>
          <w:rPr>
            <w:color w:val="6CA438"/>
          </w:rPr>
          <w:t>documentation</w:t>
        </w:r>
      </w:hyperlink>
      <w:r>
        <w:rPr>
          <w:color w:val="6CA438"/>
        </w:rPr>
        <w:t xml:space="preserve"> </w:t>
      </w:r>
      <w:r>
        <w:t>describes how to do this in MongoDB, and important considerations for its use.</w:t>
      </w:r>
    </w:p>
    <w:p w:rsidR="00641207" w:rsidRDefault="00380829">
      <w:pPr>
        <w:pStyle w:val="Heading2"/>
        <w:ind w:left="-5"/>
      </w:pPr>
      <w:r>
        <w:t>Maintaining Strong Consistency</w:t>
      </w:r>
    </w:p>
    <w:p w:rsidR="00641207" w:rsidRDefault="00380829">
      <w:pPr>
        <w:ind w:left="-9" w:right="14"/>
      </w:pPr>
      <w:r>
        <w:t>By default, MongoDB directs all read operations to primary servers, ensuring strong consistency. Also, by default any reads from secondary servers within a MongoDB replica set will be eventually consistent – much like master / slave replication in relational databases.</w:t>
      </w:r>
    </w:p>
    <w:p w:rsidR="00641207" w:rsidRDefault="00380829">
      <w:pPr>
        <w:spacing w:after="484"/>
        <w:ind w:left="-9" w:right="14"/>
      </w:pPr>
      <w:r>
        <w:t xml:space="preserve">Administrators can </w:t>
      </w:r>
      <w:proofErr w:type="spellStart"/>
      <w:r>
        <w:t>conTgure</w:t>
      </w:r>
      <w:proofErr w:type="spellEnd"/>
      <w:r>
        <w:t xml:space="preserve"> the secondary replicas to handle read </w:t>
      </w:r>
      <w:proofErr w:type="spellStart"/>
      <w:r>
        <w:t>trafTc</w:t>
      </w:r>
      <w:proofErr w:type="spellEnd"/>
      <w:r>
        <w:t xml:space="preserve"> using MongoDB’s </w:t>
      </w:r>
      <w:hyperlink r:id="rId37">
        <w:r>
          <w:rPr>
            <w:color w:val="6CA438"/>
          </w:rPr>
          <w:t>Read Preferences</w:t>
        </w:r>
      </w:hyperlink>
      <w:r>
        <w:t>, which control how clients' read operations are routed to members of a replica set.</w:t>
      </w:r>
    </w:p>
    <w:p w:rsidR="00641207" w:rsidRDefault="00380829">
      <w:pPr>
        <w:pStyle w:val="Heading2"/>
        <w:ind w:left="-5"/>
      </w:pPr>
      <w:r>
        <w:t>Write Durability</w:t>
      </w:r>
    </w:p>
    <w:p w:rsidR="00641207" w:rsidRDefault="00380829">
      <w:pPr>
        <w:ind w:left="-9" w:right="14"/>
      </w:pPr>
      <w:r>
        <w:t xml:space="preserve">MongoDB uses write concerns to control the level of write guarantees for data durability. </w:t>
      </w:r>
      <w:proofErr w:type="spellStart"/>
      <w:r>
        <w:t>ConTgurable</w:t>
      </w:r>
      <w:proofErr w:type="spellEnd"/>
      <w:r>
        <w:t xml:space="preserve"> options extend from simple ‘Tre and forget’ operations to waiting for acknowledgments from multiple, globally distributed replicas.</w:t>
      </w:r>
    </w:p>
    <w:p w:rsidR="00641207" w:rsidRDefault="00380829">
      <w:pPr>
        <w:ind w:left="-9" w:right="14"/>
      </w:pPr>
      <w:r>
        <w:t>With a relaxed write concern, the application can send a write operation to MongoDB then continue processing additional requests without waiting for a response from the database, giving the maximum performance. This option is useful for applications like logging, where users are typically analyzing trends in the data, rather than discrete events.</w:t>
      </w:r>
    </w:p>
    <w:p w:rsidR="00641207" w:rsidRDefault="00380829">
      <w:pPr>
        <w:ind w:left="-9" w:right="14"/>
      </w:pPr>
      <w:r>
        <w:t xml:space="preserve">With stronger write concerns, write operations wait until MongoDB acknowledges the operation. This is MongoDB’s default </w:t>
      </w:r>
      <w:proofErr w:type="spellStart"/>
      <w:r>
        <w:t>conTguration</w:t>
      </w:r>
      <w:proofErr w:type="spellEnd"/>
      <w:r>
        <w:t xml:space="preserve">. MongoDB provides multiple levels of write concern to address </w:t>
      </w:r>
      <w:proofErr w:type="spellStart"/>
      <w:r>
        <w:t>speciTc</w:t>
      </w:r>
      <w:proofErr w:type="spellEnd"/>
      <w:r>
        <w:t xml:space="preserve"> application requirements. For example:</w:t>
      </w:r>
    </w:p>
    <w:p w:rsidR="00641207" w:rsidRDefault="00380829">
      <w:pPr>
        <w:numPr>
          <w:ilvl w:val="0"/>
          <w:numId w:val="11"/>
        </w:numPr>
        <w:spacing w:after="90"/>
        <w:ind w:right="14" w:hanging="227"/>
      </w:pPr>
      <w:r>
        <w:t>The application waits for acknowledgment from the primary server (default).</w:t>
      </w:r>
    </w:p>
    <w:p w:rsidR="00641207" w:rsidRDefault="00380829">
      <w:pPr>
        <w:numPr>
          <w:ilvl w:val="0"/>
          <w:numId w:val="11"/>
        </w:numPr>
        <w:spacing w:after="90"/>
        <w:ind w:right="14" w:hanging="227"/>
      </w:pPr>
      <w:r>
        <w:t>Or the write operation is also replicated to one secondary.</w:t>
      </w:r>
    </w:p>
    <w:p w:rsidR="00641207" w:rsidRDefault="00380829">
      <w:pPr>
        <w:numPr>
          <w:ilvl w:val="0"/>
          <w:numId w:val="11"/>
        </w:numPr>
        <w:spacing w:after="90"/>
        <w:ind w:right="14" w:hanging="227"/>
      </w:pPr>
      <w:r>
        <w:t xml:space="preserve">Or the write operation is also replicated to a majority of </w:t>
      </w:r>
      <w:proofErr w:type="spellStart"/>
      <w:r>
        <w:t>secondaries</w:t>
      </w:r>
      <w:proofErr w:type="spellEnd"/>
      <w:r>
        <w:t>.</w:t>
      </w:r>
    </w:p>
    <w:p w:rsidR="00641207" w:rsidRDefault="00380829">
      <w:pPr>
        <w:numPr>
          <w:ilvl w:val="0"/>
          <w:numId w:val="11"/>
        </w:numPr>
        <w:ind w:right="14" w:hanging="227"/>
      </w:pPr>
      <w:r>
        <w:t xml:space="preserve">Or write operation is also replicated to </w:t>
      </w:r>
      <w:proofErr w:type="gramStart"/>
      <w:r>
        <w:t>all of</w:t>
      </w:r>
      <w:proofErr w:type="gramEnd"/>
      <w:r>
        <w:t xml:space="preserve"> the </w:t>
      </w:r>
      <w:proofErr w:type="spellStart"/>
      <w:r>
        <w:t>secondaries</w:t>
      </w:r>
      <w:proofErr w:type="spellEnd"/>
      <w:r>
        <w:t xml:space="preserve"> – even if they are deployed in different data centers. (Users should evaluate the impacts of network latency carefully in this scenario).</w:t>
      </w:r>
    </w:p>
    <w:p w:rsidR="00641207" w:rsidRDefault="00380829">
      <w:pPr>
        <w:spacing w:after="405" w:line="259" w:lineRule="auto"/>
        <w:ind w:left="0" w:right="-16" w:firstLine="0"/>
      </w:pPr>
      <w:r>
        <w:rPr>
          <w:noProof/>
        </w:rPr>
        <w:lastRenderedPageBreak/>
        <w:drawing>
          <wp:inline distT="0" distB="0" distL="0" distR="0">
            <wp:extent cx="3124200" cy="4061460"/>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38"/>
                    <a:stretch>
                      <a:fillRect/>
                    </a:stretch>
                  </pic:blipFill>
                  <pic:spPr>
                    <a:xfrm>
                      <a:off x="0" y="0"/>
                      <a:ext cx="3124200" cy="4061460"/>
                    </a:xfrm>
                    <a:prstGeom prst="rect">
                      <a:avLst/>
                    </a:prstGeom>
                  </pic:spPr>
                </pic:pic>
              </a:graphicData>
            </a:graphic>
          </wp:inline>
        </w:drawing>
      </w:r>
    </w:p>
    <w:p w:rsidR="00641207" w:rsidRDefault="00380829">
      <w:pPr>
        <w:spacing w:after="320" w:line="258" w:lineRule="auto"/>
        <w:ind w:left="30" w:hanging="10"/>
        <w:jc w:val="center"/>
      </w:pPr>
      <w:r>
        <w:t xml:space="preserve">Figure 9: </w:t>
      </w:r>
      <w:proofErr w:type="spellStart"/>
      <w:r>
        <w:t>ConTgure</w:t>
      </w:r>
      <w:proofErr w:type="spellEnd"/>
      <w:r>
        <w:t xml:space="preserve"> Durability per Operation</w:t>
      </w:r>
    </w:p>
    <w:p w:rsidR="00641207" w:rsidRDefault="00380829">
      <w:pPr>
        <w:ind w:left="-9" w:right="14"/>
      </w:pPr>
      <w:r>
        <w:t>The write concern can also be used to guarantee that the change has been persisted to disk before it is acknowledged.</w:t>
      </w:r>
    </w:p>
    <w:p w:rsidR="00641207" w:rsidRDefault="00380829">
      <w:pPr>
        <w:ind w:left="-9" w:right="14"/>
      </w:pPr>
      <w:r>
        <w:t xml:space="preserve">The write concern is </w:t>
      </w:r>
      <w:proofErr w:type="spellStart"/>
      <w:r>
        <w:t>conTgured</w:t>
      </w:r>
      <w:proofErr w:type="spellEnd"/>
      <w:r>
        <w:t xml:space="preserve"> in the driver and is highly granular – it can be set per-operation, per-collection or for the entire database. Users can learn more about write concerns in the </w:t>
      </w:r>
      <w:hyperlink r:id="rId39">
        <w:r>
          <w:rPr>
            <w:color w:val="6CA438"/>
          </w:rPr>
          <w:t>documentation</w:t>
        </w:r>
      </w:hyperlink>
      <w:r>
        <w:t>.</w:t>
      </w:r>
    </w:p>
    <w:p w:rsidR="00641207" w:rsidRDefault="00380829">
      <w:pPr>
        <w:ind w:left="-9" w:right="14"/>
      </w:pPr>
      <w:r>
        <w:t>MongoDB uses write-ahead logging to an on-disk journal to guarantee write operation durability and to provide crash resilience.</w:t>
      </w:r>
    </w:p>
    <w:p w:rsidR="00641207" w:rsidRDefault="00380829">
      <w:pPr>
        <w:ind w:left="-9" w:right="14"/>
      </w:pPr>
      <w:r>
        <w:t xml:space="preserve">Before applying a change to the database – whether it is a write operation or an index </w:t>
      </w:r>
      <w:proofErr w:type="spellStart"/>
      <w:r>
        <w:t>modiTcation</w:t>
      </w:r>
      <w:proofErr w:type="spellEnd"/>
      <w:r>
        <w:t xml:space="preserve"> – MongoDB writes the change operation to the journal. If a server failure occurs or MongoDB encounters an error before it can write the changes from the journal to the database, the journaled operation can be reapplied, thereby maintaining a consistent state when the server is recovered.</w:t>
      </w:r>
    </w:p>
    <w:p w:rsidR="00641207" w:rsidRDefault="00380829">
      <w:pPr>
        <w:pStyle w:val="Heading2"/>
        <w:spacing w:after="393"/>
        <w:ind w:left="-5"/>
      </w:pPr>
      <w:r>
        <w:t>Implementing Validation &amp; Constraints</w:t>
      </w:r>
    </w:p>
    <w:p w:rsidR="00641207" w:rsidRDefault="00380829">
      <w:pPr>
        <w:pStyle w:val="Heading3"/>
        <w:ind w:left="-5"/>
      </w:pPr>
      <w:r>
        <w:t>Foreign Keys</w:t>
      </w:r>
    </w:p>
    <w:p w:rsidR="00641207" w:rsidRDefault="00380829">
      <w:pPr>
        <w:spacing w:after="447"/>
        <w:ind w:left="-9" w:right="14"/>
      </w:pPr>
      <w:r>
        <w:t>As demonstrated earlier, MongoDB’s document model can often eliminate the need for JOINs by embedding data within a single, atomically updated BSON document. This same data model can also reduce the need for Foreign Key integrity constraints.</w:t>
      </w:r>
    </w:p>
    <w:p w:rsidR="00641207" w:rsidRDefault="00380829">
      <w:pPr>
        <w:pStyle w:val="Heading3"/>
        <w:ind w:left="-5"/>
      </w:pPr>
      <w:r>
        <w:t>Document Validation</w:t>
      </w:r>
    </w:p>
    <w:p w:rsidR="00641207" w:rsidRDefault="00380829">
      <w:pPr>
        <w:ind w:left="-9" w:right="14"/>
      </w:pPr>
      <w:r>
        <w:t xml:space="preserve">Dynamic schemas bring great agility, but it is also important that controls can be implemented to maintain data quality, especially if the database is powering multiple applications, or is integrated into a larger data management platform that feeds into upstream and downstream systems. Rather than delegating enforcement of these controls back into application code, MongoDB provides Document Validation within the database. Users can enforce checks on document structure, data types, data ranges, and the presence of mandatory </w:t>
      </w:r>
      <w:proofErr w:type="spellStart"/>
      <w:r>
        <w:t>Telds</w:t>
      </w:r>
      <w:proofErr w:type="spellEnd"/>
      <w:r>
        <w:t xml:space="preserve">. As a result, DBAs can apply data governance standards, while developers maintain the </w:t>
      </w:r>
      <w:proofErr w:type="spellStart"/>
      <w:r>
        <w:t>beneTts</w:t>
      </w:r>
      <w:proofErr w:type="spellEnd"/>
      <w:r>
        <w:t xml:space="preserve"> of a </w:t>
      </w:r>
      <w:proofErr w:type="spellStart"/>
      <w:r>
        <w:t>Uexible</w:t>
      </w:r>
      <w:proofErr w:type="spellEnd"/>
      <w:r>
        <w:t xml:space="preserve"> document model.</w:t>
      </w:r>
    </w:p>
    <w:p w:rsidR="00641207" w:rsidRDefault="00380829">
      <w:pPr>
        <w:ind w:left="-9" w:right="14"/>
      </w:pPr>
      <w:r>
        <w:t xml:space="preserve">There is </w:t>
      </w:r>
      <w:proofErr w:type="spellStart"/>
      <w:r>
        <w:t>signiTcant</w:t>
      </w:r>
      <w:proofErr w:type="spellEnd"/>
      <w:r>
        <w:t xml:space="preserve"> </w:t>
      </w:r>
      <w:proofErr w:type="spellStart"/>
      <w:r>
        <w:t>Uexibility</w:t>
      </w:r>
      <w:proofErr w:type="spellEnd"/>
      <w:r>
        <w:t xml:space="preserve"> to customize which parts of the documents are and are not validated for any collection – unlike an RDBMS where everything must be </w:t>
      </w:r>
      <w:proofErr w:type="spellStart"/>
      <w:r>
        <w:t>deTned</w:t>
      </w:r>
      <w:proofErr w:type="spellEnd"/>
      <w:r>
        <w:t xml:space="preserve"> and enforced. For any </w:t>
      </w:r>
      <w:proofErr w:type="gramStart"/>
      <w:r>
        <w:t>key</w:t>
      </w:r>
      <w:proofErr w:type="gramEnd"/>
      <w:r>
        <w:t xml:space="preserve"> it might be appropriate to check:</w:t>
      </w:r>
    </w:p>
    <w:p w:rsidR="00641207" w:rsidRDefault="00380829">
      <w:pPr>
        <w:numPr>
          <w:ilvl w:val="0"/>
          <w:numId w:val="12"/>
        </w:numPr>
        <w:spacing w:after="97"/>
        <w:ind w:right="14" w:hanging="227"/>
      </w:pPr>
      <w:r>
        <w:t>That it exists</w:t>
      </w:r>
    </w:p>
    <w:p w:rsidR="00641207" w:rsidRDefault="00380829">
      <w:pPr>
        <w:numPr>
          <w:ilvl w:val="0"/>
          <w:numId w:val="12"/>
        </w:numPr>
        <w:spacing w:after="97"/>
        <w:ind w:right="14" w:hanging="227"/>
      </w:pPr>
      <w:r>
        <w:t>If it does exist, that the value is of the correct type</w:t>
      </w:r>
    </w:p>
    <w:p w:rsidR="00641207" w:rsidRDefault="00380829">
      <w:pPr>
        <w:numPr>
          <w:ilvl w:val="0"/>
          <w:numId w:val="12"/>
        </w:numPr>
        <w:spacing w:after="90"/>
        <w:ind w:right="14" w:hanging="227"/>
      </w:pPr>
      <w:r>
        <w:t xml:space="preserve">That the value is in a </w:t>
      </w:r>
      <w:proofErr w:type="gramStart"/>
      <w:r>
        <w:t>particular format</w:t>
      </w:r>
      <w:proofErr w:type="gramEnd"/>
      <w:r>
        <w:t xml:space="preserve"> (regular expressions can be used to check if the contents of the string matches a particular pattern – that it’s a properly formatted email address, for example)</w:t>
      </w:r>
    </w:p>
    <w:p w:rsidR="00641207" w:rsidRDefault="00380829">
      <w:pPr>
        <w:numPr>
          <w:ilvl w:val="0"/>
          <w:numId w:val="12"/>
        </w:numPr>
        <w:ind w:right="14" w:hanging="227"/>
      </w:pPr>
      <w:r>
        <w:t>That the value falls within a given range</w:t>
      </w:r>
    </w:p>
    <w:p w:rsidR="00641207" w:rsidRDefault="00380829">
      <w:pPr>
        <w:ind w:left="-9" w:right="14"/>
      </w:pPr>
      <w:r>
        <w:t xml:space="preserve">As an example, assume that the following checks need to be enforced on the </w:t>
      </w:r>
      <w:r>
        <w:rPr>
          <w:rFonts w:ascii="Courier New" w:eastAsia="Courier New" w:hAnsi="Courier New" w:cs="Courier New"/>
          <w:sz w:val="18"/>
        </w:rPr>
        <w:t xml:space="preserve">contacts </w:t>
      </w:r>
      <w:r>
        <w:t>collection:</w:t>
      </w:r>
    </w:p>
    <w:p w:rsidR="00641207" w:rsidRDefault="00380829">
      <w:pPr>
        <w:numPr>
          <w:ilvl w:val="0"/>
          <w:numId w:val="12"/>
        </w:numPr>
        <w:spacing w:after="97"/>
        <w:ind w:right="14" w:hanging="227"/>
      </w:pPr>
      <w:r>
        <w:t>The year of birth is no later than 1994</w:t>
      </w:r>
    </w:p>
    <w:p w:rsidR="00641207" w:rsidRDefault="00380829">
      <w:pPr>
        <w:numPr>
          <w:ilvl w:val="0"/>
          <w:numId w:val="12"/>
        </w:numPr>
        <w:spacing w:after="90"/>
        <w:ind w:right="14" w:hanging="227"/>
      </w:pPr>
      <w:r>
        <w:t>The document contains a phone number and/or an email address</w:t>
      </w:r>
    </w:p>
    <w:p w:rsidR="00641207" w:rsidRDefault="00380829">
      <w:pPr>
        <w:numPr>
          <w:ilvl w:val="0"/>
          <w:numId w:val="12"/>
        </w:numPr>
        <w:ind w:right="14" w:hanging="227"/>
      </w:pPr>
      <w:r>
        <w:lastRenderedPageBreak/>
        <w:t>When present, the phone number and email addresses are strings</w:t>
      </w:r>
    </w:p>
    <w:p w:rsidR="00641207" w:rsidRDefault="00380829">
      <w:pPr>
        <w:ind w:left="-9" w:right="14"/>
      </w:pPr>
      <w:r>
        <w:t xml:space="preserve">That can be achieved by </w:t>
      </w:r>
      <w:proofErr w:type="spellStart"/>
      <w:r>
        <w:t>deTning</w:t>
      </w:r>
      <w:proofErr w:type="spellEnd"/>
      <w:r>
        <w:t xml:space="preserve"> this Document Validation rule:</w:t>
      </w:r>
    </w:p>
    <w:p w:rsidR="00641207" w:rsidRDefault="00380829">
      <w:pPr>
        <w:spacing w:after="0" w:line="263" w:lineRule="auto"/>
        <w:ind w:left="417" w:right="2322" w:hanging="432"/>
      </w:pPr>
      <w:proofErr w:type="spellStart"/>
      <w:proofErr w:type="gramStart"/>
      <w:r>
        <w:rPr>
          <w:rFonts w:ascii="Courier New" w:eastAsia="Courier New" w:hAnsi="Courier New" w:cs="Courier New"/>
          <w:sz w:val="18"/>
        </w:rPr>
        <w:t>db.runCommand</w:t>
      </w:r>
      <w:proofErr w:type="spellEnd"/>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collMod</w:t>
      </w:r>
      <w:proofErr w:type="spellEnd"/>
      <w:r>
        <w:rPr>
          <w:rFonts w:ascii="Courier New" w:eastAsia="Courier New" w:hAnsi="Courier New" w:cs="Courier New"/>
          <w:sz w:val="18"/>
        </w:rPr>
        <w:t>: "contacts", validator: {</w:t>
      </w:r>
    </w:p>
    <w:p w:rsidR="00641207" w:rsidRDefault="00380829">
      <w:pPr>
        <w:spacing w:after="0" w:line="263" w:lineRule="auto"/>
        <w:ind w:left="1296" w:right="378" w:hanging="432"/>
      </w:pPr>
      <w:r>
        <w:rPr>
          <w:rFonts w:ascii="Courier New" w:eastAsia="Courier New" w:hAnsi="Courier New" w:cs="Courier New"/>
          <w:sz w:val="18"/>
        </w:rPr>
        <w:t>$and: [ {</w:t>
      </w:r>
      <w:proofErr w:type="spellStart"/>
      <w:r>
        <w:rPr>
          <w:rFonts w:ascii="Courier New" w:eastAsia="Courier New" w:hAnsi="Courier New" w:cs="Courier New"/>
          <w:sz w:val="18"/>
        </w:rPr>
        <w:t>year_of_birth</w:t>
      </w:r>
      <w:proofErr w:type="spellEnd"/>
      <w:r>
        <w:rPr>
          <w:rFonts w:ascii="Courier New" w:eastAsia="Courier New" w:hAnsi="Courier New" w:cs="Courier New"/>
          <w:sz w:val="18"/>
        </w:rPr>
        <w:t>: {$</w:t>
      </w:r>
      <w:proofErr w:type="spellStart"/>
      <w:r>
        <w:rPr>
          <w:rFonts w:ascii="Courier New" w:eastAsia="Courier New" w:hAnsi="Courier New" w:cs="Courier New"/>
          <w:sz w:val="18"/>
        </w:rPr>
        <w:t>lte</w:t>
      </w:r>
      <w:proofErr w:type="spellEnd"/>
      <w:r>
        <w:rPr>
          <w:rFonts w:ascii="Courier New" w:eastAsia="Courier New" w:hAnsi="Courier New" w:cs="Courier New"/>
          <w:sz w:val="18"/>
        </w:rPr>
        <w:t>: 1994}},</w:t>
      </w:r>
    </w:p>
    <w:p w:rsidR="00641207" w:rsidRDefault="00380829">
      <w:pPr>
        <w:spacing w:after="0" w:line="263" w:lineRule="auto"/>
        <w:ind w:left="1306" w:right="2075" w:hanging="10"/>
      </w:pPr>
      <w:r>
        <w:rPr>
          <w:rFonts w:ascii="Courier New" w:eastAsia="Courier New" w:hAnsi="Courier New" w:cs="Courier New"/>
          <w:sz w:val="18"/>
        </w:rPr>
        <w:t>{$or: [</w:t>
      </w:r>
    </w:p>
    <w:p w:rsidR="00641207" w:rsidRDefault="00380829">
      <w:pPr>
        <w:spacing w:after="0" w:line="259" w:lineRule="auto"/>
        <w:ind w:left="10" w:right="39" w:hanging="10"/>
        <w:jc w:val="right"/>
      </w:pPr>
      <w:r>
        <w:rPr>
          <w:rFonts w:ascii="Courier New" w:eastAsia="Courier New" w:hAnsi="Courier New" w:cs="Courier New"/>
          <w:sz w:val="18"/>
        </w:rPr>
        <w:t xml:space="preserve">{phone: </w:t>
      </w:r>
      <w:proofErr w:type="gramStart"/>
      <w:r>
        <w:rPr>
          <w:rFonts w:ascii="Courier New" w:eastAsia="Courier New" w:hAnsi="Courier New" w:cs="Courier New"/>
          <w:sz w:val="18"/>
        </w:rPr>
        <w:t>{ $</w:t>
      </w:r>
      <w:proofErr w:type="gramEnd"/>
      <w:r>
        <w:rPr>
          <w:rFonts w:ascii="Courier New" w:eastAsia="Courier New" w:hAnsi="Courier New" w:cs="Courier New"/>
          <w:sz w:val="18"/>
        </w:rPr>
        <w:t>type: "string" }},</w:t>
      </w:r>
    </w:p>
    <w:p w:rsidR="00641207" w:rsidRDefault="00380829">
      <w:pPr>
        <w:spacing w:after="0" w:line="259" w:lineRule="auto"/>
        <w:ind w:left="10" w:right="162" w:hanging="10"/>
        <w:jc w:val="right"/>
      </w:pPr>
      <w:r>
        <w:rPr>
          <w:rFonts w:ascii="Courier New" w:eastAsia="Courier New" w:hAnsi="Courier New" w:cs="Courier New"/>
          <w:sz w:val="18"/>
        </w:rPr>
        <w:t xml:space="preserve">{email: </w:t>
      </w:r>
      <w:proofErr w:type="gramStart"/>
      <w:r>
        <w:rPr>
          <w:rFonts w:ascii="Courier New" w:eastAsia="Courier New" w:hAnsi="Courier New" w:cs="Courier New"/>
          <w:sz w:val="18"/>
        </w:rPr>
        <w:t>{ $</w:t>
      </w:r>
      <w:proofErr w:type="gramEnd"/>
      <w:r>
        <w:rPr>
          <w:rFonts w:ascii="Courier New" w:eastAsia="Courier New" w:hAnsi="Courier New" w:cs="Courier New"/>
          <w:sz w:val="18"/>
        </w:rPr>
        <w:t>type: "string" }}</w:t>
      </w:r>
    </w:p>
    <w:p w:rsidR="00641207" w:rsidRDefault="00380829">
      <w:pPr>
        <w:spacing w:after="0" w:line="263" w:lineRule="auto"/>
        <w:ind w:left="442" w:right="2075" w:hanging="10"/>
      </w:pPr>
      <w:r>
        <w:rPr>
          <w:rFonts w:ascii="Courier New" w:eastAsia="Courier New" w:hAnsi="Courier New" w:cs="Courier New"/>
          <w:sz w:val="18"/>
        </w:rPr>
        <w:t>]}]</w:t>
      </w:r>
    </w:p>
    <w:p w:rsidR="00641207" w:rsidRDefault="00380829">
      <w:pPr>
        <w:spacing w:after="276" w:line="263" w:lineRule="auto"/>
        <w:ind w:left="-5" w:right="2075" w:hanging="10"/>
      </w:pPr>
      <w:r>
        <w:rPr>
          <w:rFonts w:ascii="Courier New" w:eastAsia="Courier New" w:hAnsi="Courier New" w:cs="Courier New"/>
          <w:sz w:val="18"/>
        </w:rPr>
        <w:t>}})</w:t>
      </w:r>
    </w:p>
    <w:p w:rsidR="00641207" w:rsidRDefault="00380829">
      <w:pPr>
        <w:spacing w:after="447"/>
        <w:ind w:left="-9" w:right="14"/>
      </w:pPr>
      <w:r>
        <w:t>Adding the validation checks to a collection is very intuitive to any developer or DBA familiar with MongoDB, as Document Validation uses the standard MongoDB Query Language.</w:t>
      </w:r>
    </w:p>
    <w:p w:rsidR="00641207" w:rsidRDefault="00380829">
      <w:pPr>
        <w:pStyle w:val="Heading3"/>
        <w:ind w:left="-5"/>
      </w:pPr>
      <w:r>
        <w:t xml:space="preserve">Enforcing Constraints </w:t>
      </w:r>
      <w:proofErr w:type="gramStart"/>
      <w:r>
        <w:t>With</w:t>
      </w:r>
      <w:proofErr w:type="gramEnd"/>
      <w:r>
        <w:t xml:space="preserve"> Indexes</w:t>
      </w:r>
    </w:p>
    <w:p w:rsidR="00641207" w:rsidRDefault="00380829">
      <w:pPr>
        <w:spacing w:after="558"/>
        <w:ind w:left="-9" w:right="14"/>
      </w:pPr>
      <w:r>
        <w:t xml:space="preserve">As discussed in the Schema Design section, MongoDB supports unique indexes natively, which detect and raise an error to any insert operation that attempts to load a duplicate value into a collection. A </w:t>
      </w:r>
      <w:hyperlink r:id="rId40">
        <w:r>
          <w:rPr>
            <w:color w:val="6CA438"/>
          </w:rPr>
          <w:t>tutorial is available</w:t>
        </w:r>
      </w:hyperlink>
      <w:r>
        <w:rPr>
          <w:color w:val="6CA438"/>
        </w:rPr>
        <w:t xml:space="preserve"> </w:t>
      </w:r>
      <w:r>
        <w:t>that describes how to create unique indexes and eliminate duplicate entries from existing collections.</w:t>
      </w:r>
    </w:p>
    <w:p w:rsidR="00641207" w:rsidRDefault="00380829">
      <w:pPr>
        <w:pStyle w:val="Heading1"/>
        <w:ind w:left="-5"/>
      </w:pPr>
      <w:r>
        <w:t>Migrating Data to MongoDB</w:t>
      </w:r>
    </w:p>
    <w:p w:rsidR="00641207" w:rsidRDefault="00380829">
      <w:pPr>
        <w:ind w:left="-9" w:right="14"/>
      </w:pPr>
      <w:r>
        <w:t>Project teams have multiple options for importing data from existing relational databases to MongoDB. The tool of choice should depend on the stage of the project and the existing environment.</w:t>
      </w:r>
    </w:p>
    <w:p w:rsidR="00641207" w:rsidRDefault="00380829">
      <w:pPr>
        <w:ind w:left="-9" w:right="14"/>
      </w:pPr>
      <w:r>
        <w:t xml:space="preserve">Many users create their own scripts, which transform source data into a hierarchical JSON structure that can be imported into MongoDB using the </w:t>
      </w:r>
      <w:proofErr w:type="spellStart"/>
      <w:r>
        <w:rPr>
          <w:rFonts w:ascii="Courier New" w:eastAsia="Courier New" w:hAnsi="Courier New" w:cs="Courier New"/>
          <w:sz w:val="18"/>
        </w:rPr>
        <w:t>mongoimport</w:t>
      </w:r>
      <w:proofErr w:type="spellEnd"/>
      <w:r>
        <w:rPr>
          <w:rFonts w:ascii="Courier New" w:eastAsia="Courier New" w:hAnsi="Courier New" w:cs="Courier New"/>
          <w:sz w:val="18"/>
        </w:rPr>
        <w:t xml:space="preserve"> </w:t>
      </w:r>
      <w:r>
        <w:t>tool.</w:t>
      </w:r>
    </w:p>
    <w:p w:rsidR="00641207" w:rsidRDefault="00380829">
      <w:pPr>
        <w:ind w:left="-9" w:right="14"/>
      </w:pPr>
      <w:r>
        <w:t xml:space="preserve">Extract Transform Load (ETL) tools are also commonly used when migrating data from relational databases to MongoDB. </w:t>
      </w:r>
      <w:proofErr w:type="gramStart"/>
      <w:r>
        <w:t>A number of</w:t>
      </w:r>
      <w:proofErr w:type="gramEnd"/>
      <w:r>
        <w:t xml:space="preserve"> ETL vendors including </w:t>
      </w:r>
      <w:proofErr w:type="spellStart"/>
      <w:r>
        <w:t>Informatica</w:t>
      </w:r>
      <w:proofErr w:type="spellEnd"/>
      <w:r>
        <w:t xml:space="preserve">, Pentaho and </w:t>
      </w:r>
      <w:proofErr w:type="spellStart"/>
      <w:r>
        <w:t>Talend</w:t>
      </w:r>
      <w:proofErr w:type="spellEnd"/>
      <w:r>
        <w:t xml:space="preserve"> have developed MongoDB connectors that enable a </w:t>
      </w:r>
      <w:proofErr w:type="spellStart"/>
      <w:r>
        <w:t>workUow</w:t>
      </w:r>
      <w:proofErr w:type="spellEnd"/>
      <w:r>
        <w:t xml:space="preserve"> in which data is extracted from the </w:t>
      </w:r>
      <w:r>
        <w:t>source database, transformed into the target MongoDB schema, staged then loaded into document collections.</w:t>
      </w:r>
    </w:p>
    <w:p w:rsidR="00641207" w:rsidRDefault="00380829">
      <w:pPr>
        <w:spacing w:after="320" w:line="259" w:lineRule="auto"/>
        <w:ind w:left="0" w:right="-1" w:firstLine="0"/>
      </w:pPr>
      <w:r>
        <w:rPr>
          <w:noProof/>
        </w:rPr>
        <w:drawing>
          <wp:inline distT="0" distB="0" distL="0" distR="0">
            <wp:extent cx="3124200" cy="2436876"/>
            <wp:effectExtent l="0" t="0" r="0" b="0"/>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41"/>
                    <a:stretch>
                      <a:fillRect/>
                    </a:stretch>
                  </pic:blipFill>
                  <pic:spPr>
                    <a:xfrm>
                      <a:off x="0" y="0"/>
                      <a:ext cx="3124200" cy="2436876"/>
                    </a:xfrm>
                    <a:prstGeom prst="rect">
                      <a:avLst/>
                    </a:prstGeom>
                  </pic:spPr>
                </pic:pic>
              </a:graphicData>
            </a:graphic>
          </wp:inline>
        </w:drawing>
      </w:r>
    </w:p>
    <w:p w:rsidR="00641207" w:rsidRDefault="00380829">
      <w:pPr>
        <w:spacing w:after="320" w:line="258" w:lineRule="auto"/>
        <w:ind w:left="30" w:right="16" w:hanging="10"/>
        <w:jc w:val="center"/>
      </w:pPr>
      <w:r>
        <w:t>Figure 10: Multiple Options for Data Migration</w:t>
      </w:r>
    </w:p>
    <w:p w:rsidR="00641207" w:rsidRDefault="00380829">
      <w:pPr>
        <w:ind w:left="-9" w:right="14"/>
      </w:pPr>
      <w:r>
        <w:t>Many migrations involve running the existing RDBMS in parallel with the new MongoDB database, incrementally transferring production data:</w:t>
      </w:r>
    </w:p>
    <w:p w:rsidR="00641207" w:rsidRDefault="00380829">
      <w:pPr>
        <w:numPr>
          <w:ilvl w:val="0"/>
          <w:numId w:val="13"/>
        </w:numPr>
        <w:spacing w:after="90"/>
        <w:ind w:right="14" w:hanging="227"/>
      </w:pPr>
      <w:r>
        <w:t>As records are retrieved from the RDBMS, the application writes them back out to MongoDB in the required document schema.</w:t>
      </w:r>
    </w:p>
    <w:p w:rsidR="00641207" w:rsidRDefault="00380829">
      <w:pPr>
        <w:numPr>
          <w:ilvl w:val="0"/>
          <w:numId w:val="13"/>
        </w:numPr>
        <w:spacing w:after="90"/>
        <w:ind w:right="14" w:hanging="227"/>
      </w:pPr>
      <w:r>
        <w:t>Consistency checkers, for example using MD5 checksums, can be used to validate the migrated data.</w:t>
      </w:r>
    </w:p>
    <w:p w:rsidR="00641207" w:rsidRDefault="00380829">
      <w:pPr>
        <w:numPr>
          <w:ilvl w:val="0"/>
          <w:numId w:val="13"/>
        </w:numPr>
        <w:spacing w:after="350"/>
        <w:ind w:right="14" w:hanging="227"/>
      </w:pPr>
      <w:r>
        <w:t>All newly created or updated data is written to MongoDB only.</w:t>
      </w:r>
    </w:p>
    <w:p w:rsidR="00641207" w:rsidRDefault="00380829">
      <w:pPr>
        <w:ind w:left="-9" w:right="14"/>
      </w:pPr>
      <w:proofErr w:type="spellStart"/>
      <w:r>
        <w:t>ShutterUy</w:t>
      </w:r>
      <w:proofErr w:type="spellEnd"/>
      <w:r>
        <w:t xml:space="preserve"> used this incremental approach to migrate the metadata of 6 billion images and 20TB of data from Oracle to MongoDB.</w:t>
      </w:r>
    </w:p>
    <w:p w:rsidR="00641207" w:rsidRDefault="00380829">
      <w:pPr>
        <w:ind w:left="-9" w:right="14"/>
      </w:pPr>
      <w:r>
        <w:t>Incremental migration can be used when new application features are implemented with MongoDB, or where multiple applications are running against the legacy RDBMS. Migrating only those applications that are being modernized enables teams to divide projects into more manageable and agile development sprints.</w:t>
      </w:r>
    </w:p>
    <w:p w:rsidR="00641207" w:rsidRDefault="00380829">
      <w:pPr>
        <w:ind w:left="-9" w:right="14"/>
      </w:pPr>
      <w:r>
        <w:t xml:space="preserve">Incremental migration eliminates disruption to service availability while also providing fail-back should it be necessary to </w:t>
      </w:r>
      <w:proofErr w:type="gramStart"/>
      <w:r>
        <w:t>revert back</w:t>
      </w:r>
      <w:proofErr w:type="gramEnd"/>
      <w:r>
        <w:t xml:space="preserve"> to the legacy database.</w:t>
      </w:r>
    </w:p>
    <w:p w:rsidR="00641207" w:rsidRDefault="00380829">
      <w:pPr>
        <w:ind w:left="-9" w:right="14"/>
      </w:pPr>
      <w:r>
        <w:lastRenderedPageBreak/>
        <w:t>Many organizations create feeds from their source systems, dumping daily updates from an existing RDBMS to MongoDB to run parallel operations, or to perform application development and load testing. When using this approach, it is important to consider how to handle deletes to data in the source system. One solution is to create “A” and “B” target databases in MongoDB, and then alternate daily feeds between them. In this scenario, Database A receives one daily feed, then the application switches the next day of feeds to Database B. Meanwhile the existing Database A is dropped, so when the next feeds are made to Database A, a whole new instance of the source database is created, ensuring synchronization of deletions to the source data.</w:t>
      </w:r>
    </w:p>
    <w:p w:rsidR="00641207" w:rsidRDefault="00380829">
      <w:pPr>
        <w:spacing w:after="558"/>
        <w:ind w:left="-9" w:right="14"/>
      </w:pPr>
      <w:r>
        <w:t xml:space="preserve">To learn more about each of these and other options including using Apache Hadoop for ETL, review the </w:t>
      </w:r>
      <w:hyperlink r:id="rId42">
        <w:r>
          <w:rPr>
            <w:color w:val="6CA438"/>
          </w:rPr>
          <w:t>Migration Patterns webinar</w:t>
        </w:r>
      </w:hyperlink>
      <w:r>
        <w:t>.</w:t>
      </w:r>
    </w:p>
    <w:p w:rsidR="00641207" w:rsidRDefault="00380829">
      <w:pPr>
        <w:pStyle w:val="Heading1"/>
        <w:ind w:left="-5"/>
      </w:pPr>
      <w:r>
        <w:t>Operational Agility at Scale</w:t>
      </w:r>
    </w:p>
    <w:p w:rsidR="00641207" w:rsidRDefault="00380829">
      <w:pPr>
        <w:ind w:left="-9" w:right="14"/>
      </w:pPr>
      <w:r>
        <w:t xml:space="preserve">The considerations discussed thus far fall into the domain of the data architects, developers and DBAs. However, no matter how elegant the data model or how </w:t>
      </w:r>
      <w:proofErr w:type="spellStart"/>
      <w:r>
        <w:t>efTcient</w:t>
      </w:r>
      <w:proofErr w:type="spellEnd"/>
      <w:r>
        <w:t xml:space="preserve"> the indexes, none of </w:t>
      </w:r>
      <w:proofErr w:type="gramStart"/>
      <w:r>
        <w:t>this matters</w:t>
      </w:r>
      <w:proofErr w:type="gramEnd"/>
      <w:r>
        <w:t xml:space="preserve"> if the database fails to perform reliably at scale or cannot be managed </w:t>
      </w:r>
      <w:proofErr w:type="spellStart"/>
      <w:r>
        <w:t>efTciently</w:t>
      </w:r>
      <w:proofErr w:type="spellEnd"/>
      <w:r>
        <w:t>.</w:t>
      </w:r>
    </w:p>
    <w:p w:rsidR="00641207" w:rsidRDefault="00380829">
      <w:pPr>
        <w:ind w:left="-9" w:right="14"/>
      </w:pPr>
      <w:r>
        <w:t xml:space="preserve">The </w:t>
      </w:r>
      <w:proofErr w:type="spellStart"/>
      <w:r>
        <w:t>Tnal</w:t>
      </w:r>
      <w:proofErr w:type="spellEnd"/>
      <w:r>
        <w:t xml:space="preserve"> set of considerations in migration planning should focus on operational issues.</w:t>
      </w:r>
    </w:p>
    <w:p w:rsidR="00641207" w:rsidRDefault="00380829">
      <w:pPr>
        <w:ind w:left="-9" w:right="14"/>
      </w:pPr>
      <w:r>
        <w:t xml:space="preserve">The </w:t>
      </w:r>
      <w:hyperlink r:id="rId43">
        <w:r>
          <w:rPr>
            <w:color w:val="6CA438"/>
          </w:rPr>
          <w:t>MongoDB Operations Best Practices guide</w:t>
        </w:r>
      </w:hyperlink>
      <w:r>
        <w:rPr>
          <w:color w:val="6CA438"/>
        </w:rPr>
        <w:t xml:space="preserve"> </w:t>
      </w:r>
      <w:r>
        <w:t xml:space="preserve">is the </w:t>
      </w:r>
      <w:proofErr w:type="spellStart"/>
      <w:r>
        <w:t>deTnitive</w:t>
      </w:r>
      <w:proofErr w:type="spellEnd"/>
      <w:r>
        <w:t xml:space="preserve"> reference to learn more on this key area.</w:t>
      </w:r>
    </w:p>
    <w:p w:rsidR="00641207" w:rsidRDefault="00380829">
      <w:pPr>
        <w:ind w:left="-9" w:right="14"/>
      </w:pPr>
      <w:r>
        <w:t>The Operations Guide discusses:</w:t>
      </w:r>
    </w:p>
    <w:p w:rsidR="00641207" w:rsidRDefault="00380829">
      <w:pPr>
        <w:numPr>
          <w:ilvl w:val="0"/>
          <w:numId w:val="14"/>
        </w:numPr>
        <w:spacing w:after="105"/>
        <w:ind w:right="14" w:hanging="227"/>
      </w:pPr>
      <w:r>
        <w:t xml:space="preserve">Management, monitoring and backup with MongoDB Ops Manager or MongoDB Cloud Manager, which is the best way to run MongoDB within your own data center or public cloud, along with tools such as </w:t>
      </w:r>
      <w:proofErr w:type="spellStart"/>
      <w:r>
        <w:rPr>
          <w:rFonts w:ascii="Courier New" w:eastAsia="Courier New" w:hAnsi="Courier New" w:cs="Courier New"/>
          <w:sz w:val="18"/>
        </w:rPr>
        <w:t>mongotop</w:t>
      </w:r>
      <w:proofErr w:type="spellEnd"/>
      <w:r>
        <w:t xml:space="preserve">, </w:t>
      </w:r>
      <w:proofErr w:type="spellStart"/>
      <w:r>
        <w:rPr>
          <w:rFonts w:ascii="Courier New" w:eastAsia="Courier New" w:hAnsi="Courier New" w:cs="Courier New"/>
          <w:sz w:val="18"/>
        </w:rPr>
        <w:t>mongostat</w:t>
      </w:r>
      <w:proofErr w:type="spellEnd"/>
      <w:r>
        <w:rPr>
          <w:rFonts w:ascii="Courier New" w:eastAsia="Courier New" w:hAnsi="Courier New" w:cs="Courier New"/>
          <w:sz w:val="18"/>
        </w:rPr>
        <w:t xml:space="preserve"> </w:t>
      </w:r>
      <w:r>
        <w:t xml:space="preserve">and </w:t>
      </w:r>
      <w:proofErr w:type="spellStart"/>
      <w:r>
        <w:rPr>
          <w:rFonts w:ascii="Courier New" w:eastAsia="Courier New" w:hAnsi="Courier New" w:cs="Courier New"/>
          <w:sz w:val="18"/>
        </w:rPr>
        <w:t>mongodump</w:t>
      </w:r>
      <w:proofErr w:type="spellEnd"/>
      <w:r>
        <w:t>.</w:t>
      </w:r>
    </w:p>
    <w:p w:rsidR="00641207" w:rsidRDefault="00380829">
      <w:pPr>
        <w:numPr>
          <w:ilvl w:val="0"/>
          <w:numId w:val="14"/>
        </w:numPr>
        <w:spacing w:after="90"/>
        <w:ind w:right="14" w:hanging="227"/>
      </w:pPr>
      <w:r>
        <w:t>High availability with MongoDB Replica Sets, providing self-healing recovery from failures and supporting scheduled maintenance with no downtime.</w:t>
      </w:r>
    </w:p>
    <w:p w:rsidR="00641207" w:rsidRDefault="00380829">
      <w:pPr>
        <w:numPr>
          <w:ilvl w:val="0"/>
          <w:numId w:val="14"/>
        </w:numPr>
        <w:spacing w:after="90"/>
        <w:ind w:right="14" w:hanging="227"/>
      </w:pPr>
      <w:r>
        <w:t>Scalability using MongoDB auto-</w:t>
      </w:r>
      <w:proofErr w:type="spellStart"/>
      <w:r>
        <w:t>sharding</w:t>
      </w:r>
      <w:proofErr w:type="spellEnd"/>
      <w:r>
        <w:t xml:space="preserve"> (partitioning) across clusters of commodity servers, with application transparency.</w:t>
      </w:r>
    </w:p>
    <w:p w:rsidR="00641207" w:rsidRDefault="00380829">
      <w:pPr>
        <w:numPr>
          <w:ilvl w:val="0"/>
          <w:numId w:val="14"/>
        </w:numPr>
        <w:spacing w:after="90"/>
        <w:ind w:right="14" w:hanging="227"/>
      </w:pPr>
      <w:r>
        <w:t xml:space="preserve">Hardware selection with optimal </w:t>
      </w:r>
      <w:proofErr w:type="spellStart"/>
      <w:r>
        <w:t>conTgurations</w:t>
      </w:r>
      <w:proofErr w:type="spellEnd"/>
      <w:r>
        <w:t xml:space="preserve"> for memory, disk and CPU.</w:t>
      </w:r>
    </w:p>
    <w:p w:rsidR="00641207" w:rsidRDefault="00380829">
      <w:pPr>
        <w:numPr>
          <w:ilvl w:val="0"/>
          <w:numId w:val="14"/>
        </w:numPr>
        <w:ind w:right="14" w:hanging="227"/>
      </w:pPr>
      <w:r>
        <w:t xml:space="preserve">Security including LDAP, Kerberos and x.509 authentication, </w:t>
      </w:r>
      <w:proofErr w:type="spellStart"/>
      <w:r>
        <w:t>Teld</w:t>
      </w:r>
      <w:proofErr w:type="spellEnd"/>
      <w:r>
        <w:t>-level access controls, user-</w:t>
      </w:r>
      <w:proofErr w:type="spellStart"/>
      <w:r>
        <w:t>deTned</w:t>
      </w:r>
      <w:proofErr w:type="spellEnd"/>
      <w:r>
        <w:t xml:space="preserve"> roles, auditing, encryption of data in-</w:t>
      </w:r>
      <w:proofErr w:type="spellStart"/>
      <w:r>
        <w:t>Uight</w:t>
      </w:r>
      <w:proofErr w:type="spellEnd"/>
      <w:r>
        <w:t xml:space="preserve"> and at-rest,</w:t>
      </w:r>
    </w:p>
    <w:p w:rsidR="00641207" w:rsidRDefault="00380829">
      <w:pPr>
        <w:spacing w:after="558"/>
        <w:ind w:left="266" w:right="14"/>
      </w:pPr>
      <w:r>
        <w:t>and defense-in-depth strategies to protect the database.</w:t>
      </w:r>
    </w:p>
    <w:p w:rsidR="00641207" w:rsidRDefault="00380829">
      <w:pPr>
        <w:pStyle w:val="Heading1"/>
        <w:ind w:left="-5"/>
      </w:pPr>
      <w:r>
        <w:t xml:space="preserve">MongoDB Atlas: Database as a Service </w:t>
      </w:r>
      <w:proofErr w:type="gramStart"/>
      <w:r>
        <w:t>For</w:t>
      </w:r>
      <w:proofErr w:type="gramEnd"/>
      <w:r>
        <w:t xml:space="preserve"> MongoDB</w:t>
      </w:r>
    </w:p>
    <w:p w:rsidR="00641207" w:rsidRDefault="00380829">
      <w:pPr>
        <w:ind w:left="-9" w:right="14"/>
      </w:pPr>
      <w:hyperlink r:id="rId44">
        <w:r>
          <w:rPr>
            <w:color w:val="6CA438"/>
          </w:rPr>
          <w:t>MongoDB Atlas</w:t>
        </w:r>
      </w:hyperlink>
      <w:r>
        <w:rPr>
          <w:color w:val="6CA438"/>
        </w:rPr>
        <w:t xml:space="preserve"> </w:t>
      </w:r>
      <w:r>
        <w:t xml:space="preserve">provides </w:t>
      </w:r>
      <w:proofErr w:type="gramStart"/>
      <w:r>
        <w:t>all of</w:t>
      </w:r>
      <w:proofErr w:type="gramEnd"/>
      <w:r>
        <w:t xml:space="preserve"> the features of MongoDB, without the operational heavy lifting required for any new application. MongoDB Atlas is available on-demand through a pay-as-you-go model and billed on an hourly basis, letting you focus on what you do best.</w:t>
      </w:r>
    </w:p>
    <w:p w:rsidR="00641207" w:rsidRDefault="00380829">
      <w:pPr>
        <w:ind w:left="-9" w:right="14"/>
      </w:pPr>
      <w:r>
        <w:t>It’s easy to get started – use a simple GUI to select the instance size, region, and features you need. MongoDB Atlas provides:</w:t>
      </w:r>
    </w:p>
    <w:p w:rsidR="00641207" w:rsidRDefault="00380829">
      <w:pPr>
        <w:numPr>
          <w:ilvl w:val="0"/>
          <w:numId w:val="15"/>
        </w:numPr>
        <w:spacing w:after="97"/>
        <w:ind w:right="14" w:hanging="227"/>
      </w:pPr>
      <w:r>
        <w:t>Security features to protect access to your data</w:t>
      </w:r>
    </w:p>
    <w:p w:rsidR="00641207" w:rsidRDefault="00380829">
      <w:pPr>
        <w:numPr>
          <w:ilvl w:val="0"/>
          <w:numId w:val="15"/>
        </w:numPr>
        <w:spacing w:after="90"/>
        <w:ind w:right="14" w:hanging="227"/>
      </w:pPr>
      <w:r>
        <w:t>Built in replication for always-on availability, tolerating complete data center failure</w:t>
      </w:r>
    </w:p>
    <w:p w:rsidR="00641207" w:rsidRDefault="00380829">
      <w:pPr>
        <w:numPr>
          <w:ilvl w:val="0"/>
          <w:numId w:val="15"/>
        </w:numPr>
        <w:spacing w:after="90"/>
        <w:ind w:right="14" w:hanging="227"/>
      </w:pPr>
      <w:r>
        <w:t>Backups and point in time recovery to protect against data corruption</w:t>
      </w:r>
    </w:p>
    <w:p w:rsidR="00641207" w:rsidRDefault="00380829">
      <w:pPr>
        <w:numPr>
          <w:ilvl w:val="0"/>
          <w:numId w:val="15"/>
        </w:numPr>
        <w:spacing w:after="90"/>
        <w:ind w:right="14" w:hanging="227"/>
      </w:pPr>
      <w:r>
        <w:t>Fine-grained monitoring to let you know when to scale. Additional instances can be provisioned with the push of a button</w:t>
      </w:r>
    </w:p>
    <w:p w:rsidR="00641207" w:rsidRDefault="00380829">
      <w:pPr>
        <w:numPr>
          <w:ilvl w:val="0"/>
          <w:numId w:val="15"/>
        </w:numPr>
        <w:spacing w:after="90"/>
        <w:ind w:right="14" w:hanging="227"/>
      </w:pPr>
      <w:r>
        <w:t>Automated patching and one-click upgrades for new major versions of the database, enabling you to take advantage of the latest and greatest MongoDB features</w:t>
      </w:r>
    </w:p>
    <w:p w:rsidR="00641207" w:rsidRDefault="00380829">
      <w:pPr>
        <w:numPr>
          <w:ilvl w:val="0"/>
          <w:numId w:val="15"/>
        </w:numPr>
        <w:ind w:right="14" w:hanging="227"/>
      </w:pPr>
      <w:r>
        <w:t>A choice of cloud providers, regions, and billing options</w:t>
      </w:r>
    </w:p>
    <w:p w:rsidR="00641207" w:rsidRDefault="00380829">
      <w:pPr>
        <w:ind w:left="-9" w:right="14"/>
      </w:pPr>
      <w:r>
        <w:t xml:space="preserve">MongoDB Atlas is versatile. It’s great for everything from a quick Proof of Concept, to test/QA environments, to complete production clusters. If you decide you want to bring operations back under your control, it is easy to move your databases onto your own infrastructure and manage them using MongoDB Ops Manager or MongoDB Cloud </w:t>
      </w:r>
      <w:r>
        <w:lastRenderedPageBreak/>
        <w:t>Manager. The user experience across MongoDB Atlas, Cloud Manager, and Ops Manager is consistent, ensuring that disruption is minimal if you decide to migrate to your own infrastructure.</w:t>
      </w:r>
    </w:p>
    <w:p w:rsidR="00641207" w:rsidRDefault="00380829">
      <w:pPr>
        <w:ind w:left="-9" w:right="14"/>
      </w:pPr>
      <w:r>
        <w:t>MongoDB Atlas is an ideal Tt for organizations looking to MongoDB as a potential alternative to their relational database, and who don't want to tie up their operations teams for the evaluation process.</w:t>
      </w:r>
    </w:p>
    <w:p w:rsidR="00641207" w:rsidRDefault="00380829">
      <w:pPr>
        <w:spacing w:after="558"/>
        <w:ind w:left="-9" w:right="14"/>
      </w:pPr>
      <w:r>
        <w:t xml:space="preserve">MongoDB Atlas is automated, it’s easy, and it’s from the creators of MongoDB. </w:t>
      </w:r>
      <w:hyperlink r:id="rId45">
        <w:r>
          <w:rPr>
            <w:color w:val="6CA438"/>
          </w:rPr>
          <w:t>Learn more</w:t>
        </w:r>
      </w:hyperlink>
      <w:r>
        <w:rPr>
          <w:color w:val="6CA438"/>
        </w:rPr>
        <w:t xml:space="preserve"> </w:t>
      </w:r>
      <w:r>
        <w:t>and take it for a spin.</w:t>
      </w:r>
    </w:p>
    <w:p w:rsidR="00641207" w:rsidRDefault="00380829">
      <w:pPr>
        <w:pStyle w:val="Heading1"/>
        <w:ind w:left="-5"/>
      </w:pPr>
      <w:r>
        <w:t>Supporting Your Migration: MongoDB Services</w:t>
      </w:r>
    </w:p>
    <w:p w:rsidR="00641207" w:rsidRDefault="00380829">
      <w:pPr>
        <w:spacing w:after="484"/>
        <w:ind w:left="-9" w:right="14"/>
      </w:pPr>
      <w:r>
        <w:t xml:space="preserve">MongoDB and the community offer a range of resources and services to support migrations by helping users build MongoDB skills and </w:t>
      </w:r>
      <w:proofErr w:type="spellStart"/>
      <w:r>
        <w:t>proTciency</w:t>
      </w:r>
      <w:proofErr w:type="spellEnd"/>
      <w:r>
        <w:t>. MongoDB services include training, support, forums and consulting. Refer to the "We Can Help" section below to learn more about support from development through to production.</w:t>
      </w:r>
    </w:p>
    <w:p w:rsidR="00641207" w:rsidRDefault="00380829">
      <w:pPr>
        <w:pStyle w:val="Heading2"/>
        <w:ind w:left="-5"/>
      </w:pPr>
      <w:r>
        <w:t>MongoDB University</w:t>
      </w:r>
    </w:p>
    <w:p w:rsidR="00641207" w:rsidRDefault="00380829">
      <w:pPr>
        <w:ind w:left="-9" w:right="14"/>
      </w:pPr>
      <w:r>
        <w:t>Courses are available for both developers and DBAs:</w:t>
      </w:r>
    </w:p>
    <w:p w:rsidR="00641207" w:rsidRDefault="00380829">
      <w:pPr>
        <w:numPr>
          <w:ilvl w:val="0"/>
          <w:numId w:val="16"/>
        </w:numPr>
        <w:spacing w:after="105"/>
        <w:ind w:right="14" w:hanging="231"/>
      </w:pPr>
      <w:r>
        <w:t>Free, web-based classes, delivered over 7 weeks, supported by lectures, homework and forums to interact with instructors and other students. Over 350,000 students have already enrolled in these classes.</w:t>
      </w:r>
    </w:p>
    <w:p w:rsidR="00641207" w:rsidRDefault="00380829">
      <w:pPr>
        <w:numPr>
          <w:ilvl w:val="0"/>
          <w:numId w:val="16"/>
        </w:numPr>
        <w:spacing w:after="117"/>
        <w:ind w:right="14" w:hanging="231"/>
      </w:pPr>
      <w:r>
        <w:t>Public training events held at MongoDB facilities.</w:t>
      </w:r>
    </w:p>
    <w:p w:rsidR="00641207" w:rsidRDefault="00380829">
      <w:pPr>
        <w:numPr>
          <w:ilvl w:val="0"/>
          <w:numId w:val="16"/>
        </w:numPr>
        <w:ind w:right="14" w:hanging="231"/>
      </w:pPr>
      <w:r>
        <w:t xml:space="preserve">Private training customized to an organization’s </w:t>
      </w:r>
      <w:proofErr w:type="spellStart"/>
      <w:r>
        <w:t>speciTc</w:t>
      </w:r>
      <w:proofErr w:type="spellEnd"/>
      <w:r>
        <w:t xml:space="preserve"> requirements, delivered at their site.</w:t>
      </w:r>
    </w:p>
    <w:p w:rsidR="00641207" w:rsidRDefault="00380829">
      <w:pPr>
        <w:spacing w:after="525" w:line="265" w:lineRule="auto"/>
        <w:ind w:left="-5" w:hanging="10"/>
      </w:pPr>
      <w:hyperlink r:id="rId46">
        <w:r>
          <w:rPr>
            <w:color w:val="6CA438"/>
          </w:rPr>
          <w:t>Learn more</w:t>
        </w:r>
      </w:hyperlink>
      <w:r>
        <w:t>.</w:t>
      </w:r>
    </w:p>
    <w:p w:rsidR="00641207" w:rsidRDefault="00380829">
      <w:pPr>
        <w:pStyle w:val="Heading2"/>
        <w:ind w:left="-5"/>
      </w:pPr>
      <w:r>
        <w:t>Community Resources and Consulting</w:t>
      </w:r>
    </w:p>
    <w:p w:rsidR="00641207" w:rsidRDefault="00380829">
      <w:pPr>
        <w:ind w:left="-9" w:right="14"/>
      </w:pPr>
      <w:r>
        <w:t>In addition to training, there is a range of other resources and services that project teams can leverage:</w:t>
      </w:r>
    </w:p>
    <w:p w:rsidR="00641207" w:rsidRDefault="00380829">
      <w:pPr>
        <w:numPr>
          <w:ilvl w:val="0"/>
          <w:numId w:val="17"/>
        </w:numPr>
        <w:spacing w:after="114" w:line="296" w:lineRule="auto"/>
        <w:ind w:right="70" w:hanging="227"/>
      </w:pPr>
      <w:r>
        <w:t xml:space="preserve">Technical resources for the community are available through forums on </w:t>
      </w:r>
      <w:hyperlink r:id="rId47" w:anchor="community-support">
        <w:r>
          <w:rPr>
            <w:color w:val="6CA438"/>
          </w:rPr>
          <w:t xml:space="preserve">Google Groups, </w:t>
        </w:r>
        <w:proofErr w:type="spellStart"/>
        <w:r>
          <w:rPr>
            <w:color w:val="6CA438"/>
          </w:rPr>
          <w:t>StackOverUow</w:t>
        </w:r>
        <w:proofErr w:type="spellEnd"/>
        <w:r>
          <w:rPr>
            <w:color w:val="6CA438"/>
          </w:rPr>
          <w:t xml:space="preserve"> and </w:t>
        </w:r>
      </w:hyperlink>
      <w:hyperlink r:id="rId48" w:anchor="community-support">
        <w:r>
          <w:rPr>
            <w:color w:val="6CA438"/>
          </w:rPr>
          <w:t>IRC</w:t>
        </w:r>
      </w:hyperlink>
    </w:p>
    <w:p w:rsidR="00641207" w:rsidRDefault="00380829">
      <w:pPr>
        <w:numPr>
          <w:ilvl w:val="0"/>
          <w:numId w:val="17"/>
        </w:numPr>
        <w:ind w:right="70" w:hanging="227"/>
      </w:pPr>
      <w:r>
        <w:t xml:space="preserve">Consulting packages include health checks, custom consulting and access to dedicated Technical Account Managers. More details are available from the </w:t>
      </w:r>
      <w:hyperlink r:id="rId49">
        <w:r>
          <w:rPr>
            <w:color w:val="6CA438"/>
          </w:rPr>
          <w:t>MongoDB Consulting page</w:t>
        </w:r>
      </w:hyperlink>
      <w:r>
        <w:t>.</w:t>
      </w:r>
    </w:p>
    <w:p w:rsidR="00641207" w:rsidRDefault="00380829">
      <w:pPr>
        <w:pStyle w:val="Heading1"/>
        <w:ind w:left="-5"/>
      </w:pPr>
      <w:r>
        <w:t>Conclusion</w:t>
      </w:r>
    </w:p>
    <w:p w:rsidR="00641207" w:rsidRDefault="00380829">
      <w:pPr>
        <w:spacing w:after="558"/>
        <w:ind w:left="-9" w:right="14"/>
      </w:pPr>
      <w:r>
        <w:t xml:space="preserve">Following the best practices outlined in this guide can help project teams reduce the time and risk of database migrations, while enabling them to take advantage of the </w:t>
      </w:r>
      <w:proofErr w:type="spellStart"/>
      <w:r>
        <w:t>beneTts</w:t>
      </w:r>
      <w:proofErr w:type="spellEnd"/>
      <w:r>
        <w:t xml:space="preserve"> of MongoDB and the document model. In doing so, they can quickly start to realize a more agile, scalable and cost-effective infrastructure, innovating on applications that were </w:t>
      </w:r>
      <w:proofErr w:type="gramStart"/>
      <w:r>
        <w:t>never before</w:t>
      </w:r>
      <w:proofErr w:type="gramEnd"/>
      <w:r>
        <w:t xml:space="preserve"> possible.</w:t>
      </w:r>
    </w:p>
    <w:p w:rsidR="00641207" w:rsidRDefault="00380829">
      <w:pPr>
        <w:pStyle w:val="Heading1"/>
        <w:ind w:left="-5"/>
      </w:pPr>
      <w:r>
        <w:t>We Can Help</w:t>
      </w:r>
    </w:p>
    <w:p w:rsidR="00641207" w:rsidRDefault="00380829">
      <w:pPr>
        <w:ind w:left="-9" w:right="14"/>
      </w:pPr>
      <w:r>
        <w:t>We are the MongoDB experts. Over 2,000 organizations rely on our commercial products, including startups and more than a third of the Fortune 100. We offer software and services to make your life easier:</w:t>
      </w:r>
    </w:p>
    <w:p w:rsidR="00641207" w:rsidRDefault="00380829">
      <w:pPr>
        <w:ind w:left="-9" w:right="14"/>
      </w:pPr>
      <w:hyperlink r:id="rId50">
        <w:r>
          <w:rPr>
            <w:color w:val="6CA438"/>
          </w:rPr>
          <w:t>MongoDB Enterprise Advanced</w:t>
        </w:r>
      </w:hyperlink>
      <w:r>
        <w:rPr>
          <w:color w:val="6CA438"/>
        </w:rPr>
        <w:t xml:space="preserve"> </w:t>
      </w:r>
      <w:r>
        <w:t xml:space="preserve">is the best way to run MongoDB in your data center. It’s a </w:t>
      </w:r>
      <w:proofErr w:type="spellStart"/>
      <w:r>
        <w:t>Tnely</w:t>
      </w:r>
      <w:proofErr w:type="spellEnd"/>
      <w:r>
        <w:t xml:space="preserve">-tuned package of advanced software, support, </w:t>
      </w:r>
      <w:proofErr w:type="spellStart"/>
      <w:r>
        <w:t>certiTcations</w:t>
      </w:r>
      <w:proofErr w:type="spellEnd"/>
      <w:r>
        <w:t>, and other services designed for the way you do business.</w:t>
      </w:r>
    </w:p>
    <w:p w:rsidR="00641207" w:rsidRDefault="00380829">
      <w:pPr>
        <w:ind w:left="-9" w:right="14"/>
      </w:pPr>
      <w:hyperlink r:id="rId51">
        <w:r>
          <w:rPr>
            <w:color w:val="6CA438"/>
          </w:rPr>
          <w:t>MongoDB Atlas</w:t>
        </w:r>
      </w:hyperlink>
      <w:r>
        <w:rPr>
          <w:color w:val="6CA438"/>
        </w:rPr>
        <w:t xml:space="preserve"> </w:t>
      </w:r>
      <w:r>
        <w:t>is a database as a service for MongoDB, letting you focus on apps instead of ops. With MongoDB Atlas, you only pay for what you use with a convenient hourly billing model. With the click of a button, you can scale up and down when you need to, with no downtime, full security, and high performance.</w:t>
      </w:r>
    </w:p>
    <w:p w:rsidR="00641207" w:rsidRDefault="00380829">
      <w:pPr>
        <w:ind w:left="-9" w:right="14"/>
      </w:pPr>
      <w:hyperlink r:id="rId52">
        <w:r>
          <w:rPr>
            <w:color w:val="6CA438"/>
          </w:rPr>
          <w:t>MongoDB Cloud Manager</w:t>
        </w:r>
      </w:hyperlink>
      <w:r>
        <w:rPr>
          <w:color w:val="6CA438"/>
        </w:rPr>
        <w:t xml:space="preserve"> </w:t>
      </w:r>
      <w:r>
        <w:t xml:space="preserve">is a cloud-based tool that helps you manage MongoDB on your own infrastructure. With automated provisioning, </w:t>
      </w:r>
      <w:proofErr w:type="spellStart"/>
      <w:r>
        <w:t>Tne</w:t>
      </w:r>
      <w:proofErr w:type="spellEnd"/>
      <w:r>
        <w:t>-grained monitoring, and continuous backups, you get a full management suite that reduces operational overhead, while maintaining full control over your databases.</w:t>
      </w:r>
    </w:p>
    <w:p w:rsidR="00641207" w:rsidRDefault="00380829">
      <w:pPr>
        <w:ind w:left="-9" w:right="14"/>
      </w:pPr>
      <w:hyperlink r:id="rId53">
        <w:r>
          <w:rPr>
            <w:color w:val="6CA438"/>
          </w:rPr>
          <w:t>MongoDB Professional</w:t>
        </w:r>
      </w:hyperlink>
      <w:r>
        <w:rPr>
          <w:color w:val="6CA438"/>
        </w:rPr>
        <w:t xml:space="preserve"> </w:t>
      </w:r>
      <w:r>
        <w:t>helps you manage your deployment and keep it running smoothly. It includes support from MongoDB engineers, as well as access to MongoDB Cloud Manager.</w:t>
      </w:r>
    </w:p>
    <w:p w:rsidR="00641207" w:rsidRDefault="00380829">
      <w:pPr>
        <w:ind w:left="-9" w:right="14"/>
      </w:pPr>
      <w:hyperlink r:id="rId54">
        <w:r>
          <w:rPr>
            <w:color w:val="6CA438"/>
          </w:rPr>
          <w:t>Development Support</w:t>
        </w:r>
      </w:hyperlink>
      <w:r>
        <w:rPr>
          <w:color w:val="6CA438"/>
        </w:rPr>
        <w:t xml:space="preserve"> </w:t>
      </w:r>
      <w:r>
        <w:t>helps you get up and running quickly. It gives you a complete package of software and services for the early stages of your project.</w:t>
      </w:r>
    </w:p>
    <w:p w:rsidR="00641207" w:rsidRDefault="00380829">
      <w:pPr>
        <w:ind w:left="-9" w:right="190"/>
      </w:pPr>
      <w:hyperlink r:id="rId55">
        <w:r>
          <w:rPr>
            <w:color w:val="6CA438"/>
          </w:rPr>
          <w:t>MongoDB Consulting</w:t>
        </w:r>
      </w:hyperlink>
      <w:r>
        <w:rPr>
          <w:color w:val="6CA438"/>
        </w:rPr>
        <w:t xml:space="preserve"> </w:t>
      </w:r>
      <w:r>
        <w:t>packages get you to production faster, help you tune performance in production, help you scale, and free you up to focus on your next release.</w:t>
      </w:r>
    </w:p>
    <w:p w:rsidR="00641207" w:rsidRDefault="00380829">
      <w:pPr>
        <w:ind w:left="-9" w:right="257"/>
      </w:pPr>
      <w:hyperlink r:id="rId56">
        <w:r>
          <w:rPr>
            <w:color w:val="6CA438"/>
          </w:rPr>
          <w:t>MongoDB Training</w:t>
        </w:r>
      </w:hyperlink>
      <w:r>
        <w:rPr>
          <w:color w:val="6CA438"/>
        </w:rPr>
        <w:t xml:space="preserve"> </w:t>
      </w:r>
      <w:r>
        <w:t>helps you become a MongoDB expert, from design to operating mission-critical systems at scale. Whether you’re a developer, DBA, or architect, we can make you better at MongoDB.</w:t>
      </w:r>
    </w:p>
    <w:p w:rsidR="00641207" w:rsidRDefault="00380829">
      <w:pPr>
        <w:spacing w:after="565"/>
        <w:ind w:left="-9" w:right="14"/>
      </w:pPr>
      <w:hyperlink r:id="rId57">
        <w:r>
          <w:rPr>
            <w:color w:val="6CA438"/>
          </w:rPr>
          <w:t>Contact us</w:t>
        </w:r>
      </w:hyperlink>
      <w:r>
        <w:rPr>
          <w:color w:val="6CA438"/>
        </w:rPr>
        <w:t xml:space="preserve"> </w:t>
      </w:r>
      <w:r>
        <w:t xml:space="preserve">to learn more, or visit </w:t>
      </w:r>
      <w:hyperlink r:id="rId58">
        <w:r>
          <w:rPr>
            <w:color w:val="6CA438"/>
          </w:rPr>
          <w:t>mongodb.com</w:t>
        </w:r>
      </w:hyperlink>
      <w:r>
        <w:t>.</w:t>
      </w:r>
    </w:p>
    <w:p w:rsidR="00641207" w:rsidRDefault="00380829">
      <w:pPr>
        <w:pStyle w:val="Heading1"/>
        <w:ind w:left="-5"/>
      </w:pPr>
      <w:r>
        <w:t>Resources</w:t>
      </w:r>
    </w:p>
    <w:p w:rsidR="00641207" w:rsidRDefault="00380829">
      <w:pPr>
        <w:ind w:left="-9" w:right="122"/>
      </w:pPr>
      <w:r>
        <w:t xml:space="preserve">For more information, please visit </w:t>
      </w:r>
      <w:hyperlink r:id="rId59">
        <w:r>
          <w:rPr>
            <w:color w:val="6CA438"/>
          </w:rPr>
          <w:t>mongodb.com</w:t>
        </w:r>
      </w:hyperlink>
      <w:r>
        <w:rPr>
          <w:color w:val="6CA438"/>
        </w:rPr>
        <w:t xml:space="preserve"> </w:t>
      </w:r>
      <w:r>
        <w:t xml:space="preserve">or contact us at </w:t>
      </w:r>
      <w:r>
        <w:rPr>
          <w:color w:val="6CA438"/>
        </w:rPr>
        <w:t>sales@mongodb.com</w:t>
      </w:r>
      <w:r>
        <w:t>.</w:t>
      </w:r>
    </w:p>
    <w:p w:rsidR="00641207" w:rsidRDefault="00380829">
      <w:pPr>
        <w:spacing w:after="31" w:line="265" w:lineRule="auto"/>
        <w:ind w:left="-5" w:hanging="10"/>
      </w:pPr>
      <w:r>
        <w:t>Case Studies (</w:t>
      </w:r>
      <w:hyperlink r:id="rId60">
        <w:r>
          <w:rPr>
            <w:color w:val="6CA438"/>
          </w:rPr>
          <w:t>mongodb.com/customers</w:t>
        </w:r>
      </w:hyperlink>
      <w:r>
        <w:t>)</w:t>
      </w:r>
    </w:p>
    <w:p w:rsidR="00641207" w:rsidRDefault="00380829">
      <w:pPr>
        <w:spacing w:after="31" w:line="265" w:lineRule="auto"/>
        <w:ind w:left="-5" w:hanging="10"/>
      </w:pPr>
      <w:r>
        <w:t>Presentations (</w:t>
      </w:r>
      <w:hyperlink r:id="rId61">
        <w:r>
          <w:rPr>
            <w:color w:val="6CA438"/>
          </w:rPr>
          <w:t>mongodb.com/presentations</w:t>
        </w:r>
      </w:hyperlink>
      <w:r>
        <w:t>)</w:t>
      </w:r>
    </w:p>
    <w:p w:rsidR="00641207" w:rsidRDefault="00380829">
      <w:pPr>
        <w:spacing w:after="0"/>
        <w:ind w:left="-9" w:right="14"/>
      </w:pPr>
      <w:r>
        <w:t>Free Online Training (</w:t>
      </w:r>
      <w:hyperlink r:id="rId62">
        <w:r>
          <w:rPr>
            <w:color w:val="6CA438"/>
          </w:rPr>
          <w:t>university.mongodb.com</w:t>
        </w:r>
      </w:hyperlink>
      <w:r>
        <w:t>)</w:t>
      </w:r>
    </w:p>
    <w:p w:rsidR="00641207" w:rsidRDefault="00380829">
      <w:pPr>
        <w:spacing w:after="0"/>
        <w:ind w:left="-9" w:right="14"/>
      </w:pPr>
      <w:r>
        <w:t>Webinars and Events (</w:t>
      </w:r>
      <w:hyperlink r:id="rId63">
        <w:r>
          <w:rPr>
            <w:color w:val="6CA438"/>
          </w:rPr>
          <w:t>mongodb.com/events</w:t>
        </w:r>
      </w:hyperlink>
      <w:r>
        <w:t>)</w:t>
      </w:r>
    </w:p>
    <w:p w:rsidR="00641207" w:rsidRDefault="00380829">
      <w:pPr>
        <w:spacing w:after="0"/>
        <w:ind w:left="-9" w:right="14"/>
      </w:pPr>
      <w:r>
        <w:t>Documentation (</w:t>
      </w:r>
      <w:hyperlink r:id="rId64">
        <w:r>
          <w:rPr>
            <w:color w:val="6CA438"/>
          </w:rPr>
          <w:t>docs.mongodb.com</w:t>
        </w:r>
      </w:hyperlink>
      <w:r>
        <w:t>)</w:t>
      </w:r>
    </w:p>
    <w:p w:rsidR="00641207" w:rsidRDefault="00380829">
      <w:pPr>
        <w:spacing w:after="0"/>
        <w:ind w:left="-9" w:right="14"/>
      </w:pPr>
      <w:r>
        <w:t>MongoDB Enterprise Download (</w:t>
      </w:r>
      <w:hyperlink r:id="rId65">
        <w:r>
          <w:rPr>
            <w:color w:val="6CA438"/>
          </w:rPr>
          <w:t>mongodb.com/download</w:t>
        </w:r>
      </w:hyperlink>
      <w:r>
        <w:t>)</w:t>
      </w:r>
    </w:p>
    <w:p w:rsidR="00641207" w:rsidRDefault="00380829">
      <w:pPr>
        <w:spacing w:after="0"/>
        <w:ind w:left="-9" w:right="14"/>
      </w:pPr>
      <w:r>
        <w:t>MongoDB Atlas database as a service for MongoDB</w:t>
      </w:r>
    </w:p>
    <w:p w:rsidR="00641207" w:rsidRDefault="00380829">
      <w:pPr>
        <w:spacing w:after="5311" w:line="265" w:lineRule="auto"/>
        <w:ind w:left="-5" w:hanging="10"/>
      </w:pPr>
      <w:r>
        <w:t>(</w:t>
      </w:r>
      <w:hyperlink r:id="rId66">
        <w:r>
          <w:rPr>
            <w:color w:val="6CA438"/>
          </w:rPr>
          <w:t>mongodb.com/cloud</w:t>
        </w:r>
      </w:hyperlink>
      <w:r>
        <w:t>)</w:t>
      </w:r>
    </w:p>
    <w:p w:rsidR="00641207" w:rsidRDefault="00380829">
      <w:pPr>
        <w:spacing w:after="244" w:line="259" w:lineRule="auto"/>
        <w:ind w:left="0" w:firstLine="0"/>
      </w:pPr>
      <w:r>
        <w:rPr>
          <w:noProof/>
        </w:rPr>
        <w:drawing>
          <wp:inline distT="0" distB="0" distL="0" distR="0">
            <wp:extent cx="762000" cy="217391"/>
            <wp:effectExtent l="0" t="0" r="0" b="0"/>
            <wp:docPr id="3023" name="Picture 3023"/>
            <wp:cNvGraphicFramePr/>
            <a:graphic xmlns:a="http://schemas.openxmlformats.org/drawingml/2006/main">
              <a:graphicData uri="http://schemas.openxmlformats.org/drawingml/2006/picture">
                <pic:pic xmlns:pic="http://schemas.openxmlformats.org/drawingml/2006/picture">
                  <pic:nvPicPr>
                    <pic:cNvPr id="3023" name="Picture 3023"/>
                    <pic:cNvPicPr/>
                  </pic:nvPicPr>
                  <pic:blipFill>
                    <a:blip r:embed="rId7"/>
                    <a:stretch>
                      <a:fillRect/>
                    </a:stretch>
                  </pic:blipFill>
                  <pic:spPr>
                    <a:xfrm>
                      <a:off x="0" y="0"/>
                      <a:ext cx="762000" cy="217391"/>
                    </a:xfrm>
                    <a:prstGeom prst="rect">
                      <a:avLst/>
                    </a:prstGeom>
                  </pic:spPr>
                </pic:pic>
              </a:graphicData>
            </a:graphic>
          </wp:inline>
        </w:drawing>
      </w:r>
    </w:p>
    <w:p w:rsidR="00641207" w:rsidRDefault="00380829">
      <w:pPr>
        <w:spacing w:after="0" w:line="253" w:lineRule="auto"/>
        <w:ind w:left="0" w:firstLine="0"/>
      </w:pPr>
      <w:r>
        <w:rPr>
          <w:sz w:val="14"/>
        </w:rPr>
        <w:t>New York • Palo Alto • Washington, D.C. • London • Dublin • Barcelona • Sydney • Tel Aviv US 866-237-8815 • INTL +1-650-440-4474 • info@mongodb.com © 2016 MongoDB, Inc. All rights reserved.</w:t>
      </w:r>
    </w:p>
    <w:sectPr w:rsidR="00641207">
      <w:type w:val="continuous"/>
      <w:pgSz w:w="12240" w:h="15840"/>
      <w:pgMar w:top="750" w:right="976" w:bottom="1037" w:left="975" w:header="720" w:footer="720" w:gutter="0"/>
      <w:cols w:num="2" w:space="4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B73" w:rsidRDefault="00E30B73">
      <w:pPr>
        <w:spacing w:after="0" w:line="240" w:lineRule="auto"/>
      </w:pPr>
      <w:r>
        <w:separator/>
      </w:r>
    </w:p>
  </w:endnote>
  <w:endnote w:type="continuationSeparator" w:id="0">
    <w:p w:rsidR="00E30B73" w:rsidRDefault="00E30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0" w:line="259" w:lineRule="auto"/>
      <w:ind w:left="0" w:right="-20" w:firstLine="0"/>
      <w:jc w:val="right"/>
    </w:pPr>
    <w:r>
      <w:fldChar w:fldCharType="begin"/>
    </w:r>
    <w:r>
      <w:instrText xml:space="preserve"> PAGE   \* MERGEFORMAT </w:instrText>
    </w:r>
    <w:r>
      <w:fldChar w:fldCharType="separate"/>
    </w:r>
    <w:r>
      <w:rPr>
        <w:color w:val="000000"/>
        <w:sz w:val="16"/>
      </w:rPr>
      <w:t>1</w:t>
    </w:r>
    <w:r>
      <w:rPr>
        <w:color w:val="000000"/>
        <w:sz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0" w:line="259" w:lineRule="auto"/>
      <w:ind w:left="0" w:right="-20" w:firstLine="0"/>
      <w:jc w:val="right"/>
    </w:pPr>
    <w:r>
      <w:fldChar w:fldCharType="begin"/>
    </w:r>
    <w:r>
      <w:instrText xml:space="preserve"> PAGE   \* MERGEFORMAT </w:instrText>
    </w:r>
    <w:r>
      <w:fldChar w:fldCharType="separate"/>
    </w:r>
    <w:r w:rsidR="00661436" w:rsidRPr="00661436">
      <w:rPr>
        <w:noProof/>
        <w:color w:val="000000"/>
        <w:sz w:val="16"/>
      </w:rPr>
      <w:t>18</w:t>
    </w:r>
    <w:r>
      <w:rPr>
        <w:color w:val="000000"/>
        <w:sz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829" w:rsidRDefault="00380829">
    <w:pPr>
      <w:spacing w:after="0" w:line="259" w:lineRule="auto"/>
      <w:ind w:left="0" w:right="-20" w:firstLine="0"/>
      <w:jc w:val="right"/>
    </w:pPr>
    <w:r>
      <w:fldChar w:fldCharType="begin"/>
    </w:r>
    <w:r>
      <w:instrText xml:space="preserve"> PAGE   \* MERGEFORMAT </w:instrText>
    </w:r>
    <w:r>
      <w:fldChar w:fldCharType="separate"/>
    </w:r>
    <w:r>
      <w:rPr>
        <w:color w:val="000000"/>
        <w:sz w:val="16"/>
      </w:rPr>
      <w:t>1</w:t>
    </w:r>
    <w:r>
      <w:rPr>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B73" w:rsidRDefault="00E30B73">
      <w:pPr>
        <w:spacing w:after="0" w:line="240" w:lineRule="auto"/>
      </w:pPr>
      <w:r>
        <w:separator/>
      </w:r>
    </w:p>
  </w:footnote>
  <w:footnote w:type="continuationSeparator" w:id="0">
    <w:p w:rsidR="00E30B73" w:rsidRDefault="00E30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684D"/>
    <w:multiLevelType w:val="hybridMultilevel"/>
    <w:tmpl w:val="25E2CD6A"/>
    <w:lvl w:ilvl="0" w:tplc="0E6A4FA4">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B3E04A36">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8012B4B2">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A0241DFA">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7958B402">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2BAE3B6A">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CE505E54">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1DEA0E8C">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764E2F52">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 w15:restartNumberingAfterBreak="0">
    <w:nsid w:val="08BB21FB"/>
    <w:multiLevelType w:val="hybridMultilevel"/>
    <w:tmpl w:val="80CEF23E"/>
    <w:lvl w:ilvl="0" w:tplc="CBEA6E9C">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B8567540">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A4524B6E">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3508CF10">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54C8D5B4">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186E77B4">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9984039C">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CF86FF5A">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B77A3C66">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2" w15:restartNumberingAfterBreak="0">
    <w:nsid w:val="0D523DFA"/>
    <w:multiLevelType w:val="hybridMultilevel"/>
    <w:tmpl w:val="B3241C66"/>
    <w:lvl w:ilvl="0" w:tplc="D2C2E8F8">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22E041D8">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4AEEE87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97B8FD76">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4BB84798">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FCF03F2E">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2F7AE8BA">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E3A84B5E">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EAD800F0">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3" w15:restartNumberingAfterBreak="0">
    <w:nsid w:val="1354408F"/>
    <w:multiLevelType w:val="hybridMultilevel"/>
    <w:tmpl w:val="FB9665A8"/>
    <w:lvl w:ilvl="0" w:tplc="45A4FAE0">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2034E486">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960CDAB4">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A78C5404">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A328DB06">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23665656">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AAA61AB2">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9E4C570C">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C062ECB4">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4" w15:restartNumberingAfterBreak="0">
    <w:nsid w:val="21B26A68"/>
    <w:multiLevelType w:val="hybridMultilevel"/>
    <w:tmpl w:val="E6B09D5E"/>
    <w:lvl w:ilvl="0" w:tplc="8AA0C1DA">
      <w:start w:val="1"/>
      <w:numFmt w:val="decimal"/>
      <w:lvlText w:val="%1."/>
      <w:lvlJc w:val="left"/>
      <w:pPr>
        <w:ind w:left="31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65FE4E60">
      <w:start w:val="1"/>
      <w:numFmt w:val="lowerLetter"/>
      <w:lvlText w:val="%2"/>
      <w:lvlJc w:val="left"/>
      <w:pPr>
        <w:ind w:left="108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16DC5E68">
      <w:start w:val="1"/>
      <w:numFmt w:val="lowerRoman"/>
      <w:lvlText w:val="%3"/>
      <w:lvlJc w:val="left"/>
      <w:pPr>
        <w:ind w:left="180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406487C0">
      <w:start w:val="1"/>
      <w:numFmt w:val="decimal"/>
      <w:lvlText w:val="%4"/>
      <w:lvlJc w:val="left"/>
      <w:pPr>
        <w:ind w:left="252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5BB80504">
      <w:start w:val="1"/>
      <w:numFmt w:val="lowerLetter"/>
      <w:lvlText w:val="%5"/>
      <w:lvlJc w:val="left"/>
      <w:pPr>
        <w:ind w:left="324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BC4EACEA">
      <w:start w:val="1"/>
      <w:numFmt w:val="lowerRoman"/>
      <w:lvlText w:val="%6"/>
      <w:lvlJc w:val="left"/>
      <w:pPr>
        <w:ind w:left="396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19345FD2">
      <w:start w:val="1"/>
      <w:numFmt w:val="decimal"/>
      <w:lvlText w:val="%7"/>
      <w:lvlJc w:val="left"/>
      <w:pPr>
        <w:ind w:left="468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73422BE8">
      <w:start w:val="1"/>
      <w:numFmt w:val="lowerLetter"/>
      <w:lvlText w:val="%8"/>
      <w:lvlJc w:val="left"/>
      <w:pPr>
        <w:ind w:left="540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A7CE0938">
      <w:start w:val="1"/>
      <w:numFmt w:val="lowerRoman"/>
      <w:lvlText w:val="%9"/>
      <w:lvlJc w:val="left"/>
      <w:pPr>
        <w:ind w:left="612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5" w15:restartNumberingAfterBreak="0">
    <w:nsid w:val="2D0A1B2E"/>
    <w:multiLevelType w:val="hybridMultilevel"/>
    <w:tmpl w:val="D6D6686A"/>
    <w:lvl w:ilvl="0" w:tplc="10144B5C">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6FAED13E">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B73C1F2E">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AB3A3F12">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EDCC316C">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593854A6">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C52CBDA0">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56DED6D4">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2A9E53BA">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6" w15:restartNumberingAfterBreak="0">
    <w:nsid w:val="2EAB1760"/>
    <w:multiLevelType w:val="hybridMultilevel"/>
    <w:tmpl w:val="F5321DE2"/>
    <w:lvl w:ilvl="0" w:tplc="B4943D8C">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8332B61C">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CBC61138">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0B52B226">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DF9278EA">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345E7E8E">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6EFC4504">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051A2364">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F6B2B02C">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7" w15:restartNumberingAfterBreak="0">
    <w:nsid w:val="31780A2C"/>
    <w:multiLevelType w:val="hybridMultilevel"/>
    <w:tmpl w:val="CF5A2B68"/>
    <w:lvl w:ilvl="0" w:tplc="8586D6DE">
      <w:start w:val="1"/>
      <w:numFmt w:val="bullet"/>
      <w:lvlText w:val="•"/>
      <w:lvlJc w:val="left"/>
      <w:pPr>
        <w:ind w:left="236"/>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902C7010">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A2B47FC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7E68BDC6">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DF8C9936">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4D9227EE">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62FE35F0">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872E6544">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71204402">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8" w15:restartNumberingAfterBreak="0">
    <w:nsid w:val="3A2A0CA2"/>
    <w:multiLevelType w:val="hybridMultilevel"/>
    <w:tmpl w:val="A1DC16AA"/>
    <w:lvl w:ilvl="0" w:tplc="D3B0C328">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8E281880">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58A04FE8">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E8B27384">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05DE6D40">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C666CDC2">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19461206">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CF7C5DE2">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381ABE10">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9" w15:restartNumberingAfterBreak="0">
    <w:nsid w:val="3AC0205C"/>
    <w:multiLevelType w:val="hybridMultilevel"/>
    <w:tmpl w:val="3DC28972"/>
    <w:lvl w:ilvl="0" w:tplc="817AC748">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8FEE1E7C">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01FA1D1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44585118">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7E3E6CAE">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E7A8DF1E">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1004BB54">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15C456A4">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546E5BC8">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0" w15:restartNumberingAfterBreak="0">
    <w:nsid w:val="45643DB1"/>
    <w:multiLevelType w:val="hybridMultilevel"/>
    <w:tmpl w:val="E6C6F536"/>
    <w:lvl w:ilvl="0" w:tplc="CE24E0C2">
      <w:start w:val="1"/>
      <w:numFmt w:val="bullet"/>
      <w:lvlText w:val="•"/>
      <w:lvlJc w:val="left"/>
      <w:pPr>
        <w:ind w:left="31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11A41054">
      <w:start w:val="1"/>
      <w:numFmt w:val="bullet"/>
      <w:lvlText w:val="o"/>
      <w:lvlJc w:val="left"/>
      <w:pPr>
        <w:ind w:left="116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ADF06886">
      <w:start w:val="1"/>
      <w:numFmt w:val="bullet"/>
      <w:lvlText w:val="▪"/>
      <w:lvlJc w:val="left"/>
      <w:pPr>
        <w:ind w:left="188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5F384222">
      <w:start w:val="1"/>
      <w:numFmt w:val="bullet"/>
      <w:lvlText w:val="•"/>
      <w:lvlJc w:val="left"/>
      <w:pPr>
        <w:ind w:left="260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70AC1A9A">
      <w:start w:val="1"/>
      <w:numFmt w:val="bullet"/>
      <w:lvlText w:val="o"/>
      <w:lvlJc w:val="left"/>
      <w:pPr>
        <w:ind w:left="332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D60E71D0">
      <w:start w:val="1"/>
      <w:numFmt w:val="bullet"/>
      <w:lvlText w:val="▪"/>
      <w:lvlJc w:val="left"/>
      <w:pPr>
        <w:ind w:left="404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B29EC82A">
      <w:start w:val="1"/>
      <w:numFmt w:val="bullet"/>
      <w:lvlText w:val="•"/>
      <w:lvlJc w:val="left"/>
      <w:pPr>
        <w:ind w:left="476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A3045372">
      <w:start w:val="1"/>
      <w:numFmt w:val="bullet"/>
      <w:lvlText w:val="o"/>
      <w:lvlJc w:val="left"/>
      <w:pPr>
        <w:ind w:left="548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93D014D6">
      <w:start w:val="1"/>
      <w:numFmt w:val="bullet"/>
      <w:lvlText w:val="▪"/>
      <w:lvlJc w:val="left"/>
      <w:pPr>
        <w:ind w:left="620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1" w15:restartNumberingAfterBreak="0">
    <w:nsid w:val="471E1757"/>
    <w:multiLevelType w:val="hybridMultilevel"/>
    <w:tmpl w:val="3EF48D4E"/>
    <w:lvl w:ilvl="0" w:tplc="5EEC1E4A">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493E4042">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AB405AF8">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57DCFD08">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BAEC7688">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B1742ECA">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597AF56C">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CE1E10FE">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1E3C37D8">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2" w15:restartNumberingAfterBreak="0">
    <w:nsid w:val="4DDF2293"/>
    <w:multiLevelType w:val="hybridMultilevel"/>
    <w:tmpl w:val="3B3CED7C"/>
    <w:lvl w:ilvl="0" w:tplc="42DEC3BE">
      <w:start w:val="1"/>
      <w:numFmt w:val="decimal"/>
      <w:lvlText w:val="%1."/>
      <w:lvlJc w:val="left"/>
      <w:pPr>
        <w:ind w:left="31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02526294">
      <w:start w:val="1"/>
      <w:numFmt w:val="lowerLetter"/>
      <w:lvlText w:val="%2"/>
      <w:lvlJc w:val="left"/>
      <w:pPr>
        <w:ind w:left="108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1E785C6A">
      <w:start w:val="1"/>
      <w:numFmt w:val="lowerRoman"/>
      <w:lvlText w:val="%3"/>
      <w:lvlJc w:val="left"/>
      <w:pPr>
        <w:ind w:left="180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DD780670">
      <w:start w:val="1"/>
      <w:numFmt w:val="decimal"/>
      <w:lvlText w:val="%4"/>
      <w:lvlJc w:val="left"/>
      <w:pPr>
        <w:ind w:left="252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4E3CED40">
      <w:start w:val="1"/>
      <w:numFmt w:val="lowerLetter"/>
      <w:lvlText w:val="%5"/>
      <w:lvlJc w:val="left"/>
      <w:pPr>
        <w:ind w:left="324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5122DD72">
      <w:start w:val="1"/>
      <w:numFmt w:val="lowerRoman"/>
      <w:lvlText w:val="%6"/>
      <w:lvlJc w:val="left"/>
      <w:pPr>
        <w:ind w:left="396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F9B6404A">
      <w:start w:val="1"/>
      <w:numFmt w:val="decimal"/>
      <w:lvlText w:val="%7"/>
      <w:lvlJc w:val="left"/>
      <w:pPr>
        <w:ind w:left="468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E49CF82E">
      <w:start w:val="1"/>
      <w:numFmt w:val="lowerLetter"/>
      <w:lvlText w:val="%8"/>
      <w:lvlJc w:val="left"/>
      <w:pPr>
        <w:ind w:left="540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8C703762">
      <w:start w:val="1"/>
      <w:numFmt w:val="lowerRoman"/>
      <w:lvlText w:val="%9"/>
      <w:lvlJc w:val="left"/>
      <w:pPr>
        <w:ind w:left="6120"/>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3" w15:restartNumberingAfterBreak="0">
    <w:nsid w:val="52112622"/>
    <w:multiLevelType w:val="hybridMultilevel"/>
    <w:tmpl w:val="661EF2CC"/>
    <w:lvl w:ilvl="0" w:tplc="46AA44E8">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CAE65848">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55F0539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19482D76">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8606F8F4">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31D4202A">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5E8A6B9C">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B174426C">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AD147B22">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4" w15:restartNumberingAfterBreak="0">
    <w:nsid w:val="55057568"/>
    <w:multiLevelType w:val="hybridMultilevel"/>
    <w:tmpl w:val="C5780F8A"/>
    <w:lvl w:ilvl="0" w:tplc="6C489C1A">
      <w:start w:val="1"/>
      <w:numFmt w:val="bullet"/>
      <w:lvlText w:val="•"/>
      <w:lvlJc w:val="left"/>
      <w:pPr>
        <w:ind w:left="231"/>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277891F8">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5B5C4B5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AE8CDCB4">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97DEBC82">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50486EA4">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0C1E2F38">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E0D4BF62">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9DF084AC">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5" w15:restartNumberingAfterBreak="0">
    <w:nsid w:val="63212646"/>
    <w:multiLevelType w:val="hybridMultilevel"/>
    <w:tmpl w:val="182C9CF0"/>
    <w:lvl w:ilvl="0" w:tplc="517C8E46">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7884CA7C">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9A4605B0">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96C45F2A">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250A3DFC">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35F080D6">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381622F8">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0E7C1B40">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D92267FC">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abstractNum w:abstractNumId="16" w15:restartNumberingAfterBreak="0">
    <w:nsid w:val="7CB33D81"/>
    <w:multiLevelType w:val="hybridMultilevel"/>
    <w:tmpl w:val="860E6B8A"/>
    <w:lvl w:ilvl="0" w:tplc="1D5EFDA0">
      <w:start w:val="1"/>
      <w:numFmt w:val="bullet"/>
      <w:lvlText w:val="•"/>
      <w:lvlJc w:val="left"/>
      <w:pPr>
        <w:ind w:left="227"/>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1" w:tplc="978A1B7E">
      <w:start w:val="1"/>
      <w:numFmt w:val="bullet"/>
      <w:lvlText w:val="o"/>
      <w:lvlJc w:val="left"/>
      <w:pPr>
        <w:ind w:left="11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2" w:tplc="F208A618">
      <w:start w:val="1"/>
      <w:numFmt w:val="bullet"/>
      <w:lvlText w:val="▪"/>
      <w:lvlJc w:val="left"/>
      <w:pPr>
        <w:ind w:left="18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3" w:tplc="9B327AF0">
      <w:start w:val="1"/>
      <w:numFmt w:val="bullet"/>
      <w:lvlText w:val="•"/>
      <w:lvlJc w:val="left"/>
      <w:pPr>
        <w:ind w:left="25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4" w:tplc="F0185758">
      <w:start w:val="1"/>
      <w:numFmt w:val="bullet"/>
      <w:lvlText w:val="o"/>
      <w:lvlJc w:val="left"/>
      <w:pPr>
        <w:ind w:left="327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5" w:tplc="4BE01DB4">
      <w:start w:val="1"/>
      <w:numFmt w:val="bullet"/>
      <w:lvlText w:val="▪"/>
      <w:lvlJc w:val="left"/>
      <w:pPr>
        <w:ind w:left="399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6" w:tplc="C6B2201C">
      <w:start w:val="1"/>
      <w:numFmt w:val="bullet"/>
      <w:lvlText w:val="•"/>
      <w:lvlJc w:val="left"/>
      <w:pPr>
        <w:ind w:left="471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7" w:tplc="1908C33C">
      <w:start w:val="1"/>
      <w:numFmt w:val="bullet"/>
      <w:lvlText w:val="o"/>
      <w:lvlJc w:val="left"/>
      <w:pPr>
        <w:ind w:left="543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lvl w:ilvl="8" w:tplc="47EEEA7E">
      <w:start w:val="1"/>
      <w:numFmt w:val="bullet"/>
      <w:lvlText w:val="▪"/>
      <w:lvlJc w:val="left"/>
      <w:pPr>
        <w:ind w:left="6153"/>
      </w:pPr>
      <w:rPr>
        <w:rFonts w:ascii="Calibri" w:eastAsia="Calibri" w:hAnsi="Calibri" w:cs="Calibri"/>
        <w:b w:val="0"/>
        <w:i w:val="0"/>
        <w:strike w:val="0"/>
        <w:dstrike w:val="0"/>
        <w:color w:val="221F1F"/>
        <w:sz w:val="20"/>
        <w:szCs w:val="20"/>
        <w:u w:val="none" w:color="000000"/>
        <w:bdr w:val="none" w:sz="0" w:space="0" w:color="auto"/>
        <w:shd w:val="clear" w:color="auto" w:fill="auto"/>
        <w:vertAlign w:val="baseline"/>
      </w:rPr>
    </w:lvl>
  </w:abstractNum>
  <w:num w:numId="1">
    <w:abstractNumId w:val="16"/>
  </w:num>
  <w:num w:numId="2">
    <w:abstractNumId w:val="10"/>
  </w:num>
  <w:num w:numId="3">
    <w:abstractNumId w:val="12"/>
  </w:num>
  <w:num w:numId="4">
    <w:abstractNumId w:val="3"/>
  </w:num>
  <w:num w:numId="5">
    <w:abstractNumId w:val="5"/>
  </w:num>
  <w:num w:numId="6">
    <w:abstractNumId w:val="11"/>
  </w:num>
  <w:num w:numId="7">
    <w:abstractNumId w:val="15"/>
  </w:num>
  <w:num w:numId="8">
    <w:abstractNumId w:val="13"/>
  </w:num>
  <w:num w:numId="9">
    <w:abstractNumId w:val="4"/>
  </w:num>
  <w:num w:numId="10">
    <w:abstractNumId w:val="1"/>
  </w:num>
  <w:num w:numId="11">
    <w:abstractNumId w:val="6"/>
  </w:num>
  <w:num w:numId="12">
    <w:abstractNumId w:val="2"/>
  </w:num>
  <w:num w:numId="13">
    <w:abstractNumId w:val="9"/>
  </w:num>
  <w:num w:numId="14">
    <w:abstractNumId w:val="8"/>
  </w:num>
  <w:num w:numId="15">
    <w:abstractNumId w:val="0"/>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207"/>
    <w:rsid w:val="00380829"/>
    <w:rsid w:val="005E20D8"/>
    <w:rsid w:val="00641207"/>
    <w:rsid w:val="00661436"/>
    <w:rsid w:val="00C50E25"/>
    <w:rsid w:val="00CA32FF"/>
    <w:rsid w:val="00E30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35026-5B44-4C85-B9D2-B5490E3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3" w:line="307" w:lineRule="auto"/>
      <w:ind w:left="6" w:hanging="6"/>
    </w:pPr>
    <w:rPr>
      <w:rFonts w:ascii="Calibri" w:eastAsia="Calibri" w:hAnsi="Calibri" w:cs="Calibri"/>
      <w:color w:val="221F1F"/>
      <w:sz w:val="20"/>
    </w:rPr>
  </w:style>
  <w:style w:type="paragraph" w:styleId="Heading1">
    <w:name w:val="heading 1"/>
    <w:next w:val="Normal"/>
    <w:link w:val="Heading1Char"/>
    <w:uiPriority w:val="9"/>
    <w:unhideWhenUsed/>
    <w:qFormat/>
    <w:pPr>
      <w:keepNext/>
      <w:keepLines/>
      <w:spacing w:after="311" w:line="248" w:lineRule="auto"/>
      <w:ind w:left="10" w:hanging="10"/>
      <w:outlineLvl w:val="0"/>
    </w:pPr>
    <w:rPr>
      <w:rFonts w:ascii="Calibri" w:eastAsia="Calibri" w:hAnsi="Calibri" w:cs="Calibri"/>
      <w:color w:val="221F1F"/>
      <w:sz w:val="36"/>
    </w:rPr>
  </w:style>
  <w:style w:type="paragraph" w:styleId="Heading2">
    <w:name w:val="heading 2"/>
    <w:next w:val="Normal"/>
    <w:link w:val="Heading2Char"/>
    <w:uiPriority w:val="9"/>
    <w:unhideWhenUsed/>
    <w:qFormat/>
    <w:pPr>
      <w:keepNext/>
      <w:keepLines/>
      <w:spacing w:after="119" w:line="248" w:lineRule="auto"/>
      <w:ind w:left="10" w:hanging="10"/>
      <w:outlineLvl w:val="1"/>
    </w:pPr>
    <w:rPr>
      <w:rFonts w:ascii="Calibri" w:eastAsia="Calibri" w:hAnsi="Calibri" w:cs="Calibri"/>
      <w:color w:val="221F1F"/>
      <w:sz w:val="28"/>
    </w:rPr>
  </w:style>
  <w:style w:type="paragraph" w:styleId="Heading3">
    <w:name w:val="heading 3"/>
    <w:next w:val="Normal"/>
    <w:link w:val="Heading3Char"/>
    <w:uiPriority w:val="9"/>
    <w:unhideWhenUsed/>
    <w:qFormat/>
    <w:pPr>
      <w:keepNext/>
      <w:keepLines/>
      <w:spacing w:after="145"/>
      <w:ind w:left="10" w:hanging="10"/>
      <w:outlineLvl w:val="2"/>
    </w:pPr>
    <w:rPr>
      <w:rFonts w:ascii="Calibri" w:eastAsia="Calibri" w:hAnsi="Calibri" w:cs="Calibri"/>
      <w:color w:val="221F1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21F1F"/>
      <w:sz w:val="24"/>
    </w:rPr>
  </w:style>
  <w:style w:type="character" w:customStyle="1" w:styleId="Heading2Char">
    <w:name w:val="Heading 2 Char"/>
    <w:link w:val="Heading2"/>
    <w:rPr>
      <w:rFonts w:ascii="Calibri" w:eastAsia="Calibri" w:hAnsi="Calibri" w:cs="Calibri"/>
      <w:color w:val="221F1F"/>
      <w:sz w:val="28"/>
    </w:rPr>
  </w:style>
  <w:style w:type="character" w:customStyle="1" w:styleId="Heading1Char">
    <w:name w:val="Heading 1 Char"/>
    <w:link w:val="Heading1"/>
    <w:rPr>
      <w:rFonts w:ascii="Calibri" w:eastAsia="Calibri" w:hAnsi="Calibri" w:cs="Calibri"/>
      <w:color w:val="221F1F"/>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docs.mongodb.com/manual/aggregation/" TargetMode="External"/><Relationship Id="rId26" Type="http://schemas.openxmlformats.org/officeDocument/2006/relationships/hyperlink" Target="https://www.mongodb.com/products/cloud-manager" TargetMode="External"/><Relationship Id="rId39" Type="http://schemas.openxmlformats.org/officeDocument/2006/relationships/hyperlink" Target="http://docs.mongodb.com/manual/core/write-concern/" TargetMode="External"/><Relationship Id="rId21" Type="http://schemas.openxmlformats.org/officeDocument/2006/relationships/hyperlink" Target="http://www.mongodb.com/lp/whitepaper/nosql-oracle-migration-mongodb" TargetMode="External"/><Relationship Id="rId34" Type="http://schemas.openxmlformats.org/officeDocument/2006/relationships/image" Target="media/image6.png"/><Relationship Id="rId42" Type="http://schemas.openxmlformats.org/officeDocument/2006/relationships/hyperlink" Target="http://www.mongodb.com/presentations/webinar-mongodb-migration-patterns-how-customers-start-using-mongodb" TargetMode="External"/><Relationship Id="rId47" Type="http://schemas.openxmlformats.org/officeDocument/2006/relationships/hyperlink" Target="https://www.mongodb.com/about/support/" TargetMode="External"/><Relationship Id="rId50" Type="http://schemas.openxmlformats.org/officeDocument/2006/relationships/hyperlink" Target="https://www.mongodb.com/products/mongodb-enterprise-advanced" TargetMode="External"/><Relationship Id="rId55" Type="http://schemas.openxmlformats.org/officeDocument/2006/relationships/hyperlink" Target="https://www.mongodb.com/products/consulting" TargetMode="External"/><Relationship Id="rId63" Type="http://schemas.openxmlformats.org/officeDocument/2006/relationships/hyperlink" Target="http://mongodb.com/events" TargetMode="Externa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docs.mongodb.com/ecosystem/driv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mongodb.com/manual/" TargetMode="External"/><Relationship Id="rId24" Type="http://schemas.openxmlformats.org/officeDocument/2006/relationships/hyperlink" Target="https://www.mongodb.com/products/ops-manager" TargetMode="External"/><Relationship Id="rId32" Type="http://schemas.openxmlformats.org/officeDocument/2006/relationships/hyperlink" Target="http://docs.mongodb.com/manual/reference/operator/" TargetMode="External"/><Relationship Id="rId37" Type="http://schemas.openxmlformats.org/officeDocument/2006/relationships/hyperlink" Target="https://docs.mongodb.com/manual/core/read-preference/" TargetMode="External"/><Relationship Id="rId40" Type="http://schemas.openxmlformats.org/officeDocument/2006/relationships/hyperlink" Target="http://docs.mongodb.com/manual/tutorial/create-a-unique-index/" TargetMode="External"/><Relationship Id="rId45" Type="http://schemas.openxmlformats.org/officeDocument/2006/relationships/hyperlink" Target="https://www.mongodb.com/cloud" TargetMode="External"/><Relationship Id="rId53" Type="http://schemas.openxmlformats.org/officeDocument/2006/relationships/hyperlink" Target="https://www.mongodb.com/products/mongodb-professional" TargetMode="External"/><Relationship Id="rId58" Type="http://schemas.openxmlformats.org/officeDocument/2006/relationships/hyperlink" Target="https://www.mongodb.com/" TargetMode="External"/><Relationship Id="rId66" Type="http://schemas.openxmlformats.org/officeDocument/2006/relationships/hyperlink" Target="https://www.mongodb.com/cloud" TargetMode="Externa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hyperlink" Target="http://docs.mongodb.com/manual/core/data-modeling/" TargetMode="External"/><Relationship Id="rId28" Type="http://schemas.openxmlformats.org/officeDocument/2006/relationships/hyperlink" Target="http://docs.mongodb.com/ecosystem/drivers/" TargetMode="External"/><Relationship Id="rId36" Type="http://schemas.openxmlformats.org/officeDocument/2006/relationships/hyperlink" Target="http://docs.mongodb.com/manual/tutorial/perform-two-phase-commits/" TargetMode="External"/><Relationship Id="rId49" Type="http://schemas.openxmlformats.org/officeDocument/2006/relationships/hyperlink" Target="https://www.mongodb.com/products/consulting" TargetMode="External"/><Relationship Id="rId57" Type="http://schemas.openxmlformats.org/officeDocument/2006/relationships/hyperlink" Target="https://www.mongodb.com/contact" TargetMode="External"/><Relationship Id="rId61" Type="http://schemas.openxmlformats.org/officeDocument/2006/relationships/hyperlink" Target="http://mongodb.com/presentations" TargetMode="External"/><Relationship Id="rId10" Type="http://schemas.openxmlformats.org/officeDocument/2006/relationships/footer" Target="footer3.xml"/><Relationship Id="rId19" Type="http://schemas.openxmlformats.org/officeDocument/2006/relationships/hyperlink" Target="https://www.mongodb.com/blog/post/joins-and-other-aggregation-enhancements-coming-in-mongodb-3-2-part-1-of-3-introduction" TargetMode="External"/><Relationship Id="rId31" Type="http://schemas.openxmlformats.org/officeDocument/2006/relationships/hyperlink" Target="http://docs.mongodb.com/manual/reference/sql-comparison/" TargetMode="External"/><Relationship Id="rId44" Type="http://schemas.openxmlformats.org/officeDocument/2006/relationships/hyperlink" Target="https://www.mongodb.com/atlas" TargetMode="External"/><Relationship Id="rId52" Type="http://schemas.openxmlformats.org/officeDocument/2006/relationships/hyperlink" Target="https://www.mongodb.com/products/cloud-manager" TargetMode="External"/><Relationship Id="rId60" Type="http://schemas.openxmlformats.org/officeDocument/2006/relationships/hyperlink" Target="http://mongodb.com/customers" TargetMode="External"/><Relationship Id="rId65" Type="http://schemas.openxmlformats.org/officeDocument/2006/relationships/hyperlink" Target="http://mongodb.com/download"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hyperlink" Target="http://www.mongodb.com/lp/whitepaper/nosql-oracle-migration-mongodb" TargetMode="External"/><Relationship Id="rId27" Type="http://schemas.openxmlformats.org/officeDocument/2006/relationships/image" Target="media/image5.jpg"/><Relationship Id="rId30" Type="http://schemas.openxmlformats.org/officeDocument/2006/relationships/hyperlink" Target="http://docs.mongodb.com/manual/reference/sql-comparison/" TargetMode="External"/><Relationship Id="rId35" Type="http://schemas.openxmlformats.org/officeDocument/2006/relationships/hyperlink" Target="http://docs.mongodb.com/manual/reference/sql-aggregation-comparison/" TargetMode="External"/><Relationship Id="rId43" Type="http://schemas.openxmlformats.org/officeDocument/2006/relationships/hyperlink" Target="https://www.mongodb.com/collateral/mongodb-operations-best-practices" TargetMode="External"/><Relationship Id="rId48" Type="http://schemas.openxmlformats.org/officeDocument/2006/relationships/hyperlink" Target="https://www.mongodb.com/about/support/" TargetMode="External"/><Relationship Id="rId56" Type="http://schemas.openxmlformats.org/officeDocument/2006/relationships/hyperlink" Target="https://university.mongodb.com/private_training" TargetMode="External"/><Relationship Id="rId64" Type="http://schemas.openxmlformats.org/officeDocument/2006/relationships/hyperlink" Target="http://docs.mongodb.com/" TargetMode="External"/><Relationship Id="rId8" Type="http://schemas.openxmlformats.org/officeDocument/2006/relationships/footer" Target="footer1.xml"/><Relationship Id="rId51" Type="http://schemas.openxmlformats.org/officeDocument/2006/relationships/hyperlink" Target="https://www.mongodb.com/atlas"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hyperlink" Target="https://www.mongodb.com/products/cloud-manager" TargetMode="External"/><Relationship Id="rId33" Type="http://schemas.openxmlformats.org/officeDocument/2006/relationships/hyperlink" Target="http://docs.mongodb.com/manual/reference/operator/" TargetMode="External"/><Relationship Id="rId38" Type="http://schemas.openxmlformats.org/officeDocument/2006/relationships/image" Target="media/image7.jpg"/><Relationship Id="rId46" Type="http://schemas.openxmlformats.org/officeDocument/2006/relationships/hyperlink" Target="https://university.mongodb.com/" TargetMode="External"/><Relationship Id="rId59" Type="http://schemas.openxmlformats.org/officeDocument/2006/relationships/hyperlink" Target="http://www.mongodb.com/" TargetMode="External"/><Relationship Id="rId67" Type="http://schemas.openxmlformats.org/officeDocument/2006/relationships/fontTable" Target="fontTable.xml"/><Relationship Id="rId20" Type="http://schemas.openxmlformats.org/officeDocument/2006/relationships/hyperlink" Target="https://www.mongodb.com/blog/post/joins-and-other-aggregation-enhancements-coming-in-mongodb-3-2-part-1-of-3-introduction" TargetMode="External"/><Relationship Id="rId41" Type="http://schemas.openxmlformats.org/officeDocument/2006/relationships/image" Target="media/image8.jpg"/><Relationship Id="rId54" Type="http://schemas.openxmlformats.org/officeDocument/2006/relationships/hyperlink" Target="https://www.mongodb.com/products/development-support" TargetMode="External"/><Relationship Id="rId62" Type="http://schemas.openxmlformats.org/officeDocument/2006/relationships/hyperlink" Target="http://university.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20</Pages>
  <Words>7634</Words>
  <Characters>43518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Jongkuk Lee</dc:creator>
  <cp:keywords>RDBMS, MongoDB, Database, Big Data, Next Generation Database, Oracle, NoSQL</cp:keywords>
  <cp:lastModifiedBy>Jongkuk Lee</cp:lastModifiedBy>
  <cp:revision>5</cp:revision>
  <dcterms:created xsi:type="dcterms:W3CDTF">2018-09-04T13:50:00Z</dcterms:created>
  <dcterms:modified xsi:type="dcterms:W3CDTF">2018-09-04T14:11:00Z</dcterms:modified>
</cp:coreProperties>
</file>