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IBS</w:t>
      </w:r>
      <w:r>
        <w:t xml:space="preserve"> </w:t>
      </w:r>
      <w:r>
        <w:t xml:space="preserve">—</w:t>
      </w:r>
      <w:r>
        <w:t xml:space="preserve"> </w:t>
      </w:r>
      <w:r>
        <w:t xml:space="preserve">Backend</w:t>
      </w:r>
      <w:r>
        <w:t xml:space="preserve"> </w:t>
      </w:r>
      <w:r>
        <w:t xml:space="preserve">Service</w:t>
      </w:r>
      <w:r>
        <w:t xml:space="preserve"> </w:t>
      </w:r>
      <w:r>
        <w:t xml:space="preserve">Specification</w:t>
      </w:r>
      <w:r>
        <w:t xml:space="preserve"> </w:t>
      </w:r>
      <w:r>
        <w:t xml:space="preserve">(for</w:t>
      </w:r>
      <w:r>
        <w:t xml:space="preserve"> </w:t>
      </w:r>
      <w:r>
        <w:t xml:space="preserve">Claude</w:t>
      </w:r>
      <w:r>
        <w:t xml:space="preserve"> </w:t>
      </w:r>
      <w:r>
        <w:t xml:space="preserve">Code)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Purpose of this document:</w:t>
      </w:r>
      <w:r>
        <w:t xml:space="preserve"> </w:t>
      </w:r>
      <w:r>
        <w:t xml:space="preserve">a self-contained brief for generating the IBS backend — a .NET monolithic Web API — covering architecture, data model, access-control rules, account lifecycle, and the API surface for Module 1 (user management). It consolidates every decision made while planning IBS. Where a decision was made in this document rather than in an earlier one, it’s flagged as</w:t>
      </w:r>
      <w:r>
        <w:t xml:space="preserve"> </w:t>
      </w:r>
      <w:r>
        <w:rPr>
          <w:bCs/>
          <w:b/>
        </w:rPr>
        <w:t xml:space="preserve">(spec default — override if you disagree)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Companion documents</w:t>
      </w:r>
      <w:r>
        <w:t xml:space="preserve"> </w:t>
      </w:r>
      <w:r>
        <w:t xml:space="preserve">(produced earlier, still authoritative for their topic):</w:t>
      </w:r>
      <w:r>
        <w:t xml:space="preserve"> </w:t>
      </w:r>
      <w:r>
        <w:rPr>
          <w:rStyle w:val="VerbatimChar"/>
        </w:rPr>
        <w:t xml:space="preserve">IBS-Permissions-Model.docx</w:t>
      </w:r>
      <w:r>
        <w:t xml:space="preserve"> </w:t>
      </w:r>
      <w:r>
        <w:t xml:space="preserve">(the permission catalogue and its rules),</w:t>
      </w:r>
      <w:r>
        <w:t xml:space="preserve"> </w:t>
      </w:r>
      <w:r>
        <w:rPr>
          <w:rStyle w:val="VerbatimChar"/>
        </w:rPr>
        <w:t xml:space="preserve">IBS-User-Management-Pages.docx</w:t>
      </w:r>
      <w:r>
        <w:t xml:space="preserve"> </w:t>
      </w:r>
      <w:r>
        <w:t xml:space="preserve">(all 8 screens, field-by-field, with states),</w:t>
      </w:r>
      <w:r>
        <w:t xml:space="preserve"> </w:t>
      </w:r>
      <w:r>
        <w:rPr>
          <w:rStyle w:val="VerbatimChar"/>
        </w:rPr>
        <w:t xml:space="preserve">IBS-Onboarding-Flow.docx</w:t>
      </w:r>
      <w:r>
        <w:t xml:space="preserve"> </w:t>
      </w:r>
      <w:r>
        <w:t xml:space="preserve">(the step-by-step bootstrap-to-running-team walkthrough), and the runnable HTML prototype (</w:t>
      </w:r>
      <w:r>
        <w:rPr>
          <w:rStyle w:val="VerbatimChar"/>
        </w:rPr>
        <w:t xml:space="preserve">prototype/index.html</w:t>
      </w:r>
      <w:r>
        <w:t xml:space="preserve">) — the frontend behavior this backend needs to support. This document is the bridge from those to actual C# code.</w:t>
      </w:r>
    </w:p>
    <w:p>
      <w:r>
        <w:pict>
          <v:rect style="width:0;height:1.5pt" o:hralign="center" o:hrstd="t" o:hr="t"/>
        </w:pict>
      </w:r>
    </w:p>
    <w:bookmarkStart w:id="20" w:name="architecture"/>
    <w:p>
      <w:pPr>
        <w:pStyle w:val="Heading1"/>
      </w:pPr>
      <w:r>
        <w:t xml:space="preserve">1.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ASP.NET Core Web API, .NET 8 (or later LTS), C#.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— one deployable, internally organized into clearly separated modules by domain area, not a microservice split. See §3 for the module layout.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Angular, built and served as static files from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App Service as the API (one deployable unit, one App Service, one bill) — not a separate hosting resource.</w:t>
      </w:r>
      <w:r>
        <w:t xml:space="preserve"> </w:t>
      </w:r>
      <w:r>
        <w:rPr>
          <w:bCs/>
          <w:b/>
        </w:rPr>
        <w:t xml:space="preserve">(spec default)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SQL Server via Azure SQL Database. EF Core as the ORM, Code-First with Migrations.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storage:</w:t>
      </w:r>
      <w:r>
        <w:t xml:space="preserve"> </w:t>
      </w:r>
      <w:r>
        <w:t xml:space="preserve">Azure Storage Account (Blob), for employee photos and documents.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Azure Communication Services (Email) — invite links, password-reset links, resend-invite. Pay-per-email, no separate vendor account.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Secrets:</w:t>
      </w:r>
      <w:r>
        <w:t xml:space="preserve"> </w:t>
      </w:r>
      <w:r>
        <w:t xml:space="preserve">Azure Key Vault, accessed via Managed Identity — connection strings, the ACS connection string, the storage account connection string, and the auth signing key never appear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or source control.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model:</w:t>
      </w:r>
      <w:r>
        <w:t xml:space="preserve"> </w:t>
      </w:r>
      <w:r>
        <w:t xml:space="preserve">cookie-based session authentication (ASP.NET Core Identity,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cookie) rather than a bearer JWT.</w:t>
      </w:r>
      <w:r>
        <w:t xml:space="preserve"> </w:t>
      </w:r>
      <w:r>
        <w:rPr>
          <w:bCs/>
          <w:b/>
        </w:rPr>
        <w:t xml:space="preserve">(spec default)</w:t>
      </w:r>
      <w:r>
        <w:t xml:space="preserve"> </w:t>
      </w:r>
      <w:r>
        <w:t xml:space="preserve">— this fits cleanly because the Angular app is served from the same origin as the API; there’s no cross-origin token-storage problem to solve, and it avoids keeping a token in browser JS storage at all. If the frontend is ever split onto its own host, this is the one decision to revisit.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Logging/monitoring:</w:t>
      </w:r>
      <w:r>
        <w:t xml:space="preserve"> </w:t>
      </w:r>
      <w:r>
        <w:t xml:space="preserve">Application Insights (Azure-native, ties into the resource group already planned).</w:t>
      </w:r>
    </w:p>
    <w:p>
      <w:r>
        <w:pict>
          <v:rect style="width:0;height:1.5pt" o:hralign="center" o:hrstd="t" o:hr="t"/>
        </w:pict>
      </w:r>
    </w:p>
    <w:bookmarkEnd w:id="20"/>
    <w:bookmarkStart w:id="21" w:name="environments"/>
    <w:p>
      <w:pPr>
        <w:pStyle w:val="Heading1"/>
      </w:pPr>
      <w:r>
        <w:t xml:space="preserve">2. Environments</w:t>
      </w:r>
    </w:p>
    <w:p>
      <w:pPr>
        <w:pStyle w:val="FirstParagraph"/>
      </w:pPr>
      <w:r>
        <w:t xml:space="preserve">Two environments only, matching the cost-planning already done: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B1,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S1, Linux (autoscale, deployment slots, daily backup)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Serverless, free-tier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S1 (DTU)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Hot, LRS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Hot, GRS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rg-ibs-dev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rg-ibs-prod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India</w:t>
            </w:r>
          </w:p>
        </w:tc>
      </w:tr>
    </w:tbl>
    <w:p>
      <w:pPr>
        <w:pStyle w:val="BodyText"/>
      </w:pPr>
      <w:r>
        <w:t xml:space="preserve">EF Core Migrations apply automatically on Dev/Test startup for fast iteration. On Prod, migrations are an explicit deploy step — never auto-applied silently against production data.</w:t>
      </w:r>
    </w:p>
    <w:p>
      <w:r>
        <w:pict>
          <v:rect style="width:0;height:1.5pt" o:hralign="center" o:hrstd="t" o:hr="t"/>
        </w:pict>
      </w:r>
    </w:p>
    <w:bookmarkEnd w:id="21"/>
    <w:bookmarkStart w:id="22" w:name="suggested-project-structure"/>
    <w:p>
      <w:pPr>
        <w:pStyle w:val="Heading1"/>
      </w:pPr>
      <w:r>
        <w:t xml:space="preserve">3. Suggested project structure</w:t>
      </w:r>
    </w:p>
    <w:p>
      <w:pPr>
        <w:pStyle w:val="SourceCode"/>
      </w:pPr>
      <w:r>
        <w:rPr>
          <w:rStyle w:val="VerbatimChar"/>
        </w:rPr>
        <w:t xml:space="preserve">/src</w:t>
      </w:r>
      <w:r>
        <w:br/>
      </w:r>
      <w:r>
        <w:rPr>
          <w:rStyle w:val="VerbatimChar"/>
        </w:rPr>
        <w:t xml:space="preserve">  IBS.Api/                      Web API host: Program.cs, controllers, middleware,</w:t>
      </w:r>
      <w:r>
        <w:br/>
      </w:r>
      <w:r>
        <w:rPr>
          <w:rStyle w:val="VerbatimChar"/>
        </w:rPr>
        <w:t xml:space="preserve">                                 wwwroot/ (the built Angular app)</w:t>
      </w:r>
      <w:r>
        <w:br/>
      </w:r>
      <w:r>
        <w:rPr>
          <w:rStyle w:val="VerbatimChar"/>
        </w:rPr>
        <w:t xml:space="preserve">  IBS.Modules.UsersAccess/      This spec's scope — see §4-§7</w:t>
      </w:r>
      <w:r>
        <w:br/>
      </w:r>
      <w:r>
        <w:rPr>
          <w:rStyle w:val="VerbatimChar"/>
        </w:rPr>
        <w:t xml:space="preserve">    Domain/                     Entities, enums</w:t>
      </w:r>
      <w:r>
        <w:br/>
      </w:r>
      <w:r>
        <w:rPr>
          <w:rStyle w:val="VerbatimChar"/>
        </w:rPr>
        <w:t xml:space="preserve">    Application/                Services, DTOs, business rules (permission checks,</w:t>
      </w:r>
      <w:r>
        <w:br/>
      </w:r>
      <w:r>
        <w:rPr>
          <w:rStyle w:val="VerbatimChar"/>
        </w:rPr>
        <w:t xml:space="preserve">                                 CanManageAccount, account-lifecycle logic)</w:t>
      </w:r>
      <w:r>
        <w:br/>
      </w:r>
      <w:r>
        <w:rPr>
          <w:rStyle w:val="VerbatimChar"/>
        </w:rPr>
        <w:t xml:space="preserve">    Infrastructure/             EF Core entity configuration, repositories</w:t>
      </w:r>
      <w:r>
        <w:br/>
      </w:r>
      <w:r>
        <w:rPr>
          <w:rStyle w:val="VerbatimChar"/>
        </w:rPr>
        <w:t xml:space="preserve">  IBS.Modules.Sales/            Placeholder — future module, not built in this pass</w:t>
      </w:r>
      <w:r>
        <w:br/>
      </w:r>
      <w:r>
        <w:rPr>
          <w:rStyle w:val="VerbatimChar"/>
        </w:rPr>
        <w:t xml:space="preserve">  IBS.Modules.Design/           Placeholder</w:t>
      </w:r>
      <w:r>
        <w:br/>
      </w:r>
      <w:r>
        <w:rPr>
          <w:rStyle w:val="VerbatimChar"/>
        </w:rPr>
        <w:t xml:space="preserve">  IBS.Modules.Delivery/         Placeholder</w:t>
      </w:r>
      <w:r>
        <w:br/>
      </w:r>
      <w:r>
        <w:rPr>
          <w:rStyle w:val="VerbatimChar"/>
        </w:rPr>
        <w:t xml:space="preserve">  IBS.Modules.Procurement/      Placeholder</w:t>
      </w:r>
      <w:r>
        <w:br/>
      </w:r>
      <w:r>
        <w:rPr>
          <w:rStyle w:val="VerbatimChar"/>
        </w:rPr>
        <w:t xml:space="preserve">  IBS.Modules.Finance/          Placeholder</w:t>
      </w:r>
      <w:r>
        <w:br/>
      </w:r>
      <w:r>
        <w:rPr>
          <w:rStyle w:val="VerbatimChar"/>
        </w:rPr>
        <w:t xml:space="preserve">  IBS.SharedKernel/             Cross-module base types, the audit-log writer,</w:t>
      </w:r>
      <w:r>
        <w:br/>
      </w:r>
      <w:r>
        <w:rPr>
          <w:rStyle w:val="VerbatimChar"/>
        </w:rPr>
        <w:t xml:space="preserve">                                 the permission-check helper every module calls</w:t>
      </w:r>
      <w:r>
        <w:br/>
      </w:r>
      <w:r>
        <w:rPr>
          <w:rStyle w:val="VerbatimChar"/>
        </w:rPr>
        <w:t xml:space="preserve">  IBS.Infrastructure/           EF Core DbContext, migrations, Key Vault / Storage /</w:t>
      </w:r>
      <w:r>
        <w:br/>
      </w:r>
      <w:r>
        <w:rPr>
          <w:rStyle w:val="VerbatimChar"/>
        </w:rPr>
        <w:t xml:space="preserve">                                 Email client wrappers</w:t>
      </w:r>
      <w:r>
        <w:br/>
      </w:r>
      <w:r>
        <w:rPr>
          <w:rStyle w:val="VerbatimChar"/>
        </w:rPr>
        <w:t xml:space="preserve">/tools</w:t>
      </w:r>
      <w:r>
        <w:br/>
      </w:r>
      <w:r>
        <w:rPr>
          <w:rStyle w:val="VerbatimChar"/>
        </w:rPr>
        <w:t xml:space="preserve">  IBS.SeedSuperAdmin/           One-off console app — see §6.1</w:t>
      </w:r>
    </w:p>
    <w:p>
      <w:pPr>
        <w:pStyle w:val="FirstParagraph"/>
      </w:pPr>
      <w:r>
        <w:t xml:space="preserve">Each future module (Sales, Design, Delivery, Procurement, Finance) gets its own folder now, even empty, so the boundary is real from day one — see the earlier architecture discussion on why this stays a monolith rather than microservices at this scale, while keeping the door open to extract a module later if it ever needs to.</w:t>
      </w:r>
    </w:p>
    <w:p>
      <w:r>
        <w:pict>
          <v:rect style="width:0;height:1.5pt" o:hralign="center" o:hrstd="t" o:hr="t"/>
        </w:pict>
      </w:r>
    </w:p>
    <w:bookmarkEnd w:id="22"/>
    <w:bookmarkStart w:id="28" w:name="data-model"/>
    <w:p>
      <w:pPr>
        <w:pStyle w:val="Heading1"/>
      </w:pPr>
      <w:r>
        <w:t xml:space="preserve">4. Data model</w:t>
      </w:r>
    </w:p>
    <w:bookmarkStart w:id="23" w:name="company-structure-lookup-tables"/>
    <w:p>
      <w:pPr>
        <w:pStyle w:val="Heading2"/>
      </w:pPr>
      <w:r>
        <w:t xml:space="preserve">4.1 Company, structure &amp; lookup tables</w:t>
      </w:r>
    </w:p>
    <w:p>
      <w:pPr>
        <w:pStyle w:val="FirstParagraph"/>
      </w:pPr>
      <w:r>
        <w:rPr>
          <w:bCs/>
          <w:b/>
        </w:rPr>
        <w:t xml:space="preserve">Company</w:t>
      </w:r>
      <w:r>
        <w:t xml:space="preserve"> </w:t>
      </w:r>
      <w:r>
        <w:t xml:space="preserve">— single row for now (not multi-tenant):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Gstin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RegisteredAddress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FinancialYearStart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. Seeded defaults: Bengaluru, Chennai, Pune (all</w:t>
      </w:r>
      <w:r>
        <w:t xml:space="preserve"> </w:t>
      </w:r>
      <w:r>
        <w:rPr>
          <w:rStyle w:val="VerbatimChar"/>
        </w:rPr>
        <w:t xml:space="preserve">Asia/Kolkata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Department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Seeded defaults: Sales, Design, Estimation, Procurement, Execution, Finance.</w:t>
      </w:r>
    </w:p>
    <w:p>
      <w:pPr>
        <w:pStyle w:val="BodyText"/>
      </w:pPr>
      <w:r>
        <w:rPr>
          <w:bCs/>
          <w:b/>
        </w:rPr>
        <w:t xml:space="preserve">Designation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Purely descriptive — carries no access. Seeded defaults: Super Admin, Company Admin, Business Head, Sales Manager, Sales Executive, Pre-sales / Telecaller, Design Head, Interior Designer, 3D Visualiser, Draftsman / CAD, Estimator / QS, Procurement Executive, Store Keeper, Project Manager, Site Supervisor, QC Inspector, Accounts Executive, HR Executive, Customer Support.</w:t>
      </w:r>
    </w:p>
    <w:p>
      <w:pPr>
        <w:pStyle w:val="BodyText"/>
      </w:pPr>
      <w:r>
        <w:t xml:space="preserve">All four are editable in Settings by anyone holding</w:t>
      </w:r>
      <w:r>
        <w:t xml:space="preserve"> </w:t>
      </w:r>
      <w:r>
        <w:rPr>
          <w:rStyle w:val="VerbatimChar"/>
        </w:rPr>
        <w:t xml:space="preserve">manage_company_settings</w:t>
      </w:r>
      <w:r>
        <w:t xml:space="preserve">. Deleting a Branch/Department/Designation currently in use is blocked until every employee referencing it is reassigned.</w:t>
      </w:r>
    </w:p>
    <w:bookmarkEnd w:id="23"/>
    <w:bookmarkStart w:id="24" w:name="employee"/>
    <w:p>
      <w:pPr>
        <w:pStyle w:val="Heading2"/>
      </w:pPr>
      <w:r>
        <w:t xml:space="preserve">4.2 Employee</w:t>
      </w:r>
    </w:p>
    <w:p>
      <w:pPr>
        <w:pStyle w:val="FirstParagraph"/>
      </w:pPr>
      <w:r>
        <w:t xml:space="preserve">Core identity and employment fields (Section 1 &amp; 2 of Add Person):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login identifier — no separate username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 Storage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(</w:t>
            </w:r>
            <w:r>
              <w:rPr>
                <w:rStyle w:val="VerbatimChar"/>
              </w:rPr>
              <w:t xml:space="preserve">EMP-0001</w:t>
            </w:r>
            <w:r>
              <w:t xml:space="preserve">…), 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DateOfJoining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 / Part-time / Contract / Intern / Consultant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ReportingManagerId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Employee.Id</w:t>
            </w:r>
            <w:r>
              <w:t xml:space="preserve">, nullable, self-referencing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assignment that would create a reporting cycle must be rejected at the API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Invited / Active / Suspended / Inactive / Exited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null until the person sets it themselves</w:t>
            </w:r>
            <w:r>
              <w:t xml:space="preserve"> </w:t>
            </w:r>
            <w:r>
              <w:t xml:space="preserve">— see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MustChangePassword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a change on next login when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§5.2 — bypasses all permission checks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LastSeenAt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datetime,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CreatedByEmployeeId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fields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one row should ever have</w:t>
      </w:r>
      <w:r>
        <w:t xml:space="preserve"> </w:t>
      </w:r>
      <w:r>
        <w:rPr>
          <w:rStyle w:val="VerbatimChar"/>
        </w:rPr>
        <w:t xml:space="preserve">IsSuperAdmin = true</w:t>
      </w:r>
      <w:r>
        <w:t xml:space="preserve"> </w:t>
      </w:r>
      <w:r>
        <w:t xml:space="preserve">(single Super Admin, by decision — see §6.1). Enforce this with a filtered unique index or an application-level check, not just convention.</w:t>
      </w:r>
    </w:p>
    <w:bookmarkEnd w:id="24"/>
    <w:bookmarkStart w:id="25" w:name="X4d36035ee9ff9a4b6d7b32790e2e76d3f1a99ee"/>
    <w:p>
      <w:pPr>
        <w:pStyle w:val="Heading2"/>
      </w:pPr>
      <w:r>
        <w:t xml:space="preserve">4.3 Optional detail (Section 4 of Add Person — all optional, collapsed by default)</w:t>
      </w:r>
    </w:p>
    <w:p>
      <w:pPr>
        <w:pStyle w:val="FirstParagraph"/>
      </w:pPr>
      <w:r>
        <w:t xml:space="preserve">Kept as separate 1:1/1:many tables rather than nullable columns on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, since they’re genuinely optional and some are access-restricted: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EmployeeProfessionalProfile</w:t>
      </w:r>
      <w:r>
        <w:t xml:space="preserve"> </w:t>
      </w:r>
      <w:r>
        <w:t xml:space="preserve">(1:1, optional):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SoftwareSkills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Certifications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PortfolioLink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Languages</w:t>
      </w:r>
      <w:r>
        <w:t xml:space="preserve"> </w:t>
      </w:r>
      <w:r>
        <w:t xml:space="preserve">(list).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EmployeeStatutory</w:t>
      </w:r>
      <w:r>
        <w:t xml:space="preserve"> </w:t>
      </w:r>
      <w:r>
        <w:t xml:space="preserve">(1:1, optional,</w:t>
      </w:r>
      <w:r>
        <w:t xml:space="preserve"> </w:t>
      </w:r>
      <w:r>
        <w:rPr>
          <w:bCs/>
          <w:b/>
        </w:rPr>
        <w:t xml:space="preserve">restricted</w:t>
      </w:r>
      <w:r>
        <w:t xml:space="preserve">):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</w:t>
      </w:r>
      <w:r>
        <w:t xml:space="preserve">,</w:t>
      </w:r>
      <w:r>
        <w:t xml:space="preserve"> </w:t>
      </w:r>
      <w:r>
        <w:rPr>
          <w:rStyle w:val="VerbatimChar"/>
        </w:rPr>
        <w:t xml:space="preserve">Aadhaar</w:t>
      </w:r>
      <w:r>
        <w:t xml:space="preserve">,</w:t>
      </w:r>
      <w:r>
        <w:t xml:space="preserve"> </w:t>
      </w:r>
      <w:r>
        <w:rPr>
          <w:rStyle w:val="VerbatimChar"/>
        </w:rPr>
        <w:t xml:space="preserve">PfUan</w:t>
      </w:r>
      <w:r>
        <w:t xml:space="preserve">,</w:t>
      </w:r>
      <w:r>
        <w:t xml:space="preserve"> </w:t>
      </w:r>
      <w:r>
        <w:rPr>
          <w:rStyle w:val="VerbatimChar"/>
        </w:rPr>
        <w:t xml:space="preserve">Esic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Ctc</w:t>
      </w:r>
      <w:r>
        <w:t xml:space="preserve">. Store</w:t>
      </w:r>
      <w:r>
        <w:t xml:space="preserve"> </w:t>
      </w:r>
      <w:r>
        <w:rPr>
          <w:rStyle w:val="VerbatimChar"/>
        </w:rPr>
        <w:t xml:space="preserve">Pan</w:t>
      </w:r>
      <w:r>
        <w:t xml:space="preserve">,</w:t>
      </w:r>
      <w:r>
        <w:t xml:space="preserve"> </w:t>
      </w:r>
      <w:r>
        <w:rPr>
          <w:rStyle w:val="VerbatimChar"/>
        </w:rPr>
        <w:t xml:space="preserve">Aadhaar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BankDetails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SQL Server Always Encrypted</w:t>
      </w:r>
      <w:r>
        <w:t xml:space="preserve"> </w:t>
      </w:r>
      <w:r>
        <w:t xml:space="preserve">— these columns should be unreadable even to a DB admin without the column encryption key. Visible only to: Super Admin, anyone holding</w:t>
      </w:r>
      <w:r>
        <w:t xml:space="preserve"> </w:t>
      </w:r>
      <w:r>
        <w:rPr>
          <w:rStyle w:val="VerbatimChar"/>
        </w:rPr>
        <w:t xml:space="preserve">view_sensitive_data</w:t>
      </w:r>
      <w:r>
        <w:t xml:space="preserve">, and the employee themself — enforced both in the API (never returned to anyone else) and via Always Encrypted (never plaintext at rest).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EmployeeTargets</w:t>
      </w:r>
      <w:r>
        <w:t xml:space="preserve"> </w:t>
      </w:r>
      <w:r>
        <w:t xml:space="preserve">(1:1, optional, shown only for sales-type designations):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IncentivePercent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MaxDiscountBeforeEscalation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Territories</w:t>
      </w:r>
      <w:r>
        <w:t xml:space="preserve"> </w:t>
      </w:r>
      <w:r>
        <w:t xml:space="preserve">(list).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EmployeeDocument</w:t>
      </w:r>
      <w:r>
        <w:t xml:space="preserve"> </w:t>
      </w:r>
      <w:r>
        <w:t xml:space="preserve">(1:many, optional):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BlobUrl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UploadedAt</w:t>
      </w:r>
      <w:r>
        <w:t xml:space="preserve">.</w:t>
      </w:r>
    </w:p>
    <w:bookmarkEnd w:id="25"/>
    <w:bookmarkStart w:id="26" w:name="permissions"/>
    <w:p>
      <w:pPr>
        <w:pStyle w:val="Heading2"/>
      </w:pPr>
      <w:r>
        <w:t xml:space="preserve">4.4 Permissions</w:t>
      </w:r>
    </w:p>
    <w:p>
      <w:pPr>
        <w:pStyle w:val="FirstParagraph"/>
      </w:pPr>
      <w:r>
        <w:rPr>
          <w:bCs/>
          <w:b/>
        </w:rPr>
        <w:t xml:space="preserve">Permission</w:t>
      </w:r>
      <w:r>
        <w:t xml:space="preserve"> </w:t>
      </w:r>
      <w:r>
        <w:t xml:space="preserve">— the catalogue, seeded via migration, editable (label/description/group only) via the UI: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unique — e.g. </w:t>
            </w:r>
            <w:r>
              <w:rPr>
                <w:rStyle w:val="VerbatimChar"/>
              </w:rPr>
              <w:t xml:space="preserve">manage_users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— e.g. </w:t>
            </w:r>
            <w:r>
              <w:t xml:space="preserve">“</w:t>
            </w:r>
            <w:r>
              <w:t xml:space="preserve">Can manage users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— cosmetic grouping for the checklist UI</w:t>
            </w:r>
          </w:p>
        </w:tc>
      </w:tr>
    </w:tbl>
    <w:p>
      <w:pPr>
        <w:pStyle w:val="BodyText"/>
      </w:pPr>
      <w:r>
        <w:rPr>
          <w:bCs/>
          <w:b/>
        </w:rPr>
        <w:t xml:space="preserve">EmployeePermission</w:t>
      </w:r>
      <w:r>
        <w:t xml:space="preserve"> </w:t>
      </w:r>
      <w:r>
        <w:t xml:space="preserve">(join table):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GrantedByEmployeeId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GrantedAt</w:t>
      </w:r>
      <w:r>
        <w:t xml:space="preserve">. This is what makes</w:t>
      </w:r>
      <w:r>
        <w:t xml:space="preserve"> </w:t>
      </w:r>
      <w:r>
        <w:t xml:space="preserve">“</w:t>
      </w:r>
      <w:r>
        <w:t xml:space="preserve">granted by X on Y</w:t>
      </w:r>
      <w:r>
        <w:t xml:space="preserve">”</w:t>
      </w:r>
      <w:r>
        <w:t xml:space="preserve"> </w:t>
      </w:r>
      <w:r>
        <w:t xml:space="preserve">on the Access tab trivial, and what makes</w:t>
      </w:r>
      <w:r>
        <w:t xml:space="preserve"> </w:t>
      </w:r>
      <w:r>
        <w:t xml:space="preserve">“</w:t>
      </w:r>
      <w:r>
        <w:t xml:space="preserve">N people hold this permission</w:t>
      </w:r>
      <w:r>
        <w:t xml:space="preserve">”</w:t>
      </w:r>
      <w:r>
        <w:t xml:space="preserve"> </w:t>
      </w:r>
      <w:r>
        <w:t xml:space="preserve">on the Settings → Permissions tab a simple count query.</w:t>
      </w:r>
    </w:p>
    <w:p>
      <w:pPr>
        <w:pStyle w:val="BodyText"/>
      </w:pPr>
      <w:r>
        <w:t xml:space="preserve">The 19 permissions to seed (code, name, group):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&amp;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&amp;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view_sensitive_data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 employee 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&amp;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manage_customer_onboarding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customer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manage_quotations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quotations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&amp; estimation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manage_boq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BOQ &amp;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&amp; estimation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&amp;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&amp;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manage_site_progress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site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&amp;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Procurement, inventory &amp;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Procurement, inventory &amp;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Procurement, inventory &amp;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invoices &amp;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client portal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&amp;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export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&amp;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manage_company_settings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manage company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</w:tbl>
    <w:p>
      <w:pPr>
        <w:pStyle w:val="BodyText"/>
      </w:pPr>
      <w:r>
        <w:t xml:space="preserve">A new permission only ever comes into existence via a migration, alongside the feature it gates. Existing ones can be renamed, redescribed, or regrouped through the UI — never created or deleted there.</w:t>
      </w:r>
    </w:p>
    <w:bookmarkEnd w:id="26"/>
    <w:bookmarkStart w:id="27" w:name="account-lifecycle-audit"/>
    <w:p>
      <w:pPr>
        <w:pStyle w:val="Heading2"/>
      </w:pPr>
      <w:r>
        <w:t xml:space="preserve">4.5 Account lifecycle &amp; audit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ActivationToken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 </w:t>
      </w:r>
      <w:r>
        <w:t xml:space="preserve">(store a hash of the token, not the raw value — same principle as a password),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(Invite / Reset),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UsedAt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 Creating a new token for the same employee/purpose should invalidate any prior unused 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AuditLog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ActorEmployeeId</w:t>
      </w:r>
      <w:r>
        <w:t xml:space="preserve"> </w:t>
      </w:r>
      <w:r>
        <w:t xml:space="preserve">(nullable — null for system/seed actions),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access-control-model"/>
    <w:p>
      <w:pPr>
        <w:pStyle w:val="Heading1"/>
      </w:pPr>
      <w:r>
        <w:t xml:space="preserve">5. Access control model</w:t>
      </w:r>
    </w:p>
    <w:bookmarkStart w:id="29" w:name="no-roles"/>
    <w:p>
      <w:pPr>
        <w:pStyle w:val="Heading2"/>
      </w:pPr>
      <w:r>
        <w:t xml:space="preserve">5.1 No roles</w:t>
      </w:r>
    </w:p>
    <w:p>
      <w:pPr>
        <w:pStyle w:val="FirstParagraph"/>
      </w:pPr>
      <w:r>
        <w:t xml:space="preserve">There is no role table or role concept anywhere.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 </w:t>
      </w:r>
      <w:r>
        <w:t xml:space="preserve">is descriptive only. Everything an employee can see or do is decided by which rows exist in</w:t>
      </w:r>
      <w:r>
        <w:t xml:space="preserve"> </w:t>
      </w:r>
      <w:r>
        <w:rPr>
          <w:rStyle w:val="VerbatimChar"/>
        </w:rPr>
        <w:t xml:space="preserve">EmployeePermission</w:t>
      </w:r>
      <w:r>
        <w:t xml:space="preserve"> </w:t>
      </w:r>
      <w:r>
        <w:t xml:space="preserve">for them — with one bypass, below.</w:t>
      </w:r>
    </w:p>
    <w:bookmarkEnd w:id="29"/>
    <w:bookmarkStart w:id="30" w:name="super-admin"/>
    <w:p>
      <w:pPr>
        <w:pStyle w:val="Heading2"/>
      </w:pPr>
      <w:r>
        <w:t xml:space="preserve">5.2 Super Admin</w:t>
      </w:r>
    </w:p>
    <w:p>
      <w:pPr>
        <w:pStyle w:val="FirstParagraph"/>
      </w:pPr>
      <w:r>
        <w:rPr>
          <w:rStyle w:val="VerbatimChar"/>
        </w:rPr>
        <w:t xml:space="preserve">Employee.IsSuperAdmin</w:t>
      </w:r>
      <w:r>
        <w:t xml:space="preserve"> </w:t>
      </w:r>
      <w:r>
        <w:t xml:space="preserve">is a flag, not a permission — checked first, and if true, every permission check short-circuits to allowed:</w:t>
      </w:r>
    </w:p>
    <w:p>
      <w:pPr>
        <w:pStyle w:val="SourceCode"/>
      </w:pPr>
      <w:r>
        <w:rPr>
          <w:rStyle w:val="VerbatimChar"/>
        </w:rPr>
        <w:t xml:space="preserve">HasPermission(employee, code) =</w:t>
      </w:r>
      <w:r>
        <w:br/>
      </w:r>
      <w:r>
        <w:rPr>
          <w:rStyle w:val="VerbatimChar"/>
        </w:rPr>
        <w:t xml:space="preserve">    employee.IsSuperAdmin</w:t>
      </w:r>
      <w:r>
        <w:br/>
      </w:r>
      <w:r>
        <w:rPr>
          <w:rStyle w:val="VerbatimChar"/>
        </w:rPr>
        <w:t xml:space="preserve">    ? true</w:t>
      </w:r>
      <w:r>
        <w:br/>
      </w:r>
      <w:r>
        <w:rPr>
          <w:rStyle w:val="VerbatimChar"/>
        </w:rPr>
        <w:t xml:space="preserve">    : EmployeePermission table contains (employee.Id, code)</w:t>
      </w:r>
    </w:p>
    <w:p>
      <w:pPr>
        <w:pStyle w:val="FirstParagraph"/>
      </w:pPr>
      <w:r>
        <w:t xml:space="preserve">Company Admin (a designation, not a flag) is expected to hold every permission explicitly via</w:t>
      </w:r>
      <w:r>
        <w:t xml:space="preserve"> </w:t>
      </w:r>
      <w:r>
        <w:rPr>
          <w:rStyle w:val="VerbatimChar"/>
        </w:rPr>
        <w:t xml:space="preserve">EmployeePermission</w:t>
      </w:r>
      <w:r>
        <w:t xml:space="preserve"> </w:t>
      </w:r>
      <w:r>
        <w:t xml:space="preserve">rows, granted at creation — unlike Super Admin, it’s not a bypass, so it shows up honestly in</w:t>
      </w:r>
      <w:r>
        <w:t xml:space="preserve"> </w:t>
      </w:r>
      <w:r>
        <w:t xml:space="preserve">“</w:t>
      </w:r>
      <w:r>
        <w:t xml:space="preserve">who granted this</w:t>
      </w:r>
      <w:r>
        <w:t xml:space="preserve">”</w:t>
      </w:r>
      <w:r>
        <w:t xml:space="preserve"> </w:t>
      </w:r>
      <w:r>
        <w:t xml:space="preserve">audit data.</w:t>
      </w:r>
    </w:p>
    <w:bookmarkEnd w:id="30"/>
    <w:bookmarkStart w:id="31" w:name="protecting-the-super-admin-account"/>
    <w:p>
      <w:pPr>
        <w:pStyle w:val="Heading2"/>
      </w:pPr>
      <w:r>
        <w:t xml:space="preserve">5.3 Protecting the Super Admin account</w:t>
      </w:r>
    </w:p>
    <w:p>
      <w:pPr>
        <w:pStyle w:val="FirstParagraph"/>
      </w:pPr>
      <w:r>
        <w:rPr>
          <w:rStyle w:val="VerbatimChar"/>
        </w:rPr>
        <w:t xml:space="preserve">manage_users</w:t>
      </w:r>
      <w:r>
        <w:t xml:space="preserve"> </w:t>
      </w:r>
      <w:r>
        <w:t xml:space="preserve">reaches every employee’s account</w:t>
      </w:r>
      <w:r>
        <w:t xml:space="preserve"> </w:t>
      </w:r>
      <w:r>
        <w:rPr>
          <w:bCs/>
          <w:b/>
        </w:rPr>
        <w:t xml:space="preserve">except the Super Admin’s own</w:t>
      </w:r>
      <w:r>
        <w:t xml:space="preserve">. Only the Super Admin can edit, suspend, deactivate, resend an invite for, or reset the password on that one account:</w:t>
      </w:r>
    </w:p>
    <w:p>
      <w:pPr>
        <w:pStyle w:val="SourceCode"/>
      </w:pPr>
      <w:r>
        <w:rPr>
          <w:rStyle w:val="VerbatimChar"/>
        </w:rPr>
        <w:t xml:space="preserve">CanManageAccount(actor, target) =</w:t>
      </w:r>
      <w:r>
        <w:br/>
      </w:r>
      <w:r>
        <w:rPr>
          <w:rStyle w:val="VerbatimChar"/>
        </w:rPr>
        <w:t xml:space="preserve">    HasPermission(actor, "manage_users")</w:t>
      </w:r>
      <w:r>
        <w:br/>
      </w:r>
      <w:r>
        <w:rPr>
          <w:rStyle w:val="VerbatimChar"/>
        </w:rPr>
        <w:t xml:space="preserve">    AND (target.IsSuperAdmin == false OR actor.Id == target.Id)</w:t>
      </w:r>
    </w:p>
    <w:p>
      <w:pPr>
        <w:pStyle w:val="FirstParagraph"/>
      </w:pPr>
      <w:r>
        <w:t xml:space="preserve">Enforce this in the API layer on every mutating employee endpoint, not just in the UI — the UI hiding a button is not a substitute for the server rejecting the call. Visibility (</w:t>
      </w:r>
      <w:r>
        <w:rPr>
          <w:rStyle w:val="VerbatimChar"/>
        </w:rPr>
        <w:t xml:space="preserve">GET</w:t>
      </w:r>
      <w:r>
        <w:t xml:space="preserve">) is unrestricted; only the mutating actions are gated by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.</w:t>
      </w:r>
    </w:p>
    <w:bookmarkEnd w:id="31"/>
    <w:bookmarkStart w:id="32" w:name="X7f80b3b7c801a80a4e9b4ea39b762b2be64f497"/>
    <w:p>
      <w:pPr>
        <w:pStyle w:val="Heading2"/>
      </w:pPr>
      <w:r>
        <w:t xml:space="preserve">5.4 Preventing privilege escalation on high-impact permissions</w:t>
      </w:r>
    </w:p>
    <w:p>
      <w:pPr>
        <w:pStyle w:val="FirstParagraph"/>
      </w:pPr>
      <w:r>
        <w:rPr>
          <w:rStyle w:val="VerbatimChar"/>
        </w:rPr>
        <w:t xml:space="preserve">manage_permissions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view_sensitive_data</w:t>
      </w:r>
      <w:r>
        <w:t xml:space="preserve"> </w:t>
      </w:r>
      <w:r>
        <w:t xml:space="preserve">are flagged as high-impact because holding either lets someone reconfigure access or see restricted data.</w:t>
      </w:r>
      <w:r>
        <w:t xml:space="preserve"> </w:t>
      </w:r>
      <w:r>
        <w:rPr>
          <w:bCs/>
          <w:b/>
        </w:rPr>
        <w:t xml:space="preserve">(spec addition — not explicitly covered in earlier docs, but a necessary rule):</w:t>
      </w:r>
      <w:r>
        <w:t xml:space="preserve"> </w:t>
      </w:r>
      <w:r>
        <w:t xml:space="preserve">granting either of these two specific permissions to anyone should itself require the</w:t>
      </w:r>
      <w:r>
        <w:t xml:space="preserve"> </w:t>
      </w:r>
      <w:r>
        <w:rPr>
          <w:iCs/>
          <w:i/>
        </w:rPr>
        <w:t xml:space="preserve">actor</w:t>
      </w:r>
      <w:r>
        <w:t xml:space="preserve"> </w:t>
      </w:r>
      <w:r>
        <w:t xml:space="preserve">to already hold</w:t>
      </w:r>
      <w:r>
        <w:t xml:space="preserve"> </w:t>
      </w:r>
      <w:r>
        <w:rPr>
          <w:rStyle w:val="VerbatimChar"/>
        </w:rPr>
        <w:t xml:space="preserve">manage_permissions</w:t>
      </w:r>
      <w:r>
        <w:t xml:space="preserve"> </w:t>
      </w:r>
      <w:r>
        <w:t xml:space="preserve">— not just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. Without this, an ordinary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 </w:t>
      </w:r>
      <w:r>
        <w:t xml:space="preserve">holder could grant themselves or anyone else</w:t>
      </w:r>
      <w:r>
        <w:t xml:space="preserve"> </w:t>
      </w:r>
      <w:r>
        <w:rPr>
          <w:rStyle w:val="VerbatimChar"/>
        </w:rPr>
        <w:t xml:space="preserve">manage_permissions</w:t>
      </w:r>
      <w:r>
        <w:t xml:space="preserve"> </w:t>
      </w:r>
      <w:r>
        <w:t xml:space="preserve">through the Add Person or Access tab checklist, which defeats the reason the two permissions were split apart in the first place. Every other permission can be granted by any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 </w:t>
      </w:r>
      <w:r>
        <w:t xml:space="preserve">holder as normal.</w:t>
      </w:r>
    </w:p>
    <w:bookmarkEnd w:id="32"/>
    <w:bookmarkStart w:id="33" w:name="statutory-data"/>
    <w:p>
      <w:pPr>
        <w:pStyle w:val="Heading2"/>
      </w:pPr>
      <w:r>
        <w:t xml:space="preserve">5.5 Statutory data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EmployeeStatutory</w:t>
      </w:r>
      <w:r>
        <w:t xml:space="preserve"> </w:t>
      </w:r>
      <w:r>
        <w:t xml:space="preserve">record for a given employee is visible only to: Super Admin, anyone holding</w:t>
      </w:r>
      <w:r>
        <w:t xml:space="preserve"> </w:t>
      </w:r>
      <w:r>
        <w:rPr>
          <w:rStyle w:val="VerbatimChar"/>
        </w:rPr>
        <w:t xml:space="preserve">view_sensitive_data</w:t>
      </w:r>
      <w:r>
        <w:t xml:space="preserve">, or the employee themself. Return it as entirely absent from the API response for anyone else — not present-but-masked.</w:t>
      </w:r>
    </w:p>
    <w:bookmarkEnd w:id="33"/>
    <w:bookmarkStart w:id="34" w:name="self-view-restrictions"/>
    <w:p>
      <w:pPr>
        <w:pStyle w:val="Heading2"/>
      </w:pPr>
      <w:r>
        <w:t xml:space="preserve">5.6 Self-view restrictions</w:t>
      </w:r>
    </w:p>
    <w:p>
      <w:pPr>
        <w:pStyle w:val="FirstParagraph"/>
      </w:pPr>
      <w:r>
        <w:t xml:space="preserve">An employee viewing their own profile can edit personal/contact details, but never their own</w:t>
      </w:r>
      <w:r>
        <w:t xml:space="preserve"> </w:t>
      </w:r>
      <w:r>
        <w:rPr>
          <w:rStyle w:val="VerbatimChar"/>
        </w:rPr>
        <w:t xml:space="preserve">DesignationId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EmployeePermission</w:t>
      </w:r>
      <w:r>
        <w:t xml:space="preserve"> </w:t>
      </w:r>
      <w:r>
        <w:t xml:space="preserve">rows, or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those only change through someone else acting via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, or (for Super Admin) not at all through the UI.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ccount-lifecycle"/>
    <w:p>
      <w:pPr>
        <w:pStyle w:val="Heading1"/>
      </w:pPr>
      <w:r>
        <w:t xml:space="preserve">6. Account lifecycle</w:t>
      </w:r>
    </w:p>
    <w:bookmarkStart w:id="36" w:name="bootstrapping-the-single-super-admin"/>
    <w:p>
      <w:pPr>
        <w:pStyle w:val="Heading2"/>
      </w:pPr>
      <w:r>
        <w:t xml:space="preserve">6.1 Bootstrapping the (single) Super Admin</w:t>
      </w:r>
    </w:p>
    <w:p>
      <w:pPr>
        <w:pStyle w:val="FirstParagraph"/>
      </w:pPr>
      <w:r>
        <w:t xml:space="preserve">Decided approach — no email dependency for this one step:</w:t>
      </w:r>
    </w:p>
    <w:p>
      <w:pPr>
        <w:numPr>
          <w:ilvl w:val="0"/>
          <w:numId w:val="1004"/>
        </w:numPr>
        <w:pStyle w:val="Compact"/>
      </w:pPr>
      <w:r>
        <w:t xml:space="preserve">A small console tool (</w:t>
      </w:r>
      <w:r>
        <w:rPr>
          <w:rStyle w:val="VerbatimChar"/>
        </w:rPr>
        <w:t xml:space="preserve">IBS.SeedSuperAdmin</w:t>
      </w:r>
      <w:r>
        <w:t xml:space="preserve">, in</w:t>
      </w:r>
      <w:r>
        <w:t xml:space="preserve"> </w:t>
      </w:r>
      <w:r>
        <w:rPr>
          <w:rStyle w:val="VerbatimChar"/>
        </w:rPr>
        <w:t xml:space="preserve">/tools</w:t>
      </w:r>
      <w:r>
        <w:t xml:space="preserve">) prompts for an email and a password, hashes the password using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PasswordHasher</w:t>
      </w:r>
      <w:r>
        <w:t xml:space="preserve"> </w:t>
      </w:r>
      <w:r>
        <w:t xml:space="preserve">the API uses for login, and either prints the hash (for a manual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) or inserts the row directly if pointed at the target database.</w:t>
      </w:r>
    </w:p>
    <w:p>
      <w:pPr>
        <w:numPr>
          <w:ilvl w:val="0"/>
          <w:numId w:val="1004"/>
        </w:numPr>
        <w:pStyle w:val="Compact"/>
      </w:pPr>
      <w:r>
        <w:t xml:space="preserve">The resulting row: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/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IsSuperAdmin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PasswordHash = &lt;the generated hash&gt;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MustChangePassword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DesignationId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Super Admin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No plaintext password is ever written to source control, a log, or a chat that persists. The password is chosen by whoever will actually be the Super Admin, not generated on their behalf — so there’s no separate party who ever knew it, and no forced reset is needed.</w:t>
      </w:r>
    </w:p>
    <w:p>
      <w:pPr>
        <w:numPr>
          <w:ilvl w:val="0"/>
          <w:numId w:val="1004"/>
        </w:numPr>
        <w:pStyle w:val="Compact"/>
      </w:pPr>
      <w:r>
        <w:t xml:space="preserve">This tool is the only place in the whole codebase allowed to insert an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row with a non-null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. Every other path (below) creates the row with</w:t>
      </w:r>
      <w:r>
        <w:t xml:space="preserve"> </w:t>
      </w:r>
      <w:r>
        <w:rPr>
          <w:rStyle w:val="VerbatimChar"/>
        </w:rPr>
        <w:t xml:space="preserve">PasswordHash = null</w:t>
      </w:r>
      <w:r>
        <w:t xml:space="preserve"> </w:t>
      </w:r>
      <w:r>
        <w:t xml:space="preserve">and requires self-activation.</w:t>
      </w:r>
    </w:p>
    <w:bookmarkEnd w:id="36"/>
    <w:bookmarkStart w:id="37" w:name="adding-a-regular-employee-add-person"/>
    <w:p>
      <w:pPr>
        <w:pStyle w:val="Heading2"/>
      </w:pPr>
      <w:r>
        <w:t xml:space="preserve">6.2 Adding a regular employee (Add Person)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/api/employees</w:t>
      </w:r>
      <w:r>
        <w:t xml:space="preserve"> </w:t>
      </w:r>
      <w:r>
        <w:t xml:space="preserve">creates the row:</w:t>
      </w:r>
      <w:r>
        <w:t xml:space="preserve"> </w:t>
      </w:r>
      <w:r>
        <w:rPr>
          <w:rStyle w:val="VerbatimChar"/>
        </w:rPr>
        <w:t xml:space="preserve">Status = Invited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PasswordHash = null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An</w:t>
      </w:r>
      <w:r>
        <w:t xml:space="preserve"> </w:t>
      </w:r>
      <w:r>
        <w:rPr>
          <w:rStyle w:val="VerbatimChar"/>
        </w:rPr>
        <w:t xml:space="preserve">ActivationToken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Purpose = Invite</w:t>
      </w:r>
      <w:r>
        <w:t xml:space="preserve">) is generated and emailed via Azure Communication Services.</w:t>
      </w:r>
    </w:p>
    <w:p>
      <w:pPr>
        <w:numPr>
          <w:ilvl w:val="0"/>
          <w:numId w:val="1005"/>
        </w:numPr>
        <w:pStyle w:val="Compact"/>
      </w:pPr>
      <w:r>
        <w:t xml:space="preserve">Employee clicks the link →</w:t>
      </w:r>
      <w:r>
        <w:t xml:space="preserve"> </w:t>
      </w:r>
      <w:r>
        <w:rPr>
          <w:rStyle w:val="VerbatimChar"/>
        </w:rPr>
        <w:t xml:space="preserve">GET /api/auth/activation-tokens/{token}</w:t>
      </w:r>
      <w:r>
        <w:t xml:space="preserve"> </w:t>
      </w:r>
      <w:r>
        <w:t xml:space="preserve">validates it (exists, unexpired, unused) and returns their name/email for the confirmation screen.</w:t>
      </w:r>
    </w:p>
    <w:p>
      <w:pPr>
        <w:numPr>
          <w:ilvl w:val="0"/>
          <w:numId w:val="1005"/>
        </w:numPr>
        <w:pStyle w:val="Compact"/>
      </w:pPr>
      <w:r>
        <w:t xml:space="preserve">They submit a new password →</w:t>
      </w:r>
      <w:r>
        <w:t xml:space="preserve"> </w:t>
      </w:r>
      <w:r>
        <w:rPr>
          <w:rStyle w:val="VerbatimChar"/>
        </w:rPr>
        <w:t xml:space="preserve">POST /api/auth/activation-tokens/{token}/complete</w:t>
      </w:r>
      <w:r>
        <w:t xml:space="preserve"> </w:t>
      </w:r>
      <w:r>
        <w:t xml:space="preserve">hashes and stores it, flips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marks the token used.</w:t>
      </w:r>
    </w:p>
    <w:p>
      <w:pPr>
        <w:numPr>
          <w:ilvl w:val="0"/>
          <w:numId w:val="1005"/>
        </w:numPr>
        <w:pStyle w:val="Compact"/>
      </w:pPr>
      <w:r>
        <w:t xml:space="preserve">Redirect to sign-in. 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point a regular employee’s password is ever set, and only they ever know it.</w:t>
      </w:r>
    </w:p>
    <w:bookmarkEnd w:id="37"/>
    <w:bookmarkStart w:id="38" w:name="Xf784916c51963de664442d18c49fdd560680971"/>
    <w:p>
      <w:pPr>
        <w:pStyle w:val="Heading2"/>
      </w:pPr>
      <w:r>
        <w:t xml:space="preserve">6.3 Resend invite / admin-triggered password reset</w:t>
      </w:r>
    </w:p>
    <w:p>
      <w:pPr>
        <w:pStyle w:val="FirstParagraph"/>
      </w:pPr>
      <w:r>
        <w:t xml:space="preserve">Both reuse the same token mechanism, gated by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Resend invite</w:t>
      </w:r>
      <w:r>
        <w:t xml:space="preserve"> </w:t>
      </w:r>
      <w:r>
        <w:t xml:space="preserve">(Person Detail, only while</w:t>
      </w:r>
      <w:r>
        <w:t xml:space="preserve"> </w:t>
      </w:r>
      <w:r>
        <w:rPr>
          <w:rStyle w:val="VerbatimChar"/>
        </w:rPr>
        <w:t xml:space="preserve">Status = Invited</w:t>
      </w:r>
      <w:r>
        <w:t xml:space="preserve">): invalidate any existing unused Invite token, issue a new one, email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Reset password</w:t>
      </w:r>
      <w:r>
        <w:t xml:space="preserve"> </w:t>
      </w:r>
      <w:r>
        <w:t xml:space="preserve">(Person Detail, any status): issue a new Reset token, email it. Never sets or displays a password directly.</w:t>
      </w:r>
    </w:p>
    <w:bookmarkEnd w:id="38"/>
    <w:bookmarkStart w:id="39" w:name="self-service-forgot-password"/>
    <w:p>
      <w:pPr>
        <w:pStyle w:val="Heading2"/>
      </w:pPr>
      <w:r>
        <w:t xml:space="preserve">6.4 Self-service forgot password</w:t>
      </w:r>
    </w:p>
    <w:p>
      <w:pPr>
        <w:pStyle w:val="FirstParagraph"/>
      </w:pPr>
      <w:r>
        <w:rPr>
          <w:rStyle w:val="VerbatimChar"/>
        </w:rPr>
        <w:t xml:space="preserve">POST /api/auth/forgot-password</w:t>
      </w:r>
      <w:r>
        <w:t xml:space="preserve"> </w:t>
      </w:r>
      <w:r>
        <w:t xml:space="preserve">— always returns the same generic response regardless of whether the email matched an account (never reveal existence). If it matched, issue a Reset token and email it exactly as above.</w:t>
      </w:r>
    </w:p>
    <w:bookmarkEnd w:id="39"/>
    <w:bookmarkStart w:id="40" w:name="login-session"/>
    <w:p>
      <w:pPr>
        <w:pStyle w:val="Heading2"/>
      </w:pPr>
      <w:r>
        <w:t xml:space="preserve">6.5 Login &amp; session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— verify email + password hash; reject with one generic</w:t>
      </w:r>
      <w:r>
        <w:t xml:space="preserve"> </w:t>
      </w:r>
      <w:r>
        <w:t xml:space="preserve">“</w:t>
      </w:r>
      <w:r>
        <w:t xml:space="preserve">email or password is incorrect</w:t>
      </w:r>
      <w:r>
        <w:t xml:space="preserve">”</w:t>
      </w:r>
      <w:r>
        <w:t xml:space="preserve"> </w:t>
      </w:r>
      <w:r>
        <w:t xml:space="preserve">message (never reveal which was wrong).</w:t>
      </w:r>
    </w:p>
    <w:p>
      <w:pPr>
        <w:numPr>
          <w:ilvl w:val="0"/>
          <w:numId w:val="1007"/>
        </w:numPr>
        <w:pStyle w:val="Compact"/>
      </w:pPr>
      <w:r>
        <w:t xml:space="preserve">Status-specific rejections: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account has been suspended, contact your administrator</w:t>
      </w:r>
      <w:r>
        <w:t xml:space="preserve">”</w:t>
      </w:r>
      <w:r>
        <w:t xml:space="preserve"> </w:t>
      </w:r>
      <w:r>
        <w:t xml:space="preserve">(no retry);</w:t>
      </w:r>
      <w:r>
        <w:t xml:space="preserve"> </w:t>
      </w:r>
      <w:r>
        <w:rPr>
          <w:rStyle w:val="VerbatimChar"/>
        </w:rPr>
        <w:t xml:space="preserve">Invited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finish setting up your account</w:t>
      </w:r>
      <w:r>
        <w:t xml:space="preserve">”</w:t>
      </w:r>
      <w:r>
        <w:t xml:space="preserve"> </w:t>
      </w:r>
      <w:r>
        <w:t xml:space="preserve">with a resend-invite option.</w:t>
      </w:r>
    </w:p>
    <w:p>
      <w:pPr>
        <w:numPr>
          <w:ilvl w:val="0"/>
          <w:numId w:val="1007"/>
        </w:numPr>
        <w:pStyle w:val="Compact"/>
      </w:pPr>
      <w:r>
        <w:t xml:space="preserve">Lock the account after 5 failed attempts within a window; unlock after 15 minutes or via admin action.</w:t>
      </w:r>
    </w:p>
    <w:p>
      <w:pPr>
        <w:numPr>
          <w:ilvl w:val="0"/>
          <w:numId w:val="1007"/>
        </w:numPr>
        <w:pStyle w:val="Compact"/>
      </w:pPr>
      <w:r>
        <w:t xml:space="preserve">On success, land the user at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if they hold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/me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pi-surface"/>
    <w:p>
      <w:pPr>
        <w:pStyle w:val="Heading1"/>
      </w:pPr>
      <w:r>
        <w:t xml:space="preserve">7. API surface</w:t>
      </w:r>
    </w:p>
    <w:p>
      <w:pPr>
        <w:pStyle w:val="FirstParagraph"/>
      </w:pPr>
      <w:r>
        <w:t xml:space="preserve">Grouped by the page that consumes them (see</w:t>
      </w:r>
      <w:r>
        <w:t xml:space="preserve"> </w:t>
      </w:r>
      <w:r>
        <w:rPr>
          <w:rStyle w:val="VerbatimChar"/>
        </w:rPr>
        <w:t xml:space="preserve">IBS-User-Management-Pages.docx</w:t>
      </w:r>
      <w:r>
        <w:t xml:space="preserve"> </w:t>
      </w:r>
      <w:r>
        <w:t xml:space="preserve">for full field/state detail per page).</w:t>
      </w:r>
    </w:p>
    <w:p>
      <w:pPr>
        <w:pStyle w:val="BodyText"/>
      </w:pPr>
      <w:r>
        <w:rPr>
          <w:bCs/>
          <w:b/>
        </w:rPr>
        <w:t xml:space="preserve">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/api/auth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/logout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/forgot-password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/activation-tokens/{token}</w:t>
      </w:r>
      <w:r>
        <w:t xml:space="preserve"> </w:t>
      </w:r>
      <w:r>
        <w:t xml:space="preserve">— validate + return 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/activation-tokens/{token}/complete</w:t>
      </w:r>
      <w:r>
        <w:t xml:space="preserve"> </w:t>
      </w:r>
      <w:r>
        <w:t xml:space="preserve">— set password</w:t>
      </w:r>
    </w:p>
    <w:p>
      <w:pPr>
        <w:pStyle w:val="BodyText"/>
      </w:pPr>
      <w:r>
        <w:rPr>
          <w:bCs/>
          <w:b/>
        </w:rPr>
        <w:t xml:space="preserve">Employees / Team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/api/employees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/employees?status=&amp;department=&amp;branch=&amp;designation=&amp;search=&amp;page=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/employees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/employees/{id}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 </w:t>
      </w:r>
      <w:r>
        <w:t xml:space="preserve">or self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/employees/{id}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/employees/{id}/resend-invite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, status must be Invited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/employees/{id}/reset-password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/employees/{id}/suspend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/reinstate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/deactivate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 </w:t>
      </w:r>
      <w:r>
        <w:t xml:space="preserve">(deactivation should surface a reassignment step if the person owns open work in other modules, once those exist — stub this as a no-op check for now)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/employees/me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/employees/me</w:t>
      </w:r>
      <w:r>
        <w:t xml:space="preserve"> </w:t>
      </w:r>
      <w:r>
        <w:t xml:space="preserve">— self only, employment/designation/permissions excluded from the editable set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/employees/me/password</w:t>
      </w:r>
      <w:r>
        <w:t xml:space="preserve"> </w:t>
      </w:r>
      <w:r>
        <w:t xml:space="preserve">— self only, current + new password</w:t>
      </w:r>
    </w:p>
    <w:p>
      <w:pPr>
        <w:pStyle w:val="BodyText"/>
      </w:pPr>
      <w:r>
        <w:rPr>
          <w:bCs/>
          <w:b/>
        </w:rPr>
        <w:t xml:space="preserve">Statutory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/api/employees/{id}/statutory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— Super Admin,</w:t>
      </w:r>
      <w:r>
        <w:t xml:space="preserve"> </w:t>
      </w:r>
      <w:r>
        <w:rPr>
          <w:rStyle w:val="VerbatimChar"/>
        </w:rPr>
        <w:t xml:space="preserve">view_sensitive_data</w:t>
      </w:r>
      <w:r>
        <w:t xml:space="preserve">, or self</w:t>
      </w:r>
    </w:p>
    <w:p>
      <w:pPr>
        <w:pStyle w:val="BodyText"/>
      </w:pPr>
      <w:r>
        <w:rPr>
          <w:bCs/>
          <w:b/>
        </w:rPr>
        <w:t xml:space="preserve">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/api/employees/{id}/documents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(uploads to Blob Storage),</w:t>
      </w:r>
      <w:r>
        <w:t xml:space="preserve"> </w:t>
      </w:r>
      <w:r>
        <w:rPr>
          <w:rStyle w:val="VerbatimChar"/>
        </w:rPr>
        <w:t xml:space="preserve">DELETE /{docId}</w:t>
      </w:r>
    </w:p>
    <w:p>
      <w:pPr>
        <w:pStyle w:val="BodyText"/>
      </w:pPr>
      <w:r>
        <w:rPr>
          <w:bCs/>
          <w:b/>
        </w:rPr>
        <w:t xml:space="preserve">Permissions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/api/employees/{id}/permissions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/permissions</w:t>
      </w:r>
      <w:r>
        <w:t xml:space="preserve"> </w:t>
      </w:r>
      <w:r>
        <w:t xml:space="preserve">— catalogue, grouped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/permissions/{id}</w:t>
      </w:r>
      <w:r>
        <w:t xml:space="preserve"> </w:t>
      </w:r>
      <w:r>
        <w:t xml:space="preserve">— rename/redescribe/regroup only —</w:t>
      </w:r>
      <w:r>
        <w:t xml:space="preserve"> </w:t>
      </w:r>
      <w:r>
        <w:rPr>
          <w:rStyle w:val="VerbatimChar"/>
        </w:rPr>
        <w:t xml:space="preserve">manage_permissions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/employees/{id}/permissions</w:t>
      </w:r>
      <w:r>
        <w:t xml:space="preserve"> </w:t>
      </w:r>
      <w:r>
        <w:t xml:space="preserve">— Access tab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/employees/{id}/permissions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CanManageAccount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manage_users</w:t>
      </w:r>
      <w:r>
        <w:t xml:space="preserve">; granting</w:t>
      </w:r>
      <w:r>
        <w:t xml:space="preserve"> </w:t>
      </w:r>
      <w:r>
        <w:rPr>
          <w:rStyle w:val="VerbatimChar"/>
        </w:rPr>
        <w:t xml:space="preserve">manage_permissions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view_sensitive_data</w:t>
      </w:r>
      <w:r>
        <w:t xml:space="preserve"> </w:t>
      </w:r>
      <w:r>
        <w:t xml:space="preserve">additionally requires the actor to hold</w:t>
      </w:r>
      <w:r>
        <w:t xml:space="preserve"> </w:t>
      </w:r>
      <w:r>
        <w:rPr>
          <w:rStyle w:val="VerbatimChar"/>
        </w:rPr>
        <w:t xml:space="preserve">manage_permissions</w:t>
      </w:r>
      <w:r>
        <w:t xml:space="preserve"> </w:t>
      </w:r>
      <w:r>
        <w:t xml:space="preserve">(§5.4)</w:t>
      </w:r>
    </w:p>
    <w:p>
      <w:pPr>
        <w:pStyle w:val="BodyText"/>
      </w:pPr>
      <w:r>
        <w:rPr>
          <w:bCs/>
          <w:b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/api/settings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GET/PUT /company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manage_company_settings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GET/POST/PUT/DELETE /branches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/designations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manage_company_settings</w:t>
      </w:r>
      <w:r>
        <w:t xml:space="preserve">; delete blocked while in use</w:t>
      </w:r>
    </w:p>
    <w:p>
      <w:pPr>
        <w:pStyle w:val="BodyText"/>
      </w:pPr>
      <w:r>
        <w:rPr>
          <w:bCs/>
          <w:b/>
        </w:rPr>
        <w:t xml:space="preserve">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/api/audit-log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/audit-log?targetId=&amp;actorId=&amp;from=&amp;to=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view_audit_log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manage_users</w:t>
      </w:r>
    </w:p>
    <w:p>
      <w:r>
        <w:pict>
          <v:rect style="width:0;height:1.5pt" o:hralign="center" o:hrstd="t" o:hr="t"/>
        </w:pict>
      </w:r>
    </w:p>
    <w:bookmarkEnd w:id="42"/>
    <w:bookmarkStart w:id="43" w:name="out-of-scope-for-this-pass"/>
    <w:p>
      <w:pPr>
        <w:pStyle w:val="Heading1"/>
      </w:pPr>
      <w:r>
        <w:t xml:space="preserve">8. Out of scope for this pass</w:t>
      </w:r>
    </w:p>
    <w:p>
      <w:pPr>
        <w:numPr>
          <w:ilvl w:val="0"/>
          <w:numId w:val="1008"/>
        </w:numPr>
        <w:pStyle w:val="Compact"/>
      </w:pPr>
      <w:r>
        <w:t xml:space="preserve">Attendance &amp; leave — deferred project-wide, not part of this module.</w:t>
      </w:r>
    </w:p>
    <w:p>
      <w:pPr>
        <w:numPr>
          <w:ilvl w:val="0"/>
          <w:numId w:val="1008"/>
        </w:numPr>
        <w:pStyle w:val="Compact"/>
      </w:pPr>
      <w:r>
        <w:t xml:space="preserve">Client portal — has its own account type (</w:t>
      </w:r>
      <w:r>
        <w:rPr>
          <w:rStyle w:val="VerbatimChar"/>
        </w:rPr>
        <w:t xml:space="preserve">ClientPortalAccount</w:t>
      </w:r>
      <w:r>
        <w:t xml:space="preserve">, intentionally separate from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) and its own open decisions (D8, D9, U-D4/U-D5); not built in this pass.</w:t>
      </w:r>
    </w:p>
    <w:p>
      <w:pPr>
        <w:numPr>
          <w:ilvl w:val="0"/>
          <w:numId w:val="1008"/>
        </w:numPr>
        <w:pStyle w:val="Compact"/>
      </w:pPr>
      <w:r>
        <w:t xml:space="preserve">Sales, Design, Delivery, Procurement, Finance modules — folders reserved in the project structure (§3), no entities or endpoints built yet.</w:t>
      </w:r>
    </w:p>
    <w:p>
      <w:pPr>
        <w:numPr>
          <w:ilvl w:val="0"/>
          <w:numId w:val="1008"/>
        </w:numPr>
        <w:pStyle w:val="Compact"/>
      </w:pPr>
      <w:r>
        <w:t xml:space="preserve">Multi-tenancy — this is a single company with multiple branches, not a multi-tenant SaaS. Don’t add tenant-scoping columns unless that changes.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e-documents"/>
    <w:p>
      <w:pPr>
        <w:pStyle w:val="Heading1"/>
      </w:pPr>
      <w:r>
        <w:t xml:space="preserve">9. Reference documents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IBS-Permissions-Model.docx</w:t>
      </w:r>
      <w:r>
        <w:t xml:space="preserve"> </w:t>
      </w:r>
      <w:r>
        <w:t xml:space="preserve">— full reasoning behind the permission catalogue and the Super Admin protection rule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IBS-User-Management-Pages.docx</w:t>
      </w:r>
      <w:r>
        <w:t xml:space="preserve"> </w:t>
      </w:r>
      <w:r>
        <w:t xml:space="preserve">— all 8 screens, every field, every state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IBS-Onboarding-Flow.docx</w:t>
      </w:r>
      <w:r>
        <w:t xml:space="preserve"> </w:t>
      </w:r>
      <w:r>
        <w:t xml:space="preserve">— the end-to-end bootstrap walkthrough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prototype/index.html</w:t>
      </w:r>
      <w:r>
        <w:t xml:space="preserve"> </w:t>
      </w:r>
      <w:r>
        <w:t xml:space="preserve">— the working frontend reference this backend needs to serve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IBS — Backend Service Specification (for Claude Code)</dc:title>
  <dc:creator/>
  <cp:keywords/>
  <dcterms:created xsi:type="dcterms:W3CDTF">2026-08-21T14:05:49Z</dcterms:created>
  <dcterms:modified xsi:type="dcterms:W3CDTF">2026-08-21T14:05:49Z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August 2026</vt:lpwstr>
  </property>
</Properties>
</file>