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/ Bid Summary</w:t>
      </w:r>
    </w:p>
    <w:p>
      <w:pPr>
        <w:jc w:val="center"/>
      </w:pPr>
      <w:r>
        <w:rPr>
          <w:i/>
        </w:rPr>
        <w:t>(Logo: save your company logo as public/branding/qis-logo.png and re-run this script.)</w:t>
        <w:br/>
      </w:r>
    </w:p>
    <w:p>
      <w:pPr>
        <w:jc w:val="center"/>
      </w:pPr>
      <w:r>
        <w:rPr>
          <w:b/>
          <w:sz w:val="28"/>
        </w:rPr>
        <w:t>Quality Installation Systems</w:t>
        <w:br/>
      </w:r>
    </w:p>
    <w:p>
      <w:pPr>
        <w:jc w:val="center"/>
      </w:pPr>
      <w:r>
        <w:t>2 Robert Browning</w:t>
        <w:br/>
        <w:t>Knoxville, TN 37932</w:t>
        <w:br/>
        <w:t>865-774-4444 | Robert@qualityinstallationsystems.com</w:t>
        <w:br/>
      </w:r>
    </w:p>
    <w:p>
      <w:pPr>
        <w:jc w:val="center"/>
      </w:pPr>
      <w:r>
        <w:t>To: CEVA Logistics</w:t>
        <w:br/>
      </w:r>
      <w:r>
        <w:t>Re: Pro-Watch System Decommissioning + Avigilon ACM (per site pricing)</w:t>
        <w:br/>
      </w:r>
      <w:r>
        <w:t>Proposal date: 2026-05-12</w:t>
        <w:br/>
      </w:r>
      <w:r>
        <w:t>This proposal is valid for 15 calendar days (through 2026-05-27).</w:t>
        <w:br/>
      </w:r>
    </w:p>
    <w:p/>
    <w:p>
      <w:r>
        <w:rPr>
          <w:b/>
        </w:rPr>
        <w:t xml:space="preserve">OCIP (brief): </w:t>
      </w:r>
      <w:r>
        <w:t>OCIP stands for Owner-Controlled Insurance Program — a project-specific insurance/wrap program where the owner sponsors workers comp, GL, and related coverages on a construction program. Sometimes the contractor pays a small participation or fee; sometimes OCIP is fully owner-managed and adds no line to your bid. The line below is a conservative **allowance** only; confirm with CEVA whether OCIP applies and at what rate.</w:t>
        <w:br/>
      </w:r>
    </w:p>
    <w:p>
      <w:r>
        <w:br w:type="page"/>
      </w:r>
    </w:p>
    <w:p>
      <w:pPr>
        <w:pStyle w:val="Heading1"/>
      </w:pPr>
      <w:r>
        <w:t>Assumptions &amp; exclusions (summary)</w:t>
      </w:r>
    </w:p>
    <w:p>
      <w:pPr>
        <w:pStyle w:val="ListBullet"/>
      </w:pPr>
      <w:r>
        <w:t>Labor hours are planning estimates based on CEVA-provided quantities plus a five-reader buffer per site; engineered drawings may adjust scope via change order.</w:t>
      </w:r>
    </w:p>
    <w:p>
      <w:pPr>
        <w:pStyle w:val="ListBullet"/>
      </w:pPr>
      <w:r>
        <w:t>Loaded labor rate: $155.00/hr.</w:t>
      </w:r>
    </w:p>
    <w:p>
      <w:pPr>
        <w:pStyle w:val="ListBullet"/>
      </w:pPr>
      <w:r>
        <w:t>PM / supervision: 12% of **direct labor dollars** (hours × rate), then contractor margin 25% applies to (direct labor + PM).</w:t>
      </w:r>
    </w:p>
    <w:p>
      <w:pPr>
        <w:pStyle w:val="ListBullet"/>
      </w:pPr>
      <w:r>
        <w:t>Material pricing shown is an **indicative market-cost BOM** (internet/distributor-style placeholders) **before** 25% contractor margin; replace with formal distributor quotes.</w:t>
      </w:r>
    </w:p>
    <w:p>
      <w:pPr>
        <w:pStyle w:val="ListBullet"/>
      </w:pPr>
      <w:r>
        <w:t>Sales &amp; use tax shown at 9.25% on **material sell** only (placeholder — verify taxable treatment and local rate).</w:t>
      </w:r>
    </w:p>
    <w:p>
      <w:pPr>
        <w:pStyle w:val="ListBullet"/>
      </w:pPr>
      <w:r>
        <w:t>Performance/payment bond allowance: 1.50% of pre-tax construction subtotal (labor sell + material sell) — verify with your surety.</w:t>
      </w:r>
    </w:p>
    <w:p>
      <w:pPr>
        <w:pStyle w:val="ListBullet"/>
      </w:pPr>
      <w:r>
        <w:t>OCIP / wrap allowance: 0.50% of pre-tax construction subtotal — **zero this** if CEVA confirms owner-provided wrap with no contractor contribution.</w:t>
      </w:r>
    </w:p>
    <w:p>
      <w:pPr>
        <w:pStyle w:val="ListBullet"/>
      </w:pPr>
      <w:r>
        <w:t>Intercoms, vehicle gates, turnstiles, Cisco licensing/SFP/fiber, and wireless bridges are excluded unless listed in a site-specific SOW attachment.</w:t>
      </w:r>
    </w:p>
    <w:p>
      <w:pPr>
        <w:pStyle w:val="ListBullet"/>
      </w:pPr>
      <w:r>
        <w:t>RFP completion milestone referenced in discussions: June 25, 2026 — confirm current contract schedule.</w:t>
      </w:r>
    </w:p>
    <w:p>
      <w:pPr>
        <w:pStyle w:val="ListBullet"/>
      </w:pPr>
      <w:r>
        <w:t>Cable takeoff uses CEVA **500 ft maximum** reader/controller homerun rule: each opening must be ≤500 ft to its panel (or IDF/aux panel). Until a survey exists, we price **parallel homeruns** using a planning **average path length** per reader, plus **10 ft** field service loop per homerun and **10%** spool/waste allowance. Any run over 500 ft requires an **IDF/aux** (extra panel, rack ports, fiber/media) — **change order**.</w:t>
      </w:r>
    </w:p>
    <w:p>
      <w:pPr>
        <w:pStyle w:val="ListBullet"/>
      </w:pPr>
      <w:r>
        <w:t>Lift / aerial equipment: BOM includes a **rental-day allowance** (all-in placeholder). Operator labor for lift moves is generally embedded in field labor hours; fuel/damage waiver may be extra per rental contract.</w:t>
      </w:r>
    </w:p>
    <w:p>
      <w:r>
        <w:br w:type="page"/>
      </w:r>
    </w:p>
    <w:p>
      <w:pPr>
        <w:pStyle w:val="Heading1"/>
      </w:pPr>
      <w:r>
        <w:t>Site package — US-MJB-04</w:t>
      </w:r>
    </w:p>
    <w:p>
      <w:r>
        <w:rPr>
          <w:b/>
        </w:rPr>
        <w:t>G&amp;R Warehouse</w:t>
        <w:br/>
      </w:r>
      <w:r>
        <w:t>12014 Volunteer Blvd, Mount Juliet, TN</w:t>
        <w:br/>
      </w:r>
      <w:r>
        <w:t>Bid quantities (planning): 19 reader openings (CEVA +5 buffer), 7 LP1502 positions.</w:t>
        <w:br/>
      </w:r>
    </w:p>
    <w:p>
      <w:pPr>
        <w:pStyle w:val="Heading2"/>
      </w:pPr>
      <w:r>
        <w:t>Bill of materials (indicative market pricing) — US-MJB-04</w:t>
      </w:r>
    </w:p>
    <w:p>
      <w:r>
        <w:rPr>
          <w:i/>
        </w:rPr>
        <w:t xml:space="preserve">Quantities and unit costs are **planning placeholders** until distributor quotes and engineered drawings are issued.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(est.)</w:t>
            </w:r>
          </w:p>
        </w:tc>
        <w:tc>
          <w:tcPr>
            <w:tcW w:type="dxa" w:w="1728"/>
          </w:tcPr>
          <w:p>
            <w:r>
              <w:t>Extended (est.)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HID Multi-Class Signo 40 / 40K readers (blend — IT keypads as required)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$9,215.00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controller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$12,250.00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MR52-S3 I/O module (typical mix per panel)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$3,950.00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/ LSP-style enclosure &amp; distribution (per cluster)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$14,350.00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(DS150i/DS160 class — model per RFI)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$1,232.00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 (interior/exterior mix)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$504.00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Sounder/strobe (IN/OUT &amp; alarmed door allowance)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$1,440.00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Electric strike / EL / door hardware allowance (non-locksmith)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Cat6 plenum green + patch / Cyber SSPS allowance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Batteries, power accessories, misc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Conduit, J-hooks, labels, wire management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Decommission supplies, packaging, dumpster/recycle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/ logistics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Yellow plenum composite — reader homeruns (est. 19 runs × (300+10) ft × (1+10%) waste)</w:t>
            </w:r>
          </w:p>
        </w:tc>
        <w:tc>
          <w:tcPr>
            <w:tcW w:type="dxa" w:w="1728"/>
          </w:tcPr>
          <w:p>
            <w:r>
              <w:t>6479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$7,904.38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6 runs × (280+10) ft × (1+10%) waste)</w:t>
            </w:r>
          </w:p>
        </w:tc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$5,646.30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6 days, all-in incl. delivery/pickup allowance)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$1,470.00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</w:tcPr>
          <w:p>
            <w:r>
              <w:t>Material base (pre-margin)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$66,361.68</w:t>
            </w:r>
          </w:p>
        </w:tc>
        <w:tc>
          <w:tcPr>
            <w:tcW w:type="dxa" w:w="1728"/>
          </w:tcPr>
          <w:p>
            <w:r>
              <w:t>Sum of BOM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/ scope bucket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Rate ($155.00/hr)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 (setup, coordination, prerequisites)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$3,100.00</w:t>
            </w:r>
          </w:p>
        </w:tc>
      </w:tr>
      <w:tr>
        <w:tc>
          <w:tcPr>
            <w:tcW w:type="dxa" w:w="2160"/>
          </w:tcPr>
          <w:p>
            <w:r>
              <w:t>B — Pro-Watch decommission (remove, cable, inventory, light patch)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$11,780.00</w:t>
            </w:r>
          </w:p>
        </w:tc>
      </w:tr>
      <w:tr>
        <w:tc>
          <w:tcPr>
            <w:tcW w:type="dxa" w:w="2160"/>
          </w:tcPr>
          <w:p>
            <w:r>
              <w:t>C — Rough-in (pathway, homeruns, service loops, headend rough-in)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D — Headend install (LSP / LP1502 / MR52 landing &amp; checkout)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E — Device install (readers, terminations, door interfaces — spread est.)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F — Power-on checks &amp; comms troubleshooting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$2,790.00</w:t>
            </w:r>
          </w:p>
        </w:tc>
      </w:tr>
      <w:tr>
        <w:tc>
          <w:tcPr>
            <w:tcW w:type="dxa" w:w="2160"/>
          </w:tcPr>
          <w:p>
            <w:r>
              <w:t>G — ACM programming (hardware map, doors, schedules per contract)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I — Closeout documentation (as-builts, panel schedules, turnover)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$6,200.00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$71,920.00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$8,630.40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$80,550.40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$20,137.60</w:t>
            </w:r>
          </w:p>
        </w:tc>
      </w:tr>
      <w:tr>
        <w:tc>
          <w:tcPr>
            <w:tcW w:type="dxa" w:w="2160"/>
          </w:tcPr>
          <w:p>
            <w:r>
              <w:t>Labor sell 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$100,688.00</w:t>
            </w:r>
          </w:p>
        </w:tc>
      </w:tr>
    </w:tbl>
    <w:p>
      <w:pPr>
        <w:pStyle w:val="Heading2"/>
      </w:pPr>
      <w:r>
        <w:t>Financial summary — US-MJB-04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$100,688.00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$66,361.68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$16,590.42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$82,952.10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$183,640.10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verify)</w:t>
            </w:r>
          </w:p>
        </w:tc>
        <w:tc>
          <w:tcPr>
            <w:tcW w:type="dxa" w:w="4320"/>
          </w:tcPr>
          <w:p>
            <w:r>
              <w:t>$7,673.07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$2,754.60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$918.20</w:t>
            </w:r>
          </w:p>
        </w:tc>
      </w:tr>
      <w:tr>
        <w:tc>
          <w:tcPr>
            <w:tcW w:type="dxa" w:w="4320"/>
          </w:tcPr>
          <w:p>
            <w:r>
              <w:t>TOTAL (this site)</w:t>
            </w:r>
          </w:p>
        </w:tc>
        <w:tc>
          <w:tcPr>
            <w:tcW w:type="dxa" w:w="4320"/>
          </w:tcPr>
          <w:p>
            <w:r>
              <w:t>$194,985.97</w:t>
            </w:r>
          </w:p>
        </w:tc>
      </w:tr>
    </w:tbl>
    <w:p>
      <w:r>
        <w:br w:type="page"/>
      </w:r>
    </w:p>
    <w:p>
      <w:pPr>
        <w:pStyle w:val="Heading1"/>
      </w:pPr>
      <w:r>
        <w:t>Site package — US-MJB-02</w:t>
      </w:r>
    </w:p>
    <w:p>
      <w:r>
        <w:rPr>
          <w:b/>
        </w:rPr>
        <w:t>CL Warehouse (Building 3)</w:t>
        <w:br/>
      </w:r>
      <w:r>
        <w:t>12008 Volunteer Blvd, Building 3, Mount Juliet, TN</w:t>
        <w:br/>
      </w:r>
      <w:r>
        <w:t>Bid quantities (planning): 27 reader openings (CEVA +5 buffer), 11 LP1502 positions.</w:t>
        <w:br/>
      </w:r>
    </w:p>
    <w:p>
      <w:pPr>
        <w:pStyle w:val="Heading2"/>
      </w:pPr>
      <w:r>
        <w:t>Bill of materials (indicative market pricing) — US-MJB-02</w:t>
      </w:r>
    </w:p>
    <w:p>
      <w:r>
        <w:rPr>
          <w:i/>
        </w:rPr>
        <w:t xml:space="preserve">Quantities and unit costs are **planning placeholders** until distributor quotes and engineered drawings are issued.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(est.)</w:t>
            </w:r>
          </w:p>
        </w:tc>
        <w:tc>
          <w:tcPr>
            <w:tcW w:type="dxa" w:w="1728"/>
          </w:tcPr>
          <w:p>
            <w:r>
              <w:t>Extended (est.)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HID Multi-Class Signo 40 / 40K readers (blend — IT keypads as required)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$13,095.00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controller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$19,250.00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MR52-S3 I/O module (typical mix per panel)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$5,530.00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/ LSP-style enclosure &amp; distribution (per cluster)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$22,550.00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(DS150i/DS160 class — model per RFI)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$1,760.00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 (interior/exterior mix)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$672.00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Sounder/strobe (IN/OUT &amp; alarmed door allowance)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Electric strike / EL / door hardware allowance (non-locksmith)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$2,450.00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Cat6 plenum green + patch / Cyber SSPS allowance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Batteries, power accessories, misc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Conduit, J-hooks, labels, wire management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$1,550.00</w:t>
            </w:r>
          </w:p>
        </w:tc>
        <w:tc>
          <w:tcPr>
            <w:tcW w:type="dxa" w:w="1728"/>
          </w:tcPr>
          <w:p>
            <w:r>
              <w:t>$1,550.00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Decommission supplies, packaging, dumpster/recycle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/ logistics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Yellow plenum composite — reader homeruns (est. 27 runs × (340+10) ft × (1+10%) waste)</w:t>
            </w:r>
          </w:p>
        </w:tc>
        <w:tc>
          <w:tcPr>
            <w:tcW w:type="dxa" w:w="1728"/>
          </w:tcPr>
          <w:p>
            <w:r>
              <w:t>10395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$12,681.90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8 runs × (300+10) ft × (1+10%) waste)</w:t>
            </w:r>
          </w:p>
        </w:tc>
        <w:tc>
          <w:tcPr>
            <w:tcW w:type="dxa" w:w="1728"/>
          </w:tcPr>
          <w:p>
            <w:r>
              <w:t>2728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$8,047.60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9 days, all-in incl. delivery/pickup allowance)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$2,205.00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</w:tcPr>
          <w:p>
            <w:r>
              <w:t>Material base (pre-margin)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$99,941.50</w:t>
            </w:r>
          </w:p>
        </w:tc>
        <w:tc>
          <w:tcPr>
            <w:tcW w:type="dxa" w:w="1728"/>
          </w:tcPr>
          <w:p>
            <w:r>
              <w:t>Sum of BOM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/ scope bucket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Rate ($155.00/hr)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$3,875.00</w:t>
            </w:r>
          </w:p>
        </w:tc>
      </w:tr>
      <w:tr>
        <w:tc>
          <w:tcPr>
            <w:tcW w:type="dxa" w:w="2160"/>
          </w:tcPr>
          <w:p>
            <w:r>
              <w:t>B — Pro-Watch decommission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$15,500.00</w:t>
            </w:r>
          </w:p>
        </w:tc>
      </w:tr>
      <w:tr>
        <w:tc>
          <w:tcPr>
            <w:tcW w:type="dxa" w:w="2160"/>
          </w:tcPr>
          <w:p>
            <w:r>
              <w:t>C — Rough-in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$21,390.00</w:t>
            </w:r>
          </w:p>
        </w:tc>
      </w:tr>
      <w:tr>
        <w:tc>
          <w:tcPr>
            <w:tcW w:type="dxa" w:w="2160"/>
          </w:tcPr>
          <w:p>
            <w:r>
              <w:t>D — Headend install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$15,190.00</w:t>
            </w:r>
          </w:p>
        </w:tc>
      </w:tr>
      <w:tr>
        <w:tc>
          <w:tcPr>
            <w:tcW w:type="dxa" w:w="2160"/>
          </w:tcPr>
          <w:p>
            <w:r>
              <w:t>E — Device install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F — Power-on checks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G — ACM programming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$9,920.00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$4,960.00</w:t>
            </w:r>
          </w:p>
        </w:tc>
      </w:tr>
      <w:tr>
        <w:tc>
          <w:tcPr>
            <w:tcW w:type="dxa" w:w="2160"/>
          </w:tcPr>
          <w:p>
            <w:r>
              <w:t>I — Closeout documentation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$97,185.00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$11,662.20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$108,847.20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$27,211.80</w:t>
            </w:r>
          </w:p>
        </w:tc>
      </w:tr>
      <w:tr>
        <w:tc>
          <w:tcPr>
            <w:tcW w:type="dxa" w:w="2160"/>
          </w:tcPr>
          <w:p>
            <w:r>
              <w:t>Labor sell total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$136,059.00</w:t>
            </w:r>
          </w:p>
        </w:tc>
      </w:tr>
    </w:tbl>
    <w:p>
      <w:pPr>
        <w:pStyle w:val="Heading2"/>
      </w:pPr>
      <w:r>
        <w:t>Financial summary — US-MJB-02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$136,059.00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$99,941.50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$24,985.38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$124,926.88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$260,985.88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verify)</w:t>
            </w:r>
          </w:p>
        </w:tc>
        <w:tc>
          <w:tcPr>
            <w:tcW w:type="dxa" w:w="4320"/>
          </w:tcPr>
          <w:p>
            <w:r>
              <w:t>$11,555.74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$3,914.79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$1,304.93</w:t>
            </w:r>
          </w:p>
        </w:tc>
      </w:tr>
      <w:tr>
        <w:tc>
          <w:tcPr>
            <w:tcW w:type="dxa" w:w="4320"/>
          </w:tcPr>
          <w:p>
            <w:r>
              <w:t>TOTAL (this site)</w:t>
            </w:r>
          </w:p>
        </w:tc>
        <w:tc>
          <w:tcPr>
            <w:tcW w:type="dxa" w:w="4320"/>
          </w:tcPr>
          <w:p>
            <w:r>
              <w:t>$277,761.33</w:t>
            </w:r>
          </w:p>
        </w:tc>
      </w:tr>
    </w:tbl>
    <w:p>
      <w:r>
        <w:br w:type="page"/>
      </w:r>
    </w:p>
    <w:p>
      <w:pPr>
        <w:pStyle w:val="Heading1"/>
      </w:pPr>
      <w:r>
        <w:t>Combined total (both sites)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US-MJB-04 — total (per site table)</w:t>
            </w:r>
          </w:p>
        </w:tc>
        <w:tc>
          <w:tcPr>
            <w:tcW w:type="dxa" w:w="4320"/>
          </w:tcPr>
          <w:p>
            <w:r>
              <w:t>$194,985.97</w:t>
            </w:r>
          </w:p>
        </w:tc>
      </w:tr>
      <w:tr>
        <w:tc>
          <w:tcPr>
            <w:tcW w:type="dxa" w:w="4320"/>
          </w:tcPr>
          <w:p>
            <w:r>
              <w:t>US-MJB-02 — total (per site table)</w:t>
            </w:r>
          </w:p>
        </w:tc>
        <w:tc>
          <w:tcPr>
            <w:tcW w:type="dxa" w:w="4320"/>
          </w:tcPr>
          <w:p>
            <w:r>
              <w:t>$277,761.33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Recomputed pre-tax subtotal (labor+mtrl, both sites)</w:t>
            </w:r>
          </w:p>
        </w:tc>
        <w:tc>
          <w:tcPr>
            <w:tcW w:type="dxa" w:w="4320"/>
          </w:tcPr>
          <w:p>
            <w:r>
              <w:t>$444,625.97</w:t>
            </w:r>
          </w:p>
        </w:tc>
      </w:tr>
      <w:tr>
        <w:tc>
          <w:tcPr>
            <w:tcW w:type="dxa" w:w="4320"/>
          </w:tcPr>
          <w:p>
            <w:r>
              <w:t>Combined est. tax on materials (same method)</w:t>
            </w:r>
          </w:p>
        </w:tc>
        <w:tc>
          <w:tcPr>
            <w:tcW w:type="dxa" w:w="4320"/>
          </w:tcPr>
          <w:p>
            <w:r>
              <w:t>$19,228.81</w:t>
            </w:r>
          </w:p>
        </w:tc>
      </w:tr>
      <w:tr>
        <w:tc>
          <w:tcPr>
            <w:tcW w:type="dxa" w:w="4320"/>
          </w:tcPr>
          <w:p>
            <w:r>
              <w:t>Combined bond allowance (on combined pre-tax)</w:t>
            </w:r>
          </w:p>
        </w:tc>
        <w:tc>
          <w:tcPr>
            <w:tcW w:type="dxa" w:w="4320"/>
          </w:tcPr>
          <w:p>
            <w:r>
              <w:t>$6,669.39</w:t>
            </w:r>
          </w:p>
        </w:tc>
      </w:tr>
      <w:tr>
        <w:tc>
          <w:tcPr>
            <w:tcW w:type="dxa" w:w="4320"/>
          </w:tcPr>
          <w:p>
            <w:r>
              <w:t>Combined OCIP allowance (on combined pre-tax)</w:t>
            </w:r>
          </w:p>
        </w:tc>
        <w:tc>
          <w:tcPr>
            <w:tcW w:type="dxa" w:w="4320"/>
          </w:tcPr>
          <w:p>
            <w:r>
              <w:t>$2,223.13</w:t>
            </w:r>
          </w:p>
        </w:tc>
      </w:tr>
      <w:tr>
        <w:tc>
          <w:tcPr>
            <w:tcW w:type="dxa" w:w="4320"/>
          </w:tcPr>
          <w:p>
            <w:r>
              <w:t>GRAND TOTAL (both sites, recomputed)</w:t>
            </w:r>
          </w:p>
        </w:tc>
        <w:tc>
          <w:tcPr>
            <w:tcW w:type="dxa" w:w="4320"/>
          </w:tcPr>
          <w:p>
            <w:r>
              <w:t>$472,747.30</w:t>
            </w:r>
          </w:p>
        </w:tc>
      </w:tr>
    </w:tbl>
    <w:p>
      <w:r>
        <w:rPr>
          <w:i/>
        </w:rPr>
        <w:t>Note: Per-site totals include per-site bond/tax/OCIP math; the recombined row above recalculates bond/OCIP once on the **combined** pre-tax subtotal to avoid stacking rounding — use **either** the sum of per-site totals **or** the recomputed grand total consistently in your cover letter.</w:t>
      </w:r>
    </w:p>
    <w:p/>
    <w:p>
      <w:pPr>
        <w:pStyle w:val="Heading2"/>
      </w:pPr>
      <w:r>
        <w:t>Authorization</w:t>
      </w:r>
    </w:p>
    <w:p>
      <w:r>
        <w:t>Respectfully submitted,</w:t>
        <w:br/>
        <w:br/>
      </w:r>
      <w:r>
        <w:rPr>
          <w:b/>
        </w:rPr>
        <w:t>Robert Browning</w:t>
        <w:br/>
      </w:r>
      <w:r>
        <w:t>Authorized Signer</w:t>
        <w:br/>
      </w:r>
      <w:r>
        <w:t>Quality Installation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