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</w:rPr>
        <w:t>Your logo goes here: save as public/branding/qis-logo.png and re-run — we’ll drop it in automatically.</w:t>
        <w:br/>
      </w:r>
    </w:p>
    <w:p>
      <w:pPr>
        <w:jc w:val="center"/>
      </w:pPr>
      <w:r>
        <w:rPr>
          <w:b/>
          <w:color w:val="0070C0"/>
          <w:sz w:val="44"/>
        </w:rPr>
        <w:t>ACCESS CONTROL MODERNIZATION</w:t>
      </w:r>
    </w:p>
    <w:p>
      <w:pPr>
        <w:jc w:val="center"/>
      </w:pPr>
      <w:r>
        <w:rPr>
          <w:b/>
          <w:color w:val="1B3A5F"/>
          <w:sz w:val="32"/>
        </w:rPr>
        <w:t>Proposal for CEVA Logistics</w:t>
      </w:r>
    </w:p>
    <w:p>
      <w:pPr>
        <w:jc w:val="center"/>
      </w:pPr>
      <w:r>
        <w:rPr>
          <w:i/>
          <w:color w:val="595959"/>
          <w:sz w:val="22"/>
        </w:rPr>
        <w:t>Pro-Watch decommission + Avigilon ACM / Mercury — two Mount Juliet facilities, priced honestly.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  US-MJB-04 + US-MJB-02  •  Planning investment (both sites): $472,747.30  </w:t>
            </w:r>
          </w:p>
        </w:tc>
      </w:tr>
    </w:tbl>
    <w:p/>
    <w:p>
      <w:pPr>
        <w:jc w:val="center"/>
      </w:pPr>
      <w:r>
        <w:rPr>
          <w:b/>
          <w:color w:val="1B3A5F"/>
          <w:sz w:val="26"/>
        </w:rPr>
        <w:t>Quality Installation Systems</w:t>
        <w:br/>
      </w:r>
    </w:p>
    <w:p>
      <w:pPr>
        <w:jc w:val="center"/>
      </w:pPr>
      <w:r>
        <w:t>2 Robert Browning</w:t>
        <w:br/>
        <w:t>Knoxville, TN 37932</w:t>
        <w:br/>
        <w:t>865-774-4444  •  Robert@qualityinstallationsystems.com</w:t>
        <w:br/>
      </w:r>
    </w:p>
    <w:p>
      <w:pPr>
        <w:jc w:val="center"/>
      </w:pPr>
      <w:r>
        <w:rPr>
          <w:b/>
        </w:rPr>
        <w:t>Prepared for: CEVA Logistics</w:t>
        <w:br/>
      </w:r>
      <w:r>
        <w:t>Proposal date: May 12, 2026</w:t>
        <w:br/>
      </w:r>
      <w:r>
        <w:t>Valid 15 calendar days through May 27, 2026.</w:t>
        <w:br/>
      </w:r>
    </w:p>
    <w:p/>
    <w:p>
      <w:r>
        <w:rPr>
          <w:b/>
        </w:rPr>
        <w:t xml:space="preserve">OCIP (quick read): </w:t>
      </w:r>
      <w:r>
        <w:t>Owner-Controlled Insurance Program — sometimes the owner sponsors wrap coverage; sometimes there’s a small contractor fee. We show a conservative allowance you can zero out once CEVA confirms the program.</w:t>
        <w:br/>
      </w:r>
    </w:p>
    <w:p>
      <w:r>
        <w:br w:type="page"/>
      </w:r>
    </w:p>
    <w:p>
      <w:pPr>
        <w:pStyle w:val="Heading1"/>
      </w:pPr>
      <w:r>
        <w:t>Executive snapshot</w:t>
      </w:r>
    </w:p>
    <w:p>
      <w:r>
        <w:rPr>
          <w:b/>
          <w:color w:val="0070C0"/>
          <w:sz w:val="24"/>
        </w:rPr>
        <w:t>The one-minute version.</w:t>
      </w:r>
    </w:p>
    <w:p>
      <w:r>
        <w:t>This isn’t “swap badges and disappear.” It’s a controlled decommission of legacy Pro-Watch, a disciplined Mercury + Avigilon ACM installation, cable and pathway work that respects CEVA’s standards (yes—including the 500 ft homerun rule), and a closeout package you can actually hand to IT and Security without wincing.</w:t>
      </w:r>
    </w:p>
    <w:p>
      <w:pPr>
        <w:pStyle w:val="Heading2"/>
      </w:pPr>
      <w:r>
        <w:t>At a glance — planning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Scope (headline)</w:t>
            </w:r>
          </w:p>
        </w:tc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Planning total</w:t>
            </w:r>
          </w:p>
        </w:tc>
      </w:tr>
      <w:tr>
        <w:tc>
          <w:tcPr>
            <w:tcW w:type="dxa" w:w="2880"/>
          </w:tcPr>
          <w:p>
            <w:r>
              <w:t>US-MJB-04</w:t>
              <w:br/>
              <w:t>G&amp;R Warehouse</w:t>
            </w:r>
          </w:p>
        </w:tc>
        <w:tc>
          <w:tcPr>
            <w:tcW w:type="dxa" w:w="2880"/>
          </w:tcPr>
          <w:p>
            <w:r>
              <w:t>12014 Volunteer Blvd, Mount Juliet, TN</w:t>
            </w:r>
          </w:p>
        </w:tc>
        <w:tc>
          <w:tcPr>
            <w:tcW w:type="dxa" w:w="2880"/>
          </w:tcPr>
          <w:p>
            <w:r>
              <w:t>$194,985.97</w:t>
            </w:r>
          </w:p>
        </w:tc>
      </w:tr>
      <w:tr>
        <w:tc>
          <w:tcPr>
            <w:tcW w:type="dxa" w:w="2880"/>
          </w:tcPr>
          <w:p>
            <w:r>
              <w:t>US-MJB-02</w:t>
              <w:br/>
              <w:t>CL Warehouse (Building 3)</w:t>
            </w:r>
          </w:p>
        </w:tc>
        <w:tc>
          <w:tcPr>
            <w:tcW w:type="dxa" w:w="2880"/>
          </w:tcPr>
          <w:p>
            <w:r>
              <w:t>12008 Volunteer Blvd, Building 3, Mount Juliet, TN</w:t>
            </w:r>
          </w:p>
        </w:tc>
        <w:tc>
          <w:tcPr>
            <w:tcW w:type="dxa" w:w="2880"/>
          </w:tcPr>
          <w:p>
            <w:r>
              <w:t>$277,761.33</w:t>
            </w:r>
          </w:p>
        </w:tc>
      </w:tr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Both sites (sum of planning totals above)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$472,747.30</w:t>
            </w:r>
          </w:p>
        </w:tc>
      </w:tr>
    </w:tbl>
    <w:p>
      <w:pPr>
        <w:pStyle w:val="Heading2"/>
      </w:pPr>
      <w:r>
        <w:t>Why Quality Installation Systems</w:t>
      </w:r>
    </w:p>
    <w:p>
      <w:pPr>
        <w:pStyle w:val="ListBullet"/>
      </w:pPr>
      <w:r>
        <w:t>We translate RFP language into **staffable hours** and a **BOM you can defend**—not a single mystery lump sum.</w:t>
      </w:r>
    </w:p>
    <w:p>
      <w:pPr>
        <w:pStyle w:val="ListBullet"/>
      </w:pPr>
      <w:r>
        <w:t>Rough-in, headend landing, programming, SAT, and **documentation** are split so procurement sees where the money goes.</w:t>
      </w:r>
    </w:p>
    <w:p>
      <w:pPr>
        <w:pStyle w:val="ListBullet"/>
      </w:pPr>
      <w:r>
        <w:t>Exclusions are explicit (gates/intercoms/Cisco packages unless in your SOW)—fewer “surprise” scopes after award.</w:t>
      </w:r>
    </w:p>
    <w:p>
      <w:pPr>
        <w:pStyle w:val="ListBullet"/>
      </w:pPr>
      <w:r>
        <w:t>We’ve already thought about **long buildings**: if drawings push past the 500 ft rule, we talk **IDF / aux** early—not after cable is on the truck.</w:t>
      </w:r>
    </w:p>
    <w:p>
      <w:r>
        <w:rPr>
          <w:b/>
        </w:rPr>
        <w:t xml:space="preserve">How to read the rest of this document: </w:t>
      </w:r>
      <w:r>
        <w:t>Each site has its own BOM (with cable + lift logic), labor buildup, and financial summary. Assumptions and exclusions follow—because boring fine print is what keeps projects out of court.</w:t>
        <w:br/>
      </w:r>
      <w:r>
        <w:rPr>
          <w:b/>
          <w:i/>
        </w:rPr>
        <w:t xml:space="preserve">P.S. </w:t>
      </w:r>
      <w:r>
        <w:rPr>
          <w:i/>
        </w:rPr>
        <w:t>If you want this deck even sharper, send a vector PDF title block next time—phone photos of D-size sheets are heroic, but they don’t do your scale bar any favors.</w:t>
      </w:r>
    </w:p>
    <w:p>
      <w:r>
        <w:br w:type="page"/>
      </w:r>
    </w:p>
    <w:p>
      <w:pPr>
        <w:pStyle w:val="Heading1"/>
      </w:pPr>
      <w:r>
        <w:t>Assumptions &amp; exclusions</w:t>
      </w:r>
    </w:p>
    <w:p>
      <w:r>
        <w:rPr>
          <w:i/>
          <w:color w:val="0070C0"/>
        </w:rPr>
        <w:t>The fine print that keeps everyone friends.</w:t>
      </w:r>
    </w:p>
    <w:p>
      <w:pPr>
        <w:pStyle w:val="ListBullet"/>
      </w:pPr>
      <w:r>
        <w:t>Labor hours are planning estimates based on CEVA-provided quantities plus a five-reader buffer per site; engineered drawings may adjust scope via change order.</w:t>
      </w:r>
    </w:p>
    <w:p>
      <w:pPr>
        <w:pStyle w:val="ListBullet"/>
      </w:pPr>
      <w:r>
        <w:t>Loaded labor rate: $155.00/hr.</w:t>
      </w:r>
    </w:p>
    <w:p>
      <w:pPr>
        <w:pStyle w:val="ListBullet"/>
      </w:pPr>
      <w:r>
        <w:t>PM / supervision: 12% of **direct labor dollars** (hours × rate), then contractor margin 25% applies to (direct labor + PM).</w:t>
      </w:r>
    </w:p>
    <w:p>
      <w:pPr>
        <w:pStyle w:val="ListBullet"/>
      </w:pPr>
      <w:r>
        <w:t>Material pricing shown is an **indicative market-cost BOM** (internet/distributor-style placeholders) **before** 25% contractor margin; replace with formal distributor quotes.</w:t>
      </w:r>
    </w:p>
    <w:p>
      <w:pPr>
        <w:pStyle w:val="ListBullet"/>
      </w:pPr>
      <w:r>
        <w:t>Sales &amp; use tax shown at 9.25% on **material sell** only (placeholder — verify taxable treatment and local rate).</w:t>
      </w:r>
    </w:p>
    <w:p>
      <w:pPr>
        <w:pStyle w:val="ListBullet"/>
      </w:pPr>
      <w:r>
        <w:t>Performance/payment bond allowance: 1.50% of pre-tax construction subtotal (labor sell + material sell) — verify with your surety.</w:t>
      </w:r>
    </w:p>
    <w:p>
      <w:pPr>
        <w:pStyle w:val="ListBullet"/>
      </w:pPr>
      <w:r>
        <w:t>OCIP / wrap allowance: 0.50% of pre-tax construction subtotal — **zero this** if CEVA confirms owner-provided wrap with no contractor contribution.</w:t>
      </w:r>
    </w:p>
    <w:p>
      <w:pPr>
        <w:pStyle w:val="ListBullet"/>
      </w:pPr>
      <w:r>
        <w:t>Intercoms, vehicle gates, turnstiles, Cisco licensing/SFP/fiber, and wireless bridges are excluded unless listed in a site-specific SOW attachment.</w:t>
      </w:r>
    </w:p>
    <w:p>
      <w:pPr>
        <w:pStyle w:val="ListBullet"/>
      </w:pPr>
      <w:r>
        <w:t>RFP completion milestone referenced in discussions: June 25, 2026 — confirm current contract schedule.</w:t>
      </w:r>
    </w:p>
    <w:p>
      <w:pPr>
        <w:pStyle w:val="ListBullet"/>
      </w:pPr>
      <w:r>
        <w:t>Cable takeoff uses CEVA **500 ft maximum** reader/controller homerun rule: each opening must be ≤500 ft to its panel (or IDF/aux panel). Until a survey exists, we price **parallel homeruns** using a planning **average path length** per reader, plus **10 ft** field service loop per homerun and **10%** spool/waste allowance. Any run over 500 ft requires an **IDF/aux** (extra panel, rack ports, fiber/media) — **change order**.</w:t>
      </w:r>
    </w:p>
    <w:p>
      <w:pPr>
        <w:pStyle w:val="ListBullet"/>
      </w:pPr>
      <w:r>
        <w:t>Lift / aerial equipment: BOM includes a **rental-day allowance** (all-in placeholder). Operator labor for lift moves is generally embedded in field labor hours; fuel/damage waiver may be extra per rental contract.</w:t>
      </w:r>
    </w:p>
    <w:p>
      <w:r>
        <w:br w:type="page"/>
      </w:r>
    </w:p>
    <w:p>
      <w:pPr>
        <w:pStyle w:val="Heading1"/>
      </w:pPr>
      <w:r>
        <w:t>US-MJB-04 — site package</w:t>
      </w:r>
    </w:p>
    <w:p>
      <w:r>
        <w:rPr>
          <w:i/>
          <w:color w:val="0070C0"/>
        </w:rPr>
        <w:t>Scope + numbers for this facility.</w:t>
      </w:r>
    </w:p>
    <w:p>
      <w:r>
        <w:rPr>
          <w:b/>
        </w:rPr>
        <w:t>G&amp;R Warehouse</w:t>
        <w:br/>
      </w:r>
      <w:r>
        <w:t>12014 Volunteer Blvd, Mount Juliet, TN</w:t>
        <w:br/>
      </w:r>
      <w:r>
        <w:t>Planning quantities: 19 reader openings (CEVA +5 buffer), 7 LP1502 positions.</w:t>
        <w:br/>
      </w:r>
    </w:p>
    <w:p>
      <w:pPr>
        <w:pStyle w:val="Heading2"/>
      </w:pPr>
      <w:r>
        <w:t>Bill of materials (indicative market pricing) — US-MJB-04</w:t>
      </w:r>
    </w:p>
    <w:p>
      <w:r>
        <w:rPr>
          <w:i/>
        </w:rPr>
        <w:t xml:space="preserve">Quantities and unit costs are **planning placeholders** until distributor quotes and engineered drawings are issued.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Unit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HID Multi-Class Signo 40 / 40K readers (blend — IT keypads as required)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$9,215.00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controller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$12,250.00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MR52-S3 I/O module (typical mix per panel)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$3,950.00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/ LSP-style enclosure &amp; distribution (per cluster)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$14,350.00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(DS150i/DS160 class — model per RFI)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$1,232.00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contacts (interior/exterior mix)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$504.00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Sounder/strobe (IN/OUT &amp; alarmed door allowance)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$1,440.00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Electric strike / EL / door hardware allowance (non-locksmith)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Cat6 plenum green + patch / Cyber SSPS allowance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$1,600.00</w:t>
            </w:r>
          </w:p>
        </w:tc>
        <w:tc>
          <w:tcPr>
            <w:tcW w:type="dxa" w:w="1728"/>
          </w:tcPr>
          <w:p>
            <w:r>
              <w:t>$1,600.00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Batteries, power accessories, misc panel consumables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Conduit, J-hooks, labels, wire management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Decommission supplies, packaging, dumpster/recycle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Freight / logistics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$850.00</w:t>
            </w:r>
          </w:p>
        </w:tc>
        <w:tc>
          <w:tcPr>
            <w:tcW w:type="dxa" w:w="1728"/>
          </w:tcPr>
          <w:p>
            <w:r>
              <w:t>$850.00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Yellow plenum composite — reader homeruns (est. 19 runs × (300+10) ft × (1+10%) waste)</w:t>
            </w:r>
          </w:p>
        </w:tc>
        <w:tc>
          <w:tcPr>
            <w:tcW w:type="dxa" w:w="1728"/>
          </w:tcPr>
          <w:p>
            <w:r>
              <w:t>6479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$7,904.38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6 runs × (280+10) ft × (1+10%) waste)</w:t>
            </w:r>
          </w:p>
        </w:tc>
        <w:tc>
          <w:tcPr>
            <w:tcW w:type="dxa" w:w="1728"/>
          </w:tcPr>
          <w:p>
            <w:r>
              <w:t>1914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$5,646.30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$450.00</w:t>
            </w:r>
          </w:p>
        </w:tc>
        <w:tc>
          <w:tcPr>
            <w:tcW w:type="dxa" w:w="1728"/>
          </w:tcPr>
          <w:p>
            <w:r>
              <w:t>$450.00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6 days, all-in incl. delivery/pickup allowance)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$1,470.00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  <w:shd w:fill="E8EEF4" w:val="clear"/>
          </w:tcPr>
          <w:p>
            <w:r>
              <w:rPr>
                <w:b/>
              </w:rPr>
              <w:t>Material base (pre-margin)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$66,361.68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Sum of BOM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Phase / scope bucket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Rate ($155.00/hr)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 (setup, coordination, prerequisites)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$3,100.00</w:t>
            </w:r>
          </w:p>
        </w:tc>
      </w:tr>
      <w:tr>
        <w:tc>
          <w:tcPr>
            <w:tcW w:type="dxa" w:w="2160"/>
          </w:tcPr>
          <w:p>
            <w:r>
              <w:t>B — Pro-Watch decommission (remove, cable, inventory, light patch)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$11,780.00</w:t>
            </w:r>
          </w:p>
        </w:tc>
      </w:tr>
      <w:tr>
        <w:tc>
          <w:tcPr>
            <w:tcW w:type="dxa" w:w="2160"/>
          </w:tcPr>
          <w:p>
            <w:r>
              <w:t>C — Rough-in (pathway, homeruns, service loops, headend rough-in)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$14,880.00</w:t>
            </w:r>
          </w:p>
        </w:tc>
      </w:tr>
      <w:tr>
        <w:tc>
          <w:tcPr>
            <w:tcW w:type="dxa" w:w="2160"/>
          </w:tcPr>
          <w:p>
            <w:r>
              <w:t>D — Headend install (LSP / LP1502 / MR52 landing &amp; checkout)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$10,850.00</w:t>
            </w:r>
          </w:p>
        </w:tc>
      </w:tr>
      <w:tr>
        <w:tc>
          <w:tcPr>
            <w:tcW w:type="dxa" w:w="2160"/>
          </w:tcPr>
          <w:p>
            <w:r>
              <w:t>E — Device install (readers, terminations, door interfaces — spread est.)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$10,850.00</w:t>
            </w:r>
          </w:p>
        </w:tc>
      </w:tr>
      <w:tr>
        <w:tc>
          <w:tcPr>
            <w:tcW w:type="dxa" w:w="2160"/>
          </w:tcPr>
          <w:p>
            <w:r>
              <w:t>F — Power-on checks &amp; comms troubleshooting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$2,790.00</w:t>
            </w:r>
          </w:p>
        </w:tc>
      </w:tr>
      <w:tr>
        <w:tc>
          <w:tcPr>
            <w:tcW w:type="dxa" w:w="2160"/>
          </w:tcPr>
          <w:p>
            <w:r>
              <w:t>G — ACM programming (hardware map, doors, schedules per contract)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</w:tr>
      <w:tr>
        <w:tc>
          <w:tcPr>
            <w:tcW w:type="dxa" w:w="2160"/>
          </w:tcPr>
          <w:p>
            <w:r>
              <w:t>I — Closeout documentation (as-builts, panel schedules, turnover)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$6,200.00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$71,920.00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$8,630.40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$80,550.40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$20,137.60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Labor sell total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$100,688.00</w:t>
            </w:r>
          </w:p>
        </w:tc>
      </w:tr>
    </w:tbl>
    <w:p>
      <w:pPr>
        <w:pStyle w:val="Heading2"/>
      </w:pPr>
      <w:r>
        <w:t>Financial summary — US-MJB-04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$100,688.00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$66,361.68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$16,590.42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$82,952.10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$183,640.10</w:t>
            </w:r>
          </w:p>
        </w:tc>
      </w:tr>
      <w:tr>
        <w:tc>
          <w:tcPr>
            <w:tcW w:type="dxa" w:w="4320"/>
          </w:tcPr>
          <w:p>
            <w:r>
              <w:t>Est. sales/use tax on materials (9.25% — verify)</w:t>
            </w:r>
          </w:p>
        </w:tc>
        <w:tc>
          <w:tcPr>
            <w:tcW w:type="dxa" w:w="4320"/>
          </w:tcPr>
          <w:p>
            <w:r>
              <w:t>$7,673.07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$2,754.60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$918.20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TOTAL (this site)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$194,985.97</w:t>
            </w:r>
          </w:p>
        </w:tc>
      </w:tr>
    </w:tbl>
    <w:p>
      <w:r>
        <w:br w:type="page"/>
      </w:r>
    </w:p>
    <w:p>
      <w:pPr>
        <w:pStyle w:val="Heading1"/>
      </w:pPr>
      <w:r>
        <w:t>US-MJB-02 — site package</w:t>
      </w:r>
    </w:p>
    <w:p>
      <w:r>
        <w:rPr>
          <w:i/>
          <w:color w:val="0070C0"/>
        </w:rPr>
        <w:t>Scope + numbers for this facility.</w:t>
      </w:r>
    </w:p>
    <w:p>
      <w:r>
        <w:rPr>
          <w:b/>
        </w:rPr>
        <w:t>CL Warehouse (Building 3)</w:t>
        <w:br/>
      </w:r>
      <w:r>
        <w:t>12008 Volunteer Blvd, Building 3, Mount Juliet, TN</w:t>
        <w:br/>
      </w:r>
      <w:r>
        <w:t>Planning quantities: 27 reader openings (CEVA +5 buffer), 11 LP1502 positions.</w:t>
        <w:br/>
      </w:r>
    </w:p>
    <w:p>
      <w:pPr>
        <w:pStyle w:val="Heading2"/>
      </w:pPr>
      <w:r>
        <w:t>Bill of materials (indicative market pricing) — US-MJB-02</w:t>
      </w:r>
    </w:p>
    <w:p>
      <w:r>
        <w:rPr>
          <w:i/>
        </w:rPr>
        <w:t xml:space="preserve">Quantities and unit costs are **planning placeholders** until distributor quotes and engineered drawings are issued.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Unit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HID Multi-Class Signo 40 / 40K readers (blend — IT keypads as required)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$13,095.00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controller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$19,250.00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MR52-S3 I/O module (typical mix per panel)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$5,530.00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/ LSP-style enclosure &amp; distribution (per cluster)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$22,550.00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(DS150i/DS160 class — model per RFI)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$1,760.00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contacts (interior/exterior mix)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$672.00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Sounder/strobe (IN/OUT &amp; alarmed door allowance)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Electric strike / EL / door hardware allowance (non-locksmith)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$2,450.00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Cat6 plenum green + patch / Cyber SSPS allowance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Batteries, power accessories, misc panel consumables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Conduit, J-hooks, labels, wire management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$1,550.00</w:t>
            </w:r>
          </w:p>
        </w:tc>
        <w:tc>
          <w:tcPr>
            <w:tcW w:type="dxa" w:w="1728"/>
          </w:tcPr>
          <w:p>
            <w:r>
              <w:t>$1,550.00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Decommission supplies, packaging, dumpster/recycle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Freight / logistics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Yellow plenum composite — reader homeruns (est. 27 runs × (340+10) ft × (1+10%) waste)</w:t>
            </w:r>
          </w:p>
        </w:tc>
        <w:tc>
          <w:tcPr>
            <w:tcW w:type="dxa" w:w="1728"/>
          </w:tcPr>
          <w:p>
            <w:r>
              <w:t>10395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$12,681.90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8 runs × (300+10) ft × (1+10%) waste)</w:t>
            </w:r>
          </w:p>
        </w:tc>
        <w:tc>
          <w:tcPr>
            <w:tcW w:type="dxa" w:w="1728"/>
          </w:tcPr>
          <w:p>
            <w:r>
              <w:t>2728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$8,047.60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$650.00</w:t>
            </w:r>
          </w:p>
        </w:tc>
        <w:tc>
          <w:tcPr>
            <w:tcW w:type="dxa" w:w="1728"/>
          </w:tcPr>
          <w:p>
            <w:r>
              <w:t>$650.00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9 days, all-in incl. delivery/pickup allowance)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$2,205.00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  <w:shd w:fill="E8EEF4" w:val="clear"/>
          </w:tcPr>
          <w:p>
            <w:r>
              <w:rPr>
                <w:b/>
              </w:rPr>
              <w:t>Material base (pre-margin)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$99,941.50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Sum of BOM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Phase / scope bucket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Rate ($155.00/hr)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$3,875.00</w:t>
            </w:r>
          </w:p>
        </w:tc>
      </w:tr>
      <w:tr>
        <w:tc>
          <w:tcPr>
            <w:tcW w:type="dxa" w:w="2160"/>
          </w:tcPr>
          <w:p>
            <w:r>
              <w:t>B — Pro-Watch decommission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$15,500.00</w:t>
            </w:r>
          </w:p>
        </w:tc>
      </w:tr>
      <w:tr>
        <w:tc>
          <w:tcPr>
            <w:tcW w:type="dxa" w:w="2160"/>
          </w:tcPr>
          <w:p>
            <w:r>
              <w:t>C — Rough-in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$21,390.00</w:t>
            </w:r>
          </w:p>
        </w:tc>
      </w:tr>
      <w:tr>
        <w:tc>
          <w:tcPr>
            <w:tcW w:type="dxa" w:w="2160"/>
          </w:tcPr>
          <w:p>
            <w:r>
              <w:t>D — Headend install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$15,190.00</w:t>
            </w:r>
          </w:p>
        </w:tc>
      </w:tr>
      <w:tr>
        <w:tc>
          <w:tcPr>
            <w:tcW w:type="dxa" w:w="2160"/>
          </w:tcPr>
          <w:p>
            <w:r>
              <w:t>E — Device install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$14,880.00</w:t>
            </w:r>
          </w:p>
        </w:tc>
      </w:tr>
      <w:tr>
        <w:tc>
          <w:tcPr>
            <w:tcW w:type="dxa" w:w="2160"/>
          </w:tcPr>
          <w:p>
            <w:r>
              <w:t>F — Power-on checks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</w:tr>
      <w:tr>
        <w:tc>
          <w:tcPr>
            <w:tcW w:type="dxa" w:w="2160"/>
          </w:tcPr>
          <w:p>
            <w:r>
              <w:t>G — ACM programming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$9,920.00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$4,960.00</w:t>
            </w:r>
          </w:p>
        </w:tc>
      </w:tr>
      <w:tr>
        <w:tc>
          <w:tcPr>
            <w:tcW w:type="dxa" w:w="2160"/>
          </w:tcPr>
          <w:p>
            <w:r>
              <w:t>I — Closeout documentation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$97,185.00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$11,662.20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$108,847.20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$27,211.80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Labor sell total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$136,059.00</w:t>
            </w:r>
          </w:p>
        </w:tc>
      </w:tr>
    </w:tbl>
    <w:p>
      <w:pPr>
        <w:pStyle w:val="Heading2"/>
      </w:pPr>
      <w:r>
        <w:t>Financial summary — US-MJB-02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$136,059.00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$99,941.50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$24,985.38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$124,926.88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$260,985.88</w:t>
            </w:r>
          </w:p>
        </w:tc>
      </w:tr>
      <w:tr>
        <w:tc>
          <w:tcPr>
            <w:tcW w:type="dxa" w:w="4320"/>
          </w:tcPr>
          <w:p>
            <w:r>
              <w:t>Est. sales/use tax on materials (9.25% — verify)</w:t>
            </w:r>
          </w:p>
        </w:tc>
        <w:tc>
          <w:tcPr>
            <w:tcW w:type="dxa" w:w="4320"/>
          </w:tcPr>
          <w:p>
            <w:r>
              <w:t>$11,555.74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$3,914.79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$1,304.93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TOTAL (this site)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$277,761.33</w:t>
            </w:r>
          </w:p>
        </w:tc>
      </w:tr>
    </w:tbl>
    <w:p>
      <w:r>
        <w:br w:type="page"/>
      </w:r>
    </w:p>
    <w:p>
      <w:pPr>
        <w:pStyle w:val="Heading1"/>
      </w:pPr>
      <w:r>
        <w:t>Program roll-up (both sites)</w:t>
      </w:r>
    </w:p>
    <w:p>
      <w:r>
        <w:rPr>
          <w:i/>
          <w:color w:val="0070C0"/>
        </w:rPr>
        <w:t>One number for the conference 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US-MJB-04 — total (per site table)</w:t>
            </w:r>
          </w:p>
        </w:tc>
        <w:tc>
          <w:tcPr>
            <w:tcW w:type="dxa" w:w="4320"/>
          </w:tcPr>
          <w:p>
            <w:r>
              <w:t>$194,985.97</w:t>
            </w:r>
          </w:p>
        </w:tc>
      </w:tr>
      <w:tr>
        <w:tc>
          <w:tcPr>
            <w:tcW w:type="dxa" w:w="4320"/>
          </w:tcPr>
          <w:p>
            <w:r>
              <w:t>US-MJB-02 — total (per site table)</w:t>
            </w:r>
          </w:p>
        </w:tc>
        <w:tc>
          <w:tcPr>
            <w:tcW w:type="dxa" w:w="4320"/>
          </w:tcPr>
          <w:p>
            <w:r>
              <w:t>$277,761.33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Recomputed pre-tax subtotal (labor + material, both sites)</w:t>
            </w:r>
          </w:p>
        </w:tc>
        <w:tc>
          <w:tcPr>
            <w:tcW w:type="dxa" w:w="4320"/>
          </w:tcPr>
          <w:p>
            <w:r>
              <w:t>$444,625.97</w:t>
            </w:r>
          </w:p>
        </w:tc>
      </w:tr>
      <w:tr>
        <w:tc>
          <w:tcPr>
            <w:tcW w:type="dxa" w:w="4320"/>
          </w:tcPr>
          <w:p>
            <w:r>
              <w:t>Combined est. tax on materials (same method)</w:t>
            </w:r>
          </w:p>
        </w:tc>
        <w:tc>
          <w:tcPr>
            <w:tcW w:type="dxa" w:w="4320"/>
          </w:tcPr>
          <w:p>
            <w:r>
              <w:t>$19,228.81</w:t>
            </w:r>
          </w:p>
        </w:tc>
      </w:tr>
      <w:tr>
        <w:tc>
          <w:tcPr>
            <w:tcW w:type="dxa" w:w="4320"/>
          </w:tcPr>
          <w:p>
            <w:r>
              <w:t>Combined bond allowance (on combined pre-tax)</w:t>
            </w:r>
          </w:p>
        </w:tc>
        <w:tc>
          <w:tcPr>
            <w:tcW w:type="dxa" w:w="4320"/>
          </w:tcPr>
          <w:p>
            <w:r>
              <w:t>$6,669.39</w:t>
            </w:r>
          </w:p>
        </w:tc>
      </w:tr>
      <w:tr>
        <w:tc>
          <w:tcPr>
            <w:tcW w:type="dxa" w:w="4320"/>
          </w:tcPr>
          <w:p>
            <w:r>
              <w:t>Combined OCIP allowance (on combined pre-tax)</w:t>
            </w:r>
          </w:p>
        </w:tc>
        <w:tc>
          <w:tcPr>
            <w:tcW w:type="dxa" w:w="4320"/>
          </w:tcPr>
          <w:p>
            <w:r>
              <w:t>$2,223.13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GRAND TOTAL (both sites, recomputed)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$472,747.30</w:t>
            </w:r>
          </w:p>
        </w:tc>
      </w:tr>
    </w:tbl>
    <w:p>
      <w:r>
        <w:rPr>
          <w:i/>
        </w:rPr>
        <w:t>Pick one story and stick to it: either **sum of per-site totals** or the **recombined grand** above (they should be close; recombined applies bond/OCIP once on the combined pre-tax base).</w:t>
      </w:r>
    </w:p>
    <w:p/>
    <w:p>
      <w:pPr>
        <w:pStyle w:val="Heading2"/>
      </w:pPr>
      <w:r>
        <w:t>Let’s build it right</w:t>
      </w:r>
    </w:p>
    <w:p>
      <w:r>
        <w:t>We’re ready to align on drawings, IDF strategy, and cutover windows the moment CEVA says “go.” Questions welcome — we actually answer the phone.</w:t>
        <w:br/>
        <w:br/>
      </w:r>
      <w:r>
        <w:t>Respectfully submitted,</w:t>
        <w:br/>
        <w:br/>
      </w:r>
      <w:r>
        <w:rPr>
          <w:b/>
        </w:rPr>
        <w:t>Robert Browning</w:t>
        <w:br/>
      </w:r>
      <w:r>
        <w:t>Authorized Signer</w:t>
        <w:br/>
      </w:r>
      <w:r>
        <w:t>Quality Installation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 Access Control — Quality Installation Systems</dc:title>
  <dc:subject>Pro-Watch decommission + Avigilon ACM (two sites)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