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595959"/>
        </w:rPr>
        <w:t>Your logo goes here: save as public/branding/qis-logo.png and re-run — we’ll drop it in automatically.</w:t>
        <w:br/>
      </w:r>
    </w:p>
    <w:p>
      <w:pPr>
        <w:jc w:val="center"/>
      </w:pPr>
      <w:r>
        <w:rPr>
          <w:b/>
          <w:color w:val="0070C0"/>
          <w:sz w:val="44"/>
        </w:rPr>
        <w:t>ACCESS CONTROL MODERNIZATION</w:t>
      </w:r>
    </w:p>
    <w:p>
      <w:pPr>
        <w:jc w:val="center"/>
      </w:pPr>
      <w:r>
        <w:rPr>
          <w:b/>
          <w:color w:val="1B3A5F"/>
          <w:sz w:val="32"/>
        </w:rPr>
        <w:t>Proposal for CEVA Logistics</w:t>
      </w:r>
    </w:p>
    <w:p>
      <w:pPr>
        <w:jc w:val="center"/>
      </w:pPr>
      <w:r>
        <w:rPr>
          <w:i/>
          <w:color w:val="595959"/>
          <w:sz w:val="22"/>
        </w:rPr>
        <w:t>Pro-Watch decommission + Avigilon ACM / Mercury — two Mount Juliet facilities, priced honestly.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 xml:space="preserve">  US-MJB-04 + US-MJB-02  •  Planning investment (both sites): $602,631.67  </w:t>
            </w:r>
          </w:p>
        </w:tc>
      </w:tr>
    </w:tbl>
    <w:p/>
    <w:p>
      <w:pPr>
        <w:jc w:val="center"/>
      </w:pPr>
      <w:r>
        <w:rPr>
          <w:b/>
          <w:color w:val="1B3A5F"/>
          <w:sz w:val="26"/>
        </w:rPr>
        <w:t>Quality Installation Systems</w:t>
        <w:br/>
      </w:r>
    </w:p>
    <w:p>
      <w:pPr>
        <w:jc w:val="center"/>
      </w:pPr>
      <w:r>
        <w:t>2 Robert Browning</w:t>
        <w:br/>
        <w:t>Knoxville, TN 37932</w:t>
        <w:br/>
        <w:t>865-774-4444  •  Robert@qualityinstallationsystems.com</w:t>
        <w:br/>
      </w:r>
    </w:p>
    <w:p>
      <w:pPr>
        <w:jc w:val="center"/>
      </w:pPr>
      <w:r>
        <w:rPr>
          <w:b/>
        </w:rPr>
        <w:t>Prepared for: CEVA Logistics</w:t>
        <w:br/>
      </w:r>
      <w:r>
        <w:t>Proposal date: May 12, 2026</w:t>
        <w:br/>
      </w:r>
      <w:r>
        <w:t>Valid 15 calendar days through May 27, 2026.</w:t>
        <w:br/>
      </w:r>
    </w:p>
    <w:p/>
    <w:p>
      <w:r>
        <w:rPr>
          <w:b/>
        </w:rPr>
        <w:t xml:space="preserve">OCIP (quick read): </w:t>
      </w:r>
      <w:r>
        <w:t>Owner-Controlled Insurance Program — sometimes the owner sponsors wrap coverage; sometimes there’s a small contractor fee. We show a conservative allowance you can zero out once CEVA confirms the program.</w:t>
        <w:br/>
      </w:r>
    </w:p>
    <w:p>
      <w:r>
        <w:br w:type="page"/>
      </w:r>
    </w:p>
    <w:p>
      <w:pPr>
        <w:pStyle w:val="Heading1"/>
      </w:pPr>
      <w:r>
        <w:t>Executive snapshot</w:t>
      </w:r>
    </w:p>
    <w:p>
      <w:r>
        <w:rPr>
          <w:b/>
          <w:color w:val="0070C0"/>
          <w:sz w:val="24"/>
        </w:rPr>
        <w:t>The one-minute version.</w:t>
      </w:r>
    </w:p>
    <w:p>
      <w:r>
        <w:t>This isn’t “swap badges and disappear.” It’s a controlled decommission of legacy Pro-Watch, a disciplined Mercury + Avigilon ACM installation, cable and pathway work that respects CEVA’s standards (yes—including the 500 ft homerun rule), and a closeout package you can actually hand to IT and Security without wincing.</w:t>
      </w:r>
    </w:p>
    <w:p>
      <w:pPr>
        <w:pStyle w:val="Heading2"/>
      </w:pPr>
      <w:r>
        <w:t>At a glance — planning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Scope (headline)</w:t>
            </w:r>
          </w:p>
        </w:tc>
        <w:tc>
          <w:tcPr>
            <w:tcW w:type="dxa" w:w="288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Planning total</w:t>
            </w:r>
          </w:p>
        </w:tc>
      </w:tr>
      <w:tr>
        <w:tc>
          <w:tcPr>
            <w:tcW w:type="dxa" w:w="2880"/>
          </w:tcPr>
          <w:p>
            <w:r>
              <w:t>US-MJB-04</w:t>
              <w:br/>
              <w:t>G&amp;R Warehouse</w:t>
            </w:r>
          </w:p>
        </w:tc>
        <w:tc>
          <w:tcPr>
            <w:tcW w:type="dxa" w:w="2880"/>
          </w:tcPr>
          <w:p>
            <w:r>
              <w:t>12014 Volunteer Blvd, Mount Juliet, TN</w:t>
            </w:r>
          </w:p>
        </w:tc>
        <w:tc>
          <w:tcPr>
            <w:tcW w:type="dxa" w:w="2880"/>
          </w:tcPr>
          <w:p>
            <w:r>
              <w:t>$258,134.25</w:t>
            </w:r>
          </w:p>
        </w:tc>
      </w:tr>
      <w:tr>
        <w:tc>
          <w:tcPr>
            <w:tcW w:type="dxa" w:w="2880"/>
          </w:tcPr>
          <w:p>
            <w:r>
              <w:t>US-MJB-02</w:t>
              <w:br/>
              <w:t>CL Warehouse (Building 3)</w:t>
            </w:r>
          </w:p>
        </w:tc>
        <w:tc>
          <w:tcPr>
            <w:tcW w:type="dxa" w:w="2880"/>
          </w:tcPr>
          <w:p>
            <w:r>
              <w:t>12008 Volunteer Blvd, Building 3, Mount Juliet, TN</w:t>
            </w:r>
          </w:p>
        </w:tc>
        <w:tc>
          <w:tcPr>
            <w:tcW w:type="dxa" w:w="2880"/>
          </w:tcPr>
          <w:p>
            <w:r>
              <w:t>$344,497.42</w:t>
            </w:r>
          </w:p>
        </w:tc>
      </w:tr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Program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Both sites (sum of planning totals above)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$602,631.67</w:t>
            </w:r>
          </w:p>
        </w:tc>
      </w:tr>
    </w:tbl>
    <w:p>
      <w:pPr>
        <w:pStyle w:val="Heading2"/>
      </w:pPr>
      <w:r>
        <w:t>Why Quality Installation Systems</w:t>
      </w:r>
    </w:p>
    <w:p>
      <w:pPr>
        <w:pStyle w:val="ListBullet"/>
      </w:pPr>
      <w:r>
        <w:t>We translate RFP language into **staffable hours** and a **BOM you can defend**—not a single mystery lump sum.</w:t>
      </w:r>
    </w:p>
    <w:p>
      <w:pPr>
        <w:pStyle w:val="ListBullet"/>
      </w:pPr>
      <w:r>
        <w:t>Rough-in, headend landing, programming, SAT, and **documentation** are split so procurement sees where the money goes.</w:t>
      </w:r>
    </w:p>
    <w:p>
      <w:pPr>
        <w:pStyle w:val="ListBullet"/>
      </w:pPr>
      <w:r>
        <w:t>Exclusions are deliberate: **gates / full-height entries / voice intercom ecosystems** stay in Option Packages unless CEVA merges them into base SOW—meanwhile **Cisco / optical / rack / ACM licensing** burdens stay on the vendor line items so nothing ‘quietly disappears’ from procurement math.</w:t>
      </w:r>
    </w:p>
    <w:p>
      <w:pPr>
        <w:pStyle w:val="ListBullet"/>
      </w:pPr>
      <w:r>
        <w:t>We’ve already thought about **long buildings**: if drawings push past the 500 ft rule, we talk **IDF / aux** early—not after cable is on the truck.</w:t>
      </w:r>
    </w:p>
    <w:p>
      <w:r>
        <w:rPr>
          <w:b/>
        </w:rPr>
        <w:t xml:space="preserve">How to read the rest of this document: </w:t>
      </w:r>
      <w:r>
        <w:t>Each site has its own BOM (with cable + lift logic), labor buildup, and financial summary. Assumptions and exclusions follow—because boring fine print is what keeps projects out of court.</w:t>
        <w:br/>
      </w:r>
      <w:r>
        <w:rPr>
          <w:b/>
          <w:i/>
        </w:rPr>
        <w:t xml:space="preserve">P.S. </w:t>
      </w:r>
      <w:r>
        <w:rPr>
          <w:i/>
        </w:rPr>
        <w:t>If you want this deck even sharper, send a vector PDF title block next time—phone photos of D-size sheets are heroic, but they don’t do your scale bar any favors.</w:t>
      </w:r>
    </w:p>
    <w:p>
      <w:r>
        <w:br w:type="page"/>
      </w:r>
    </w:p>
    <w:p>
      <w:pPr>
        <w:pStyle w:val="Heading1"/>
      </w:pPr>
      <w:r>
        <w:t>Assumptions &amp; exclusions</w:t>
      </w:r>
    </w:p>
    <w:p>
      <w:r>
        <w:rPr>
          <w:i/>
          <w:color w:val="0070C0"/>
        </w:rPr>
        <w:t>The fine print that keeps everyone friends.</w:t>
      </w:r>
    </w:p>
    <w:p>
      <w:pPr>
        <w:pStyle w:val="ListBullet"/>
      </w:pPr>
      <w:r>
        <w:t>Labor hours are planning envelopes until engineered drawings finalize; mobilization durations still align with the June 25, 2026 program milestone communicated by CEVA.</w:t>
      </w:r>
    </w:p>
    <w:p>
      <w:pPr>
        <w:pStyle w:val="ListBullet"/>
      </w:pPr>
      <w:r>
        <w:t>**Vendor posture:** Quality Installation Systems (QIS), as contracted vendor, adopts CEVA’s Access Control Standards text for obligations called out therein—particularly removal/re-pull of ACS wiring (surface + buried), pathway build per warehouse raceway sketches, MDF/headend patching toward corporate switches, Cisco/SFP/MM reference SKUs, ACM dual-server licensing multiples, commissioning documentation turnover, optics serial capture, VPN coordination for remote support (duration per CEVA policy), rack adjuncts whenever standards mandate racks be supplied inside the modernization package.</w:t>
      </w:r>
    </w:p>
    <w:p>
      <w:pPr>
        <w:pStyle w:val="ListBullet"/>
      </w:pPr>
      <w:r>
        <w:t>Loaded labor rate: $155.00/hr; PM 12% on direct labor dollars; contractor margin 25% on labor subtotal and on material BOM base thereafter.</w:t>
      </w:r>
    </w:p>
    <w:p>
      <w:pPr>
        <w:pStyle w:val="ListBullet"/>
      </w:pPr>
      <w:r>
        <w:t>Material BOM values are indicative planning dollars—replace with stamped distributor quotes. Anything marked **qty TBD**/placeholder tracks **Network Support confirmations** plus CEVA’s non-returnable Cisco rules.</w:t>
      </w:r>
    </w:p>
    <w:p>
      <w:pPr>
        <w:pStyle w:val="ListBullet"/>
      </w:pPr>
      <w:r>
        <w:t>**Site electrical:** 120 VAC originates within roughly **10 ft** of enclosures per landlord practice; QIS extends feeders into LSP panels / buck-boost assemblies per drawing.</w:t>
      </w:r>
    </w:p>
    <w:p>
      <w:pPr>
        <w:pStyle w:val="ListBullet"/>
      </w:pPr>
      <w:r>
        <w:t>Vehicle gate ironmongery/intercom-heavy packages absent reader counts remain in Addon Option Packages unless the executed purchase order merges them—the standards language still acknowledges QIS-managed ACS cable and integration where those peripherals interface.</w:t>
      </w:r>
    </w:p>
    <w:p>
      <w:pPr>
        <w:pStyle w:val="ListBullet"/>
      </w:pPr>
      <w:r>
        <w:t>Sales &amp; use / IVU placeholders use 9.25% on taxable material sell (**verify SST/IVU on island sites**, metro surcharges inside Tennessee/Kentucky, etc.).</w:t>
      </w:r>
    </w:p>
    <w:p>
      <w:pPr>
        <w:pStyle w:val="ListBullet"/>
      </w:pPr>
      <w:r>
        <w:t>Surety bond 1.50% + OCIP 0.50% allowances ride pre-tax totals until CEVA instructs removal.</w:t>
      </w:r>
    </w:p>
    <w:p>
      <w:pPr>
        <w:pStyle w:val="ListBullet"/>
      </w:pPr>
      <w:r>
        <w:t>Cable envelopes honor **≤500 ft** homeruns (+10 ft slack +10% waste math). Verified exceedances initiate IDF/aux fiber BOM deltas via change notice.</w:t>
      </w:r>
    </w:p>
    <w:p>
      <w:pPr>
        <w:pStyle w:val="ListBullet"/>
      </w:pPr>
      <w:r>
        <w:t>Lift rental lines fund aerial pathway reach for rafter transitions; OSHA trained operators billed inside labor scopes.</w:t>
      </w:r>
    </w:p>
    <w:p>
      <w:pPr>
        <w:pStyle w:val="ListBullet"/>
      </w:pPr>
      <w:r>
        <w:t>Credential purchase orders pause until Corporate 1000 / HID 36-bit confirmation email from CEVA Security Technology logs.</w:t>
      </w:r>
    </w:p>
    <w:p>
      <w:pPr>
        <w:pStyle w:val="ListBullet"/>
      </w:pPr>
      <w:r>
        <w:t>Addon Options workbook captures optional gate packages/turnstile/intercom scope when procurement wants clean separation.</w:t>
      </w:r>
    </w:p>
    <w:p>
      <w:r>
        <w:br w:type="page"/>
      </w:r>
    </w:p>
    <w:p>
      <w:pPr>
        <w:pStyle w:val="Heading1"/>
      </w:pPr>
      <w:r>
        <w:t>CEVA access control standards → QIS commitments</w:t>
      </w:r>
    </w:p>
    <w:p>
      <w:r>
        <w:rPr>
          <w:i/>
          <w:color w:val="595959"/>
        </w:rPr>
        <w:t>Quality Installation Systems (QIS), as vendor, aligns this proposal material with CEVA’s published ACS standards—including vendor-owned procurement for structured cabling interconnects toward the enterprise switch, commissioning documentation obligations, optics-class hardware, MDF/IDF rack adjunct allowances, ACM licensing duplication rules, Cisco reference SKUs/SFP/MM jumpers—and will narrow exact counts after Network Support issues the IP / switch matrix. Scope items that genuinely await a separate subsystem design (heavy vehicle gates without readers, unrelated intercom package, etc.) stay in the Addon Options workbook unless the executed CEVA SOW explicitly folds them here.</w:t>
      </w:r>
    </w:p>
    <w:p>
      <w:pPr>
        <w:pStyle w:val="ListBullet"/>
      </w:pPr>
      <w:r>
        <w:t>**1 — Door hardware / readers.** HID Signo platform; credential format Corporate 1000 / HID 36-bit with written CEVA approval before issuance; raceway stubs terminate approximately **15 ft AFF**.</w:t>
      </w:r>
    </w:p>
    <w:p>
      <w:pPr>
        <w:pStyle w:val="ListBullet"/>
      </w:pPr>
      <w:r>
        <w:t>**2 — Cabling.** Existing ACS cable (surface + abandoned underground conductors per survey) ripped out and replaced; yellow plenum composite homeruns; yellow plenum 22/6 shielded for CI/CO doors—each homerun priced with **10 ft** slack at reader + **≤500 ft** rule to MDF/headend absent approved IDF strategy.</w:t>
      </w:r>
    </w:p>
    <w:p>
      <w:pPr>
        <w:pStyle w:val="ListBullet"/>
      </w:pPr>
      <w:r>
        <w:t>**3 — Cable support.** J-hooks/straps along rafters and structure per warehouse detail—not implied only in labor—we keep discrete pathway allowances visible in BOM.</w:t>
      </w:r>
    </w:p>
    <w:p>
      <w:pPr>
        <w:pStyle w:val="ListBullet"/>
      </w:pPr>
      <w:r>
        <w:t>**4 — Panels / enclosures.** Locate at legacy ProWatch footprint or MDF/IDF-approved positions; dual-voltage LifeSafety Power assemblies (12 V controllers + 24 V locking hardware feeders); Mercury LP1502-tier controllers only (explicitly exclude MP 1501 single-door controllers).</w:t>
      </w:r>
    </w:p>
    <w:p>
      <w:pPr>
        <w:pStyle w:val="ListBullet"/>
      </w:pPr>
      <w:r>
        <w:t>**5 — Networking + optics.** Yellow Cat6 + patch interconnect fields run from ACS toward corporate switch demarc, plus Cisco SKU placeholders (five-year LIC references), multimode optics, OM3 LC jumpers, hardened IE entitlement—all vendor-procurement lines subject to quantity confirmation/non-returnability rules.</w:t>
      </w:r>
    </w:p>
    <w:p>
      <w:pPr>
        <w:pStyle w:val="ListBullet"/>
      </w:pPr>
      <w:r>
        <w:t>**6 — Retrofit OM3/backbone allowances.** Provision for armored OM3 strands + LC LIU segments when egress surveys dictate IDFs or supplemental fiber—not buried as 'someone else buys fiber.'</w:t>
      </w:r>
    </w:p>
    <w:p>
      <w:pPr>
        <w:pStyle w:val="ListBullet"/>
      </w:pPr>
      <w:r>
        <w:t>**7 — Programming &amp; turnover.** Responsible for ACM controller door mapping, DHCP/IP worksheets, VLAN coordination gates, ACM browser-only UI alignment, failover licensing loads, serialization logs for optics, as-built deliverables (**CEVA property** upon acceptance), SAT with Security Technology or Regional delegate.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US-MJB-04 — site package</w:t>
      </w:r>
    </w:p>
    <w:p>
      <w:r>
        <w:rPr>
          <w:i/>
          <w:color w:val="0070C0"/>
        </w:rPr>
        <w:t>Scope + numbers for this facility.</w:t>
      </w:r>
    </w:p>
    <w:p>
      <w:r>
        <w:rPr>
          <w:b/>
        </w:rPr>
        <w:t>G&amp;R Warehouse</w:t>
        <w:br/>
      </w:r>
      <w:r>
        <w:t>12014 Volunteer Blvd, Mount Juliet, TN</w:t>
        <w:br/>
      </w:r>
      <w:r>
        <w:t>Planning quantities: 19 reader openings (CEVA +5 buffer unless addendum narrows literal count), 7 LP1502 positions.</w:t>
        <w:br/>
      </w:r>
    </w:p>
    <w:p>
      <w:pPr>
        <w:pStyle w:val="Heading2"/>
      </w:pPr>
      <w:r>
        <w:t>Bill of materials (indicative market pricing) — US-MJB-04</w:t>
      </w:r>
    </w:p>
    <w:p>
      <w:r>
        <w:rPr>
          <w:i/>
        </w:rPr>
        <w:t>Quantities and unit costs are planning placeholders until distributor quotes and engineered drawings are issued; quote- and takeoff-sensitive lines are summarized again in **BOM planning / quote placeholders** immediately below — the appendix mirrors the rows above (**not additive**).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Unit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HID Signo-series readers — Corporate 1000 / HID 36-bit credential (STOP — confirm credential order with CEVA prior to manufacture)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$9,215.00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two-door controllers (preferred MP-/LP‑1502-class hardware per CEVA; MP‑1501-style single-door PoE-only controllers excluded)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$12,250.00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 Supervised I/O (typical mix per panel)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$3,950.00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(LSP) enclosures &amp; dual-voltage distribution assemblies — 12V controller rails + 24V locking hardware feeders per CEVA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$14,350.00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(DSC/Bosch-class — finalize SKU with Engineering)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$1,232.00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contacts (interior / exterior blend)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$504.00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Sounders / strobes (alarm + IN OUT door policy allowances)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$1,440.00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Electric strikes / electrified hinge / actuator allowance (non-locksmith hardware)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Green + yellow structured patch cabling allowance — Cyber SSPS 270μm-class ACS headend/device patch tiers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>
              <w:t>$1,600.00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UPS batteries, PSU accessories &amp; panel consumables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>
              <w:t>$1,850.00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 stubs + flex elbows targeting ~15 ft AFF at perimeter warehouse portals (coordinate ceiling penetrations with landlord/GC drawings)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J-hooks / strut / clamps for rafter transitions + masonry wall strapping allowances (raceway continuity per CEVA pathway detail)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$525.00</w:t>
            </w:r>
          </w:p>
        </w:tc>
        <w:tc>
          <w:tcPr>
            <w:tcW w:type="dxa" w:w="1728"/>
          </w:tcPr>
          <w:p>
            <w:r>
              <w:t>$525.00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Cable labels / numbering consumables / general wire-management hardware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$180.00</w:t>
            </w:r>
          </w:p>
        </w:tc>
        <w:tc>
          <w:tcPr>
            <w:tcW w:type="dxa" w:w="1728"/>
          </w:tcPr>
          <w:p>
            <w:r>
              <w:t>$180.00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Removal supplies, manifests, landfill &amp; recycle allowance (existing wiring includes underground abandonment)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Freight consolidation / crane gate logistics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>
              <w:t>$850.00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$2,850.00</w:t>
            </w:r>
          </w:p>
        </w:tc>
        <w:tc>
          <w:tcPr>
            <w:tcW w:type="dxa" w:w="1728"/>
          </w:tcPr>
          <w:p>
            <w:r>
              <w:t>$2,850.00</w:t>
            </w:r>
          </w:p>
        </w:tc>
        <w:tc>
          <w:tcPr>
            <w:tcW w:type="dxa" w:w="1728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1728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>
              <w:t>$800.00</w:t>
            </w:r>
          </w:p>
        </w:tc>
        <w:tc>
          <w:tcPr>
            <w:tcW w:type="dxa" w:w="1728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1728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$4,550.00</w:t>
            </w:r>
          </w:p>
        </w:tc>
        <w:tc>
          <w:tcPr>
            <w:tcW w:type="dxa" w:w="1728"/>
          </w:tcPr>
          <w:p>
            <w:r>
              <w:t>$4,550.00</w:t>
            </w:r>
          </w:p>
        </w:tc>
        <w:tc>
          <w:tcPr>
            <w:tcW w:type="dxa" w:w="1728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1728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$3,320.00</w:t>
            </w:r>
          </w:p>
        </w:tc>
        <w:tc>
          <w:tcPr>
            <w:tcW w:type="dxa" w:w="1728"/>
          </w:tcPr>
          <w:p>
            <w:r>
              <w:t>$3,320.00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$2,180.00</w:t>
            </w:r>
          </w:p>
        </w:tc>
        <w:tc>
          <w:tcPr>
            <w:tcW w:type="dxa" w:w="1728"/>
          </w:tcPr>
          <w:p>
            <w:r>
              <w:t>$2,180.00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$2,600.00</w:t>
            </w:r>
          </w:p>
        </w:tc>
        <w:tc>
          <w:tcPr>
            <w:tcW w:type="dxa" w:w="1728"/>
          </w:tcPr>
          <w:p>
            <w:r>
              <w:t>$2,600.00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$4,650.00</w:t>
            </w:r>
          </w:p>
        </w:tc>
        <w:tc>
          <w:tcPr>
            <w:tcW w:type="dxa" w:w="1728"/>
          </w:tcPr>
          <w:p>
            <w:r>
              <w:t>$4,650.00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$580.00</w:t>
            </w:r>
          </w:p>
        </w:tc>
        <w:tc>
          <w:tcPr>
            <w:tcW w:type="dxa" w:w="1728"/>
          </w:tcPr>
          <w:p>
            <w:r>
              <w:t>$580.00</w:t>
            </w:r>
          </w:p>
        </w:tc>
        <w:tc>
          <w:tcPr>
            <w:tcW w:type="dxa" w:w="1728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1728"/>
          </w:tcPr>
          <w:p>
            <w:r>
              <w:t>Avigilon ACM 16-reader licensing units ×8 (planning qty applies CEVA double-license doctrine on dual-server architecture — confirm SKU with distributor)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$2,985.00</w:t>
            </w:r>
          </w:p>
        </w:tc>
        <w:tc>
          <w:tcPr>
            <w:tcW w:type="dxa" w:w="1728"/>
          </w:tcPr>
          <w:p>
            <w:r>
              <w:t>$23,880.00</w:t>
            </w:r>
          </w:p>
        </w:tc>
        <w:tc>
          <w:tcPr>
            <w:tcW w:type="dxa" w:w="1728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1728"/>
          </w:tcPr>
          <w:p>
            <w:r>
              <w:t>Yellow plenum composite — reader homeruns (est. 19 runs × (300+10) ft × (1+10%) waste)</w:t>
            </w:r>
          </w:p>
        </w:tc>
        <w:tc>
          <w:tcPr>
            <w:tcW w:type="dxa" w:w="1728"/>
          </w:tcPr>
          <w:p>
            <w:r>
              <w:t>6479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$7,904.38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6 runs × (280+10) ft × (1+10%) waste)</w:t>
            </w:r>
          </w:p>
        </w:tc>
        <w:tc>
          <w:tcPr>
            <w:tcW w:type="dxa" w:w="1728"/>
          </w:tcPr>
          <w:p>
            <w:r>
              <w:t>1914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$5,646.30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>
              <w:t>$450.00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6 days, all-in incl. delivery/pickup allowance)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$1,470.00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  <w:shd w:fill="E8EEF4" w:val="clear"/>
          </w:tcPr>
          <w:p>
            <w:r>
              <w:rPr>
                <w:b/>
              </w:rPr>
              <w:t>Material base (pre-margin)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$111,771.68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Sum of BOM</w:t>
            </w:r>
          </w:p>
        </w:tc>
      </w:tr>
    </w:tbl>
    <w:p>
      <w:pPr>
        <w:pStyle w:val="Heading3"/>
      </w:pPr>
      <w:r>
        <w:t>BOM planning / quote placeholders — US-MJB-04 (included in BOM total above)</w:t>
      </w:r>
    </w:p>
    <w:p>
      <w:r>
        <w:rPr>
          <w:i/>
          <w:color w:val="595959"/>
        </w:rPr>
        <w:t>These lines remain in the main BOM rollup; summarized here because dollars swing most with distributor quotes, surveyed path lengths / footages, allowances, or lift invoices — not necessarily because the SKU model is unknown.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(plan)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Field / quote driver</w:t>
            </w:r>
          </w:p>
        </w:tc>
      </w:tr>
      <w:tr>
        <w:tc>
          <w:tcPr>
            <w:tcW w:type="dxa" w:w="2160"/>
          </w:tcPr>
          <w:p>
            <w:r>
              <w:t>Mercury MR52 Supervised I/O (typical mix per panel)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$3,950.00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REX motion (DSC/Bosch-class — finalize SKU with Engineering)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$1,232.00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Sounders / strobes (alarm + IN OUT door policy allowances)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$1,440.00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Electric strikes / electrified hinge / actuator allowance (non-locksmith hardware)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$1,750.00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Green + yellow structured patch cabling allowance — Cyber SSPS 270μm-class ACS headend/device patch tiers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$1,600.00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UPS batteries, PSU accessories &amp; panel consumables (job lot)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$1,850.00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Conduit stubs + flex elbows targeting ~15 ft AFF at perimeter warehouse portals (coordinate ceiling penetrations with landlord/GC drawings)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$395.00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J-hooks / strut / clamps for rafter transitions + masonry wall strapping allowances (raceway continuity per CEVA pathway detail)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$525.00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Removal supplies, manifests, landfill &amp; recycle allowance (existing wiring includes underground abandonment)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Freight consolidation / crane gate logistics allowance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$2,850.00</w:t>
            </w:r>
          </w:p>
        </w:tc>
        <w:tc>
          <w:tcPr>
            <w:tcW w:type="dxa" w:w="2160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2160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$800.00</w:t>
            </w:r>
          </w:p>
        </w:tc>
        <w:tc>
          <w:tcPr>
            <w:tcW w:type="dxa" w:w="2160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2160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$4,550.00</w:t>
            </w:r>
          </w:p>
        </w:tc>
        <w:tc>
          <w:tcPr>
            <w:tcW w:type="dxa" w:w="2160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2160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$3,320.00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$2,180.00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$2,600.00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$4,650.00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$580.00</w:t>
            </w:r>
          </w:p>
        </w:tc>
        <w:tc>
          <w:tcPr>
            <w:tcW w:type="dxa" w:w="2160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2160"/>
          </w:tcPr>
          <w:p>
            <w:r>
              <w:t>Avigilon ACM 16-reader licensing units ×8 (planning qty applies CEVA double-license doctrine on dual-server architecture — confirm SKU with distributor)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$23,880.00</w:t>
            </w:r>
          </w:p>
        </w:tc>
        <w:tc>
          <w:tcPr>
            <w:tcW w:type="dxa" w:w="2160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2160"/>
          </w:tcPr>
          <w:p>
            <w:r>
              <w:t>Yellow plenum composite — reader homeruns (est. 19 runs × (300+10) ft × (1+10%) waste)</w:t>
            </w:r>
          </w:p>
        </w:tc>
        <w:tc>
          <w:tcPr>
            <w:tcW w:type="dxa" w:w="2160"/>
          </w:tcPr>
          <w:p>
            <w:r>
              <w:t>6479</w:t>
            </w:r>
          </w:p>
        </w:tc>
        <w:tc>
          <w:tcPr>
            <w:tcW w:type="dxa" w:w="2160"/>
          </w:tcPr>
          <w:p>
            <w:r>
              <w:t>$7,904.38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Yellow plenum 22/6 SHLD — IN/OUT homeruns (est. 6 runs × (280+10) ft × (1+10%) waste)</w:t>
            </w:r>
          </w:p>
        </w:tc>
        <w:tc>
          <w:tcPr>
            <w:tcW w:type="dxa" w:w="2160"/>
          </w:tcPr>
          <w:p>
            <w:r>
              <w:t>1914</w:t>
            </w:r>
          </w:p>
        </w:tc>
        <w:tc>
          <w:tcPr>
            <w:tcW w:type="dxa" w:w="2160"/>
          </w:tcPr>
          <w:p>
            <w:r>
              <w:t>$5,646.30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Cable misc. (ties, transition, spare box, label stock for pulls)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Aerial / scissor lift rental (est. 6 days, all-in incl. delivery/pickup allowance)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$1,470.00</w:t>
            </w:r>
          </w:p>
        </w:tc>
        <w:tc>
          <w:tcPr>
            <w:tcW w:type="dxa" w:w="2160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Subtotal (appendix rows only)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$75,272.68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Full material totals include margin + tax on financial summary.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 / scope bucket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Rate ($155.00/hr)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 (setup, coordination, prerequisites)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$3,100.00</w:t>
            </w:r>
          </w:p>
        </w:tc>
      </w:tr>
      <w:tr>
        <w:tc>
          <w:tcPr>
            <w:tcW w:type="dxa" w:w="2160"/>
          </w:tcPr>
          <w:p>
            <w:r>
              <w:t>B — Pro-Watch decommission (remove, cable, inventory, light patch)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$11,780.00</w:t>
            </w:r>
          </w:p>
        </w:tc>
      </w:tr>
      <w:tr>
        <w:tc>
          <w:tcPr>
            <w:tcW w:type="dxa" w:w="2160"/>
          </w:tcPr>
          <w:p>
            <w:r>
              <w:t>C — Rough-in (pathway, homeruns, service loops, headend rough-in)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D — Headend install (LSP / LP1502 / MR52 landing &amp; checkout)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E — Device install (readers, terminations, door interfaces — spread est.)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$10,850.00</w:t>
            </w:r>
          </w:p>
        </w:tc>
      </w:tr>
      <w:tr>
        <w:tc>
          <w:tcPr>
            <w:tcW w:type="dxa" w:w="2160"/>
          </w:tcPr>
          <w:p>
            <w:r>
              <w:t>F — Power-on checks &amp; comms troubleshooting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$2,790.00</w:t>
            </w:r>
          </w:p>
        </w:tc>
      </w:tr>
      <w:tr>
        <w:tc>
          <w:tcPr>
            <w:tcW w:type="dxa" w:w="2160"/>
          </w:tcPr>
          <w:p>
            <w:r>
              <w:t>G — ACM programming (hardware map, doors, schedules per contract)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I — Closeout documentation (as-builts, panel schedules, turnover)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$6,200.00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464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$71,920.00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$8,630.40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$80,550.40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$20,137.60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Labor sell total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$100,688.00</w:t>
            </w:r>
          </w:p>
        </w:tc>
      </w:tr>
    </w:tbl>
    <w:p>
      <w:pPr>
        <w:pStyle w:val="Heading2"/>
      </w:pPr>
      <w:r>
        <w:t>Financial summary — US-MJB-04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$100,688.00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$111,771.68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$27,942.92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$139,714.60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$240,402.60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 jurisdiction)</w:t>
            </w:r>
          </w:p>
        </w:tc>
        <w:tc>
          <w:tcPr>
            <w:tcW w:type="dxa" w:w="4320"/>
          </w:tcPr>
          <w:p>
            <w:r>
              <w:t>$12,923.60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$3,606.04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$1,202.01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TOTAL (this site)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$258,134.25</w:t>
            </w:r>
          </w:p>
        </w:tc>
      </w:tr>
    </w:tbl>
    <w:p>
      <w:r>
        <w:br w:type="page"/>
      </w:r>
    </w:p>
    <w:p>
      <w:pPr>
        <w:pStyle w:val="Heading1"/>
      </w:pPr>
      <w:r>
        <w:t>US-MJB-02 — site package</w:t>
      </w:r>
    </w:p>
    <w:p>
      <w:r>
        <w:rPr>
          <w:i/>
          <w:color w:val="0070C0"/>
        </w:rPr>
        <w:t>Scope + numbers for this facility.</w:t>
      </w:r>
    </w:p>
    <w:p>
      <w:r>
        <w:rPr>
          <w:b/>
        </w:rPr>
        <w:t>CL Warehouse (Building 3)</w:t>
        <w:br/>
      </w:r>
      <w:r>
        <w:t>12008 Volunteer Blvd, Building 3, Mount Juliet, TN</w:t>
        <w:br/>
      </w:r>
      <w:r>
        <w:t>Planning quantities: 27 reader openings (CEVA +5 buffer unless addendum narrows literal count), 11 LP1502 positions.</w:t>
        <w:br/>
      </w:r>
    </w:p>
    <w:p>
      <w:pPr>
        <w:pStyle w:val="Heading2"/>
      </w:pPr>
      <w:r>
        <w:t>Bill of materials (indicative market pricing) — US-MJB-02</w:t>
      </w:r>
    </w:p>
    <w:p>
      <w:r>
        <w:rPr>
          <w:i/>
        </w:rPr>
        <w:t>Quantities and unit costs are planning placeholders until distributor quotes and engineered drawings are issued; quote- and takeoff-sensitive lines are summarized again in **BOM planning / quote placeholders** immediately below — the appendix mirrors the rows above (**not additive**).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Unit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(est.)</w:t>
            </w:r>
          </w:p>
        </w:tc>
        <w:tc>
          <w:tcPr>
            <w:tcW w:type="dxa" w:w="1728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HID Signo-series readers — Corporate 1000 / HID 36-bit credential (STOP — confirm with CEVA prior to issuing PO)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$485.00</w:t>
            </w:r>
          </w:p>
        </w:tc>
        <w:tc>
          <w:tcPr>
            <w:tcW w:type="dxa" w:w="1728"/>
          </w:tcPr>
          <w:p>
            <w:r>
              <w:t>$13,095.00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LP1502 two-door controllers (CEVA-preferred Mercury MP-/LP‑1502 footprint; excludes MP‑1501-style single-door controllers)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$1,750.00</w:t>
            </w:r>
          </w:p>
        </w:tc>
        <w:tc>
          <w:tcPr>
            <w:tcW w:type="dxa" w:w="1728"/>
          </w:tcPr>
          <w:p>
            <w:r>
              <w:t>$19,250.00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Mercury MR52 Supervised I/O boards (mix per clustered panel tier)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$395.00</w:t>
            </w:r>
          </w:p>
        </w:tc>
        <w:tc>
          <w:tcPr>
            <w:tcW w:type="dxa" w:w="1728"/>
          </w:tcPr>
          <w:p>
            <w:r>
              <w:t>$5,530.00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LifeSafety Power (LSP) enclosures — dual voltage 12 VDC controller + 24 VDC electrified hardware distribution assemblies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$2,050.00</w:t>
            </w:r>
          </w:p>
        </w:tc>
        <w:tc>
          <w:tcPr>
            <w:tcW w:type="dxa" w:w="1728"/>
          </w:tcPr>
          <w:p>
            <w:r>
              <w:t>$22,550.00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REX motion (finalize model sheet with security engineering)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$88.00</w:t>
            </w:r>
          </w:p>
        </w:tc>
        <w:tc>
          <w:tcPr>
            <w:tcW w:type="dxa" w:w="1728"/>
          </w:tcPr>
          <w:p>
            <w:r>
              <w:t>$1,760.00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Door position contacts (balanced interior / exterior ratios)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$42.00</w:t>
            </w:r>
          </w:p>
        </w:tc>
        <w:tc>
          <w:tcPr>
            <w:tcW w:type="dxa" w:w="1728"/>
          </w:tcPr>
          <w:p>
            <w:r>
              <w:t>$672.00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Sounders / strobes for alarmed-door &amp; IN OUT policies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$240.00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Electrified door hardware allowances (strike / actuator — non-locksmith)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$175.00</w:t>
            </w:r>
          </w:p>
        </w:tc>
        <w:tc>
          <w:tcPr>
            <w:tcW w:type="dxa" w:w="1728"/>
          </w:tcPr>
          <w:p>
            <w:r>
              <w:t>$2,450.00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Green + yellow ACS patch cabling + Cyber SSPS 270μm plant allowance (warehouse headend tiers)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>
              <w:t>$2,400.00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UPS / battery trays / misc power hardware (job lot)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>
              <w:t>$2,650.00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Conduit stubs to ~15 ft AFF at perimeter doors + stub seal hardware (coordinate with landlord structural drawings)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$578.00</w:t>
            </w:r>
          </w:p>
        </w:tc>
        <w:tc>
          <w:tcPr>
            <w:tcW w:type="dxa" w:w="1728"/>
          </w:tcPr>
          <w:p>
            <w:r>
              <w:t>$578.00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J-hook / seismic bracing allowances for attic &amp; rafter cable routing transitions at warehouse entrances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$798.00</w:t>
            </w:r>
          </w:p>
        </w:tc>
        <w:tc>
          <w:tcPr>
            <w:tcW w:type="dxa" w:w="1728"/>
          </w:tcPr>
          <w:p>
            <w:r>
              <w:t>$798.00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Cable ID consumables / wire-management trim pieces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$174.00</w:t>
            </w:r>
          </w:p>
        </w:tc>
        <w:tc>
          <w:tcPr>
            <w:tcW w:type="dxa" w:w="1728"/>
          </w:tcPr>
          <w:p>
            <w:r>
              <w:t>$174.00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Decommission supplies incl. abandonment compliance for obsolete underground conductors (coordinate with EH&amp;S)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>
              <w:t>$950.00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Inbound freight consolidation / JIT staging allowance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>
              <w:t>$1,100.00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$3,190.00</w:t>
            </w:r>
          </w:p>
        </w:tc>
        <w:tc>
          <w:tcPr>
            <w:tcW w:type="dxa" w:w="1728"/>
          </w:tcPr>
          <w:p>
            <w:r>
              <w:t>$3,190.00</w:t>
            </w:r>
          </w:p>
        </w:tc>
        <w:tc>
          <w:tcPr>
            <w:tcW w:type="dxa" w:w="1728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1728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$890.00</w:t>
            </w:r>
          </w:p>
        </w:tc>
        <w:tc>
          <w:tcPr>
            <w:tcW w:type="dxa" w:w="1728"/>
          </w:tcPr>
          <w:p>
            <w:r>
              <w:t>$890.00</w:t>
            </w:r>
          </w:p>
        </w:tc>
        <w:tc>
          <w:tcPr>
            <w:tcW w:type="dxa" w:w="1728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1728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$5,100.00</w:t>
            </w:r>
          </w:p>
        </w:tc>
        <w:tc>
          <w:tcPr>
            <w:tcW w:type="dxa" w:w="1728"/>
          </w:tcPr>
          <w:p>
            <w:r>
              <w:t>$5,100.00</w:t>
            </w:r>
          </w:p>
        </w:tc>
        <w:tc>
          <w:tcPr>
            <w:tcW w:type="dxa" w:w="1728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1728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$3,720.00</w:t>
            </w:r>
          </w:p>
        </w:tc>
        <w:tc>
          <w:tcPr>
            <w:tcW w:type="dxa" w:w="1728"/>
          </w:tcPr>
          <w:p>
            <w:r>
              <w:t>$3,720.00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$2,450.00</w:t>
            </w:r>
          </w:p>
        </w:tc>
        <w:tc>
          <w:tcPr>
            <w:tcW w:type="dxa" w:w="1728"/>
          </w:tcPr>
          <w:p>
            <w:r>
              <w:t>$2,450.00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$2,910.00</w:t>
            </w:r>
          </w:p>
        </w:tc>
        <w:tc>
          <w:tcPr>
            <w:tcW w:type="dxa" w:w="1728"/>
          </w:tcPr>
          <w:p>
            <w:r>
              <w:t>$2,910.00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$5,210.00</w:t>
            </w:r>
          </w:p>
        </w:tc>
        <w:tc>
          <w:tcPr>
            <w:tcW w:type="dxa" w:w="1728"/>
          </w:tcPr>
          <w:p>
            <w:r>
              <w:t>$5,210.00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$640.00</w:t>
            </w:r>
          </w:p>
        </w:tc>
        <w:tc>
          <w:tcPr>
            <w:tcW w:type="dxa" w:w="1728"/>
          </w:tcPr>
          <w:p>
            <w:r>
              <w:t>$640.00</w:t>
            </w:r>
          </w:p>
        </w:tc>
        <w:tc>
          <w:tcPr>
            <w:tcW w:type="dxa" w:w="1728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1728"/>
          </w:tcPr>
          <w:p>
            <w:r>
              <w:t>Avigilon ACM 16-reader licensing units ×8 (planning qty applies CEVA double-license doctrine on dual-server architecture — confirm SKU with distributor)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$2,985.00</w:t>
            </w:r>
          </w:p>
        </w:tc>
        <w:tc>
          <w:tcPr>
            <w:tcW w:type="dxa" w:w="1728"/>
          </w:tcPr>
          <w:p>
            <w:r>
              <w:t>$23,880.00</w:t>
            </w:r>
          </w:p>
        </w:tc>
        <w:tc>
          <w:tcPr>
            <w:tcW w:type="dxa" w:w="1728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1728"/>
          </w:tcPr>
          <w:p>
            <w:r>
              <w:t>Yellow plenum composite — reader homeruns (est. 27 runs × (340+10) ft × (1+10%) waste)</w:t>
            </w:r>
          </w:p>
        </w:tc>
        <w:tc>
          <w:tcPr>
            <w:tcW w:type="dxa" w:w="1728"/>
          </w:tcPr>
          <w:p>
            <w:r>
              <w:t>10395</w:t>
            </w:r>
          </w:p>
        </w:tc>
        <w:tc>
          <w:tcPr>
            <w:tcW w:type="dxa" w:w="1728"/>
          </w:tcPr>
          <w:p>
            <w:r>
              <w:t>$1.22</w:t>
            </w:r>
          </w:p>
        </w:tc>
        <w:tc>
          <w:tcPr>
            <w:tcW w:type="dxa" w:w="1728"/>
          </w:tcPr>
          <w:p>
            <w:r>
              <w:t>$12,681.90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Yellow plenum 22/6 SHLD — IN/OUT homeruns (est. 8 runs × (300+10) ft × (1+10%) waste)</w:t>
            </w:r>
          </w:p>
        </w:tc>
        <w:tc>
          <w:tcPr>
            <w:tcW w:type="dxa" w:w="1728"/>
          </w:tcPr>
          <w:p>
            <w:r>
              <w:t>2728</w:t>
            </w:r>
          </w:p>
        </w:tc>
        <w:tc>
          <w:tcPr>
            <w:tcW w:type="dxa" w:w="1728"/>
          </w:tcPr>
          <w:p>
            <w:r>
              <w:t>$2.95</w:t>
            </w:r>
          </w:p>
        </w:tc>
        <w:tc>
          <w:tcPr>
            <w:tcW w:type="dxa" w:w="1728"/>
          </w:tcPr>
          <w:p>
            <w:r>
              <w:t>$8,047.60</w:t>
            </w:r>
          </w:p>
        </w:tc>
        <w:tc>
          <w:tcPr>
            <w:tcW w:type="dxa" w:w="1728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1728"/>
          </w:tcPr>
          <w:p>
            <w:r>
              <w:t>Cable misc. (ties, transition, spare box, label stock for pulls)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>
              <w:t>$650.00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Aerial / scissor lift rental (est. 9 days, all-in incl. delivery/pickup allowance)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$245.00</w:t>
            </w:r>
          </w:p>
        </w:tc>
        <w:tc>
          <w:tcPr>
            <w:tcW w:type="dxa" w:w="1728"/>
          </w:tcPr>
          <w:p>
            <w:r>
              <w:t>$2,205.00</w:t>
            </w:r>
          </w:p>
        </w:tc>
        <w:tc>
          <w:tcPr>
            <w:tcW w:type="dxa" w:w="1728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1728"/>
            <w:shd w:fill="E8EEF4" w:val="clear"/>
          </w:tcPr>
          <w:p>
            <w:r>
              <w:rPr>
                <w:b/>
              </w:rPr>
              <w:t>Material base (pre-margin)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$147,931.50</w:t>
            </w:r>
          </w:p>
        </w:tc>
        <w:tc>
          <w:tcPr>
            <w:tcW w:type="dxa" w:w="1728"/>
            <w:shd w:fill="E8EEF4" w:val="clear"/>
          </w:tcPr>
          <w:p>
            <w:r>
              <w:rPr>
                <w:b/>
              </w:rPr>
              <w:t>Sum of BOM</w:t>
            </w:r>
          </w:p>
        </w:tc>
      </w:tr>
    </w:tbl>
    <w:p>
      <w:pPr>
        <w:pStyle w:val="Heading3"/>
      </w:pPr>
      <w:r>
        <w:t>BOM planning / quote placeholders — US-MJB-02 (included in BOM total above)</w:t>
      </w:r>
    </w:p>
    <w:p>
      <w:r>
        <w:rPr>
          <w:i/>
          <w:color w:val="595959"/>
        </w:rPr>
        <w:t>These lines remain in the main BOM rollup; summarized here because dollars swing most with distributor quotes, surveyed path lengths / footages, allowances, or lift invoices — not necessarily because the SKU model is unknown.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 (plan)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Field / quote driver</w:t>
            </w:r>
          </w:p>
        </w:tc>
      </w:tr>
      <w:tr>
        <w:tc>
          <w:tcPr>
            <w:tcW w:type="dxa" w:w="2160"/>
          </w:tcPr>
          <w:p>
            <w:r>
              <w:t>REX motion (finalize model sheet with security engineering)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$1,760.00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Electrified door hardware allowances (strike / actuator — non-locksmith)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$2,450.00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Green + yellow ACS patch cabling + Cyber SSPS 270μm plant allowance (warehouse headend tiers)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$2,400.00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UPS / battery trays / misc power hardware (job lot)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$2,650.00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Conduit stubs to ~15 ft AFF at perimeter doors + stub seal hardware (coordinate with landlord structural drawings)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$578.00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J-hook / seismic bracing allowances for attic &amp; rafter cable routing transitions at warehouse entrances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$798.00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Decommission supplies incl. abandonment compliance for obsolete underground conductors (coordinate with EH&amp;S)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$950.00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Inbound freight consolidation / JIT staging allowance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MDF / IDF rack adjunct + structured cable-management kit (vendor supplies when retrofit standards mandate new racks per CEVA; coordinate cabinet elevation/power with facilities)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$3,190.00</w:t>
            </w:r>
          </w:p>
        </w:tc>
        <w:tc>
          <w:tcPr>
            <w:tcW w:type="dxa" w:w="2160"/>
          </w:tcPr>
          <w:p>
            <w:r>
              <w:t>Adjust after rack elevation drawings + Site Leadership / STPM direction.</w:t>
            </w:r>
          </w:p>
        </w:tc>
      </w:tr>
      <w:tr>
        <w:tc>
          <w:tcPr>
            <w:tcW w:type="dxa" w:w="2160"/>
          </w:tcPr>
          <w:p>
            <w:r>
              <w:t>Yellow Cat6 plenum horizontal + patch allowances — ACS field / IDF interconnect toward corporate switch demarc per CEVA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$890.00</w:t>
            </w:r>
          </w:p>
        </w:tc>
        <w:tc>
          <w:tcPr>
            <w:tcW w:type="dxa" w:w="2160"/>
          </w:tcPr>
          <w:p>
            <w:r>
              <w:t>Terminated &amp; tested lengths after Network Support port map.</w:t>
            </w:r>
          </w:p>
        </w:tc>
      </w:tr>
      <w:tr>
        <w:tc>
          <w:tcPr>
            <w:tcW w:type="dxa" w:w="2160"/>
          </w:tcPr>
          <w:p>
            <w:r>
              <w:t>Cisco core switch license placeholder (reference SKU LIC-C9300-24A-5Y 5YR — qty TBD, non-returnable)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$5,100.00</w:t>
            </w:r>
          </w:p>
        </w:tc>
        <w:tc>
          <w:tcPr>
            <w:tcW w:type="dxa" w:w="2160"/>
          </w:tcPr>
          <w:p>
            <w:r>
              <w:t>Network Support verifies exact switch qty &amp; portal assignment before PO.</w:t>
            </w:r>
          </w:p>
        </w:tc>
      </w:tr>
      <w:tr>
        <w:tc>
          <w:tcPr>
            <w:tcW w:type="dxa" w:w="2160"/>
          </w:tcPr>
          <w:p>
            <w:r>
              <w:t>Cisco edge switch license placeholder (reference LIC-9300L-24E-5Y 5YR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Industrial / hardened Cisco IE entitlement allowance (reference SW-CON-SNT-IE002SLM class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$2,450.00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Fiber / optic allowance — multimode optics + OM3 LC jumpers (refs GLC-SX-MMD ~1GE, SFP-10G-SR ~10GE — qty TBD)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$2,910.00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12-strand OM3 armored retrofit backbone allowance + LC LIU hardware segment (references CEVA interior retrofit OM3 tier — extents TBD with Building 3 cabling survey)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$5,210.00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Network Support coordination allowance (labels, workstation consumables for serial worksheet / portal documentation — optics handling fee)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$640.00</w:t>
            </w:r>
          </w:p>
        </w:tc>
        <w:tc>
          <w:tcPr>
            <w:tcW w:type="dxa" w:w="2160"/>
          </w:tcPr>
          <w:p>
            <w:r>
              <w:t>Labor for serial capture split into programming / commissioning scopes.</w:t>
            </w:r>
          </w:p>
        </w:tc>
      </w:tr>
      <w:tr>
        <w:tc>
          <w:tcPr>
            <w:tcW w:type="dxa" w:w="2160"/>
          </w:tcPr>
          <w:p>
            <w:r>
              <w:t>Avigilon ACM 16-reader licensing units ×8 (planning qty applies CEVA double-license doctrine on dual-server architecture — confirm SKU with distributor)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$23,880.00</w:t>
            </w:r>
          </w:p>
        </w:tc>
        <w:tc>
          <w:tcPr>
            <w:tcW w:type="dxa" w:w="2160"/>
          </w:tcPr>
          <w:p>
            <w:r>
              <w:t>Server 1 + Server 2 (failover) — align reader maps with failover strategy.</w:t>
            </w:r>
          </w:p>
        </w:tc>
      </w:tr>
      <w:tr>
        <w:tc>
          <w:tcPr>
            <w:tcW w:type="dxa" w:w="2160"/>
          </w:tcPr>
          <w:p>
            <w:r>
              <w:t>Yellow plenum composite — reader homeruns (est. 27 runs × (340+10) ft × (1+10%) waste)</w:t>
            </w:r>
          </w:p>
        </w:tc>
        <w:tc>
          <w:tcPr>
            <w:tcW w:type="dxa" w:w="2160"/>
          </w:tcPr>
          <w:p>
            <w:r>
              <w:t>10395</w:t>
            </w:r>
          </w:p>
        </w:tc>
        <w:tc>
          <w:tcPr>
            <w:tcW w:type="dxa" w:w="2160"/>
          </w:tcPr>
          <w:p>
            <w:r>
              <w:t>$12,681.90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Yellow plenum 22/6 SHLD — IN/OUT homeruns (est. 8 runs × (300+10) ft × (1+10%) waste)</w:t>
            </w:r>
          </w:p>
        </w:tc>
        <w:tc>
          <w:tcPr>
            <w:tcW w:type="dxa" w:w="2160"/>
          </w:tcPr>
          <w:p>
            <w:r>
              <w:t>2728</w:t>
            </w:r>
          </w:p>
        </w:tc>
        <w:tc>
          <w:tcPr>
            <w:tcW w:type="dxa" w:w="2160"/>
          </w:tcPr>
          <w:p>
            <w:r>
              <w:t>$8,047.60</w:t>
            </w:r>
          </w:p>
        </w:tc>
        <w:tc>
          <w:tcPr>
            <w:tcW w:type="dxa" w:w="2160"/>
          </w:tcPr>
          <w:p>
            <w:r>
              <w:t>planning; each run ≤500 ft to panel/IDF per CEVA; survey to confirm</w:t>
            </w:r>
          </w:p>
        </w:tc>
      </w:tr>
      <w:tr>
        <w:tc>
          <w:tcPr>
            <w:tcW w:type="dxa" w:w="2160"/>
          </w:tcPr>
          <w:p>
            <w:r>
              <w:t>Cable misc. (ties, transition, spare box, label stock for pulls)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$650.00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Aerial / scissor lift rental (est. 9 days, all-in incl. delivery/pickup allowance)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$2,205.00</w:t>
            </w:r>
          </w:p>
        </w:tc>
        <w:tc>
          <w:tcPr>
            <w:tcW w:type="dxa" w:w="2160"/>
          </w:tcPr>
          <w:p>
            <w:r>
              <w:t>Verify Sunbelt/United/etc. quote; operator training/OSHA site rules apply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Subtotal (appendix rows only)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$84,260.50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Full material totals include margin + tax on financial summary.</w:t>
            </w:r>
          </w:p>
        </w:tc>
      </w:tr>
    </w:tbl>
    <w:p>
      <w:pPr>
        <w:pStyle w:val="Heading2"/>
      </w:pPr>
      <w:r>
        <w:t>Labor buildup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Phase / scope bucket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Hours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Rate ($155.00/hr)</w:t>
            </w:r>
          </w:p>
        </w:tc>
        <w:tc>
          <w:tcPr>
            <w:tcW w:type="dxa" w:w="216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t>A — Pre-mobilization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$3,875.00</w:t>
            </w:r>
          </w:p>
        </w:tc>
      </w:tr>
      <w:tr>
        <w:tc>
          <w:tcPr>
            <w:tcW w:type="dxa" w:w="2160"/>
          </w:tcPr>
          <w:p>
            <w:r>
              <w:t>B — Pro-Watch decommission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$15,500.00</w:t>
            </w:r>
          </w:p>
        </w:tc>
      </w:tr>
      <w:tr>
        <w:tc>
          <w:tcPr>
            <w:tcW w:type="dxa" w:w="2160"/>
          </w:tcPr>
          <w:p>
            <w:r>
              <w:t>C — Rough-in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$21,390.00</w:t>
            </w:r>
          </w:p>
        </w:tc>
      </w:tr>
      <w:tr>
        <w:tc>
          <w:tcPr>
            <w:tcW w:type="dxa" w:w="2160"/>
          </w:tcPr>
          <w:p>
            <w:r>
              <w:t>D — Headend install</w:t>
            </w:r>
          </w:p>
        </w:tc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$15,190.00</w:t>
            </w:r>
          </w:p>
        </w:tc>
      </w:tr>
      <w:tr>
        <w:tc>
          <w:tcPr>
            <w:tcW w:type="dxa" w:w="2160"/>
          </w:tcPr>
          <w:p>
            <w:r>
              <w:t>E — Device install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$14,880.00</w:t>
            </w:r>
          </w:p>
        </w:tc>
      </w:tr>
      <w:tr>
        <w:tc>
          <w:tcPr>
            <w:tcW w:type="dxa" w:w="2160"/>
          </w:tcPr>
          <w:p>
            <w:r>
              <w:t>F — Power-on checks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$3,720.00</w:t>
            </w:r>
          </w:p>
        </w:tc>
      </w:tr>
      <w:tr>
        <w:tc>
          <w:tcPr>
            <w:tcW w:type="dxa" w:w="2160"/>
          </w:tcPr>
          <w:p>
            <w:r>
              <w:t>G — ACM programming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$9,920.00</w:t>
            </w:r>
          </w:p>
        </w:tc>
      </w:tr>
      <w:tr>
        <w:tc>
          <w:tcPr>
            <w:tcW w:type="dxa" w:w="2160"/>
          </w:tcPr>
          <w:p>
            <w:r>
              <w:t>H — Commissioning / SAT &amp; punch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$4,960.00</w:t>
            </w:r>
          </w:p>
        </w:tc>
      </w:tr>
      <w:tr>
        <w:tc>
          <w:tcPr>
            <w:tcW w:type="dxa" w:w="2160"/>
          </w:tcPr>
          <w:p>
            <w:r>
              <w:t>I — Closeout documentation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$155.00</w:t>
            </w:r>
          </w:p>
        </w:tc>
        <w:tc>
          <w:tcPr>
            <w:tcW w:type="dxa" w:w="2160"/>
          </w:tcPr>
          <w:p>
            <w:r>
              <w:t>$7,750.00</w:t>
            </w:r>
          </w:p>
        </w:tc>
      </w:tr>
      <w:tr>
        <w:tc>
          <w:tcPr>
            <w:tcW w:type="dxa" w:w="2160"/>
          </w:tcPr>
          <w:p>
            <w:r>
              <w:t>Direct labor subtotal</w:t>
            </w:r>
          </w:p>
        </w:tc>
        <w:tc>
          <w:tcPr>
            <w:tcW w:type="dxa" w:w="2160"/>
          </w:tcPr>
          <w:p>
            <w:r>
              <w:t>627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$97,185.00</w:t>
            </w:r>
          </w:p>
        </w:tc>
      </w:tr>
      <w:tr>
        <w:tc>
          <w:tcPr>
            <w:tcW w:type="dxa" w:w="2160"/>
          </w:tcPr>
          <w:p>
            <w:r>
              <w:t>PM / supervision (12% of direct labor $)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$11,662.20</w:t>
            </w:r>
          </w:p>
        </w:tc>
      </w:tr>
      <w:tr>
        <w:tc>
          <w:tcPr>
            <w:tcW w:type="dxa" w:w="2160"/>
          </w:tcPr>
          <w:p>
            <w:r>
              <w:t>Subtotal before contractor margin (direct + PM)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$108,847.20</w:t>
            </w:r>
          </w:p>
        </w:tc>
      </w:tr>
      <w:tr>
        <w:tc>
          <w:tcPr>
            <w:tcW w:type="dxa" w:w="2160"/>
          </w:tcPr>
          <w:p>
            <w:r>
              <w:t>Contractor margin on labor services (25%)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$27,211.80</w:t>
            </w:r>
          </w:p>
        </w:tc>
      </w:tr>
      <w:tr>
        <w:tc>
          <w:tcPr>
            <w:tcW w:type="dxa" w:w="2160"/>
            <w:shd w:fill="E8EEF4" w:val="clear"/>
          </w:tcPr>
          <w:p>
            <w:r>
              <w:rPr>
                <w:b/>
              </w:rPr>
              <w:t>Labor sell total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>
              <w:rPr>
                <w:b/>
              </w:rPr>
              <w:t>$136,059.00</w:t>
            </w:r>
          </w:p>
        </w:tc>
      </w:tr>
    </w:tbl>
    <w:p>
      <w:pPr>
        <w:pStyle w:val="Heading2"/>
      </w:pPr>
      <w:r>
        <w:t>Financial summary — US-MJB-02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Labor sell total (incl. PM &amp; margin)</w:t>
            </w:r>
          </w:p>
        </w:tc>
        <w:tc>
          <w:tcPr>
            <w:tcW w:type="dxa" w:w="4320"/>
          </w:tcPr>
          <w:p>
            <w:r>
              <w:t>$136,059.00</w:t>
            </w:r>
          </w:p>
        </w:tc>
      </w:tr>
      <w:tr>
        <w:tc>
          <w:tcPr>
            <w:tcW w:type="dxa" w:w="4320"/>
          </w:tcPr>
          <w:p>
            <w:r>
              <w:t>Material base (BOM, pre-margin)</w:t>
            </w:r>
          </w:p>
        </w:tc>
        <w:tc>
          <w:tcPr>
            <w:tcW w:type="dxa" w:w="4320"/>
          </w:tcPr>
          <w:p>
            <w:r>
              <w:t>$147,931.50</w:t>
            </w:r>
          </w:p>
        </w:tc>
      </w:tr>
      <w:tr>
        <w:tc>
          <w:tcPr>
            <w:tcW w:type="dxa" w:w="4320"/>
          </w:tcPr>
          <w:p>
            <w:r>
              <w:t>Contractor margin on materials (25%)</w:t>
            </w:r>
          </w:p>
        </w:tc>
        <w:tc>
          <w:tcPr>
            <w:tcW w:type="dxa" w:w="4320"/>
          </w:tcPr>
          <w:p>
            <w:r>
              <w:t>$36,982.88</w:t>
            </w:r>
          </w:p>
        </w:tc>
      </w:tr>
      <w:tr>
        <w:tc>
          <w:tcPr>
            <w:tcW w:type="dxa" w:w="4320"/>
          </w:tcPr>
          <w:p>
            <w:r>
              <w:t>Material sell total</w:t>
            </w:r>
          </w:p>
        </w:tc>
        <w:tc>
          <w:tcPr>
            <w:tcW w:type="dxa" w:w="4320"/>
          </w:tcPr>
          <w:p>
            <w:r>
              <w:t>$184,914.38</w:t>
            </w:r>
          </w:p>
        </w:tc>
      </w:tr>
      <w:tr>
        <w:tc>
          <w:tcPr>
            <w:tcW w:type="dxa" w:w="4320"/>
          </w:tcPr>
          <w:p>
            <w:r>
              <w:t>Pre-tax construction subtotal (labor sell + material sell)</w:t>
            </w:r>
          </w:p>
        </w:tc>
        <w:tc>
          <w:tcPr>
            <w:tcW w:type="dxa" w:w="4320"/>
          </w:tcPr>
          <w:p>
            <w:r>
              <w:t>$320,973.38</w:t>
            </w:r>
          </w:p>
        </w:tc>
      </w:tr>
      <w:tr>
        <w:tc>
          <w:tcPr>
            <w:tcW w:type="dxa" w:w="4320"/>
          </w:tcPr>
          <w:p>
            <w:r>
              <w:t>Est. sales/use tax on materials (9.25% — verify jurisdiction)</w:t>
            </w:r>
          </w:p>
        </w:tc>
        <w:tc>
          <w:tcPr>
            <w:tcW w:type="dxa" w:w="4320"/>
          </w:tcPr>
          <w:p>
            <w:r>
              <w:t>$17,104.58</w:t>
            </w:r>
          </w:p>
        </w:tc>
      </w:tr>
      <w:tr>
        <w:tc>
          <w:tcPr>
            <w:tcW w:type="dxa" w:w="4320"/>
          </w:tcPr>
          <w:p>
            <w:r>
              <w:t>Performance &amp; payment bond allowance (1.50% of pre-tax subtotal — verify)</w:t>
            </w:r>
          </w:p>
        </w:tc>
        <w:tc>
          <w:tcPr>
            <w:tcW w:type="dxa" w:w="4320"/>
          </w:tcPr>
          <w:p>
            <w:r>
              <w:t>$4,814.60</w:t>
            </w:r>
          </w:p>
        </w:tc>
      </w:tr>
      <w:tr>
        <w:tc>
          <w:tcPr>
            <w:tcW w:type="dxa" w:w="4320"/>
          </w:tcPr>
          <w:p>
            <w:r>
              <w:t>OCIP / wrap allowance (0.50% of pre-tax subtotal — verify or zero)</w:t>
            </w:r>
          </w:p>
        </w:tc>
        <w:tc>
          <w:tcPr>
            <w:tcW w:type="dxa" w:w="4320"/>
          </w:tcPr>
          <w:p>
            <w:r>
              <w:t>$1,604.87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TOTAL (this site)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$344,497.42</w:t>
            </w:r>
          </w:p>
        </w:tc>
      </w:tr>
    </w:tbl>
    <w:p>
      <w:r>
        <w:br w:type="page"/>
      </w:r>
    </w:p>
    <w:p>
      <w:pPr>
        <w:pStyle w:val="Heading1"/>
      </w:pPr>
      <w:r>
        <w:t>Program roll-up (both sites)</w:t>
      </w:r>
    </w:p>
    <w:p>
      <w:r>
        <w:rPr>
          <w:i/>
          <w:color w:val="0070C0"/>
        </w:rPr>
        <w:t>One number for the conference call.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Line</w:t>
            </w:r>
          </w:p>
        </w:tc>
        <w:tc>
          <w:tcPr>
            <w:tcW w:type="dxa" w:w="4320"/>
            <w:shd w:fill="1B3A5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Amount (USD)</w:t>
            </w:r>
          </w:p>
        </w:tc>
      </w:tr>
      <w:tr>
        <w:tc>
          <w:tcPr>
            <w:tcW w:type="dxa" w:w="4320"/>
          </w:tcPr>
          <w:p>
            <w:r>
              <w:t>US-MJB-04 — total (per site table)</w:t>
            </w:r>
          </w:p>
        </w:tc>
        <w:tc>
          <w:tcPr>
            <w:tcW w:type="dxa" w:w="4320"/>
          </w:tcPr>
          <w:p>
            <w:r>
              <w:t>$258,134.25</w:t>
            </w:r>
          </w:p>
        </w:tc>
      </w:tr>
      <w:tr>
        <w:tc>
          <w:tcPr>
            <w:tcW w:type="dxa" w:w="4320"/>
          </w:tcPr>
          <w:p>
            <w:r>
              <w:t>US-MJB-02 — total (per site table)</w:t>
            </w:r>
          </w:p>
        </w:tc>
        <w:tc>
          <w:tcPr>
            <w:tcW w:type="dxa" w:w="4320"/>
          </w:tcPr>
          <w:p>
            <w:r>
              <w:t>$344,497.42</w:t>
            </w:r>
          </w:p>
        </w:tc>
      </w:tr>
      <w:tr>
        <w:tc>
          <w:tcPr>
            <w:tcW w:type="dxa" w:w="4320"/>
          </w:tcPr>
          <w:p>
            <w:r>
              <w:t>—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Recomputed pre-tax subtotal (labor + material, both sites)</w:t>
            </w:r>
          </w:p>
        </w:tc>
        <w:tc>
          <w:tcPr>
            <w:tcW w:type="dxa" w:w="4320"/>
          </w:tcPr>
          <w:p>
            <w:r>
              <w:t>$561,375.97</w:t>
            </w:r>
          </w:p>
        </w:tc>
      </w:tr>
      <w:tr>
        <w:tc>
          <w:tcPr>
            <w:tcW w:type="dxa" w:w="4320"/>
          </w:tcPr>
          <w:p>
            <w:r>
              <w:t>Combined est. tax on materials (same method)</w:t>
            </w:r>
          </w:p>
        </w:tc>
        <w:tc>
          <w:tcPr>
            <w:tcW w:type="dxa" w:w="4320"/>
          </w:tcPr>
          <w:p>
            <w:r>
              <w:t>$30,028.18</w:t>
            </w:r>
          </w:p>
        </w:tc>
      </w:tr>
      <w:tr>
        <w:tc>
          <w:tcPr>
            <w:tcW w:type="dxa" w:w="4320"/>
          </w:tcPr>
          <w:p>
            <w:r>
              <w:t>Combined bond allowance (on combined pre-tax)</w:t>
            </w:r>
          </w:p>
        </w:tc>
        <w:tc>
          <w:tcPr>
            <w:tcW w:type="dxa" w:w="4320"/>
          </w:tcPr>
          <w:p>
            <w:r>
              <w:t>$8,420.64</w:t>
            </w:r>
          </w:p>
        </w:tc>
      </w:tr>
      <w:tr>
        <w:tc>
          <w:tcPr>
            <w:tcW w:type="dxa" w:w="4320"/>
          </w:tcPr>
          <w:p>
            <w:r>
              <w:t>Combined OCIP allowance (on combined pre-tax)</w:t>
            </w:r>
          </w:p>
        </w:tc>
        <w:tc>
          <w:tcPr>
            <w:tcW w:type="dxa" w:w="4320"/>
          </w:tcPr>
          <w:p>
            <w:r>
              <w:t>$2,806.88</w:t>
            </w:r>
          </w:p>
        </w:tc>
      </w:tr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GRAND TOTAL (both sites, recomputed)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$602,631.67</w:t>
            </w:r>
          </w:p>
        </w:tc>
      </w:tr>
    </w:tbl>
    <w:p>
      <w:r>
        <w:rPr>
          <w:i/>
        </w:rPr>
        <w:t>Pick one story and stick to it: either **sum of per-site totals** or the **recombined grand** above (they should be close; recombined applies bond/OCIP once on the combined pre-tax base).</w:t>
      </w:r>
    </w:p>
    <w:p/>
    <w:p>
      <w:pPr>
        <w:pStyle w:val="Heading2"/>
      </w:pPr>
      <w:r>
        <w:t>Let’s build it right</w:t>
      </w:r>
    </w:p>
    <w:p>
      <w:r>
        <w:t>We’re ready to align on drawings, IDF strategy, and cutover windows the moment CEVA says “go.” Questions welcome — we actually answer the phone.</w:t>
        <w:br/>
        <w:br/>
      </w:r>
      <w:r>
        <w:t>Respectfully submitted,</w:t>
        <w:br/>
        <w:br/>
      </w:r>
      <w:r>
        <w:rPr>
          <w:b/>
        </w:rPr>
        <w:t>Robert Browning</w:t>
        <w:br/>
      </w:r>
      <w:r>
        <w:t>Authorized Signer</w:t>
        <w:br/>
      </w:r>
      <w:r>
        <w:t>Quality Installation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CEVA Access Control — Quality Installation Systems</dc:title>
  <dc:subject>Pro-Watch decommission + Avigilon ACM (two sites)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