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赖氨酸糖基化位点预测全部实验结果与分析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000000"/>
          <w:sz w:val="22"/>
        </w:rPr>
        <w:t>31 位序列特征与二分类模型实验汇总</w:t>
      </w:r>
    </w:p>
    <w:p>
      <w:pPr>
        <w:spacing w:after="300"/>
        <w:jc w:val="center"/>
      </w:pPr>
      <w:r>
        <w:rPr>
          <w:rFonts w:ascii="Microsoft YaHei" w:hAnsi="Microsoft YaHei" w:eastAsia="Microsoft YaHei"/>
          <w:b w:val="0"/>
          <w:color w:val="000000"/>
          <w:sz w:val="19"/>
        </w:rPr>
        <w:t>数据规模 7,144 条有效窗口    汇总日期 2026 年 10 月 10 日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报告结论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全部清洗后实验均使用 3,573 条正样本和 3,571 条负样本，不进行重采样。当前数值最高方案是五种融合特征、训练折内 LightGBM 特征选择、LightGBM 分类器，以及训练折内联合参数和阈值选择，外层五折 MCC 为 0.2130 ± 0.0309，AUC 为 0.6454 ± 0.0172，ACC 为 0.6036 ± 0.0177。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更稳妥的主基线是同一融合特征路线使用固定 0.5 阈值的 LightGBM：MCC 为 0.2014 ± 0.0353，SN 为 0.6154，SP 为 0.5858。联合优化将 SN 提高到 0.6983，但 SP 降至 0.5088；MCC 增量仅为 0.0116，因此应将 0.2130 视为待独立验证的候选结果。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实验总体显示，五种融合特征本身并不会自动带来提升，主要增益来自 LightGBM 对高维非线性特征的适配。论文超参数直接迁移到 One-hot 或融合特征 BiLSTM 时均出现类别塌缩；训练折内降低学习率和正则强度后，One-hot BiLSTM 才恢复有效分类能力。将该调参版进一步替换为 AdamW、Warmup 和余弦衰减后，MCC 降至 0.1718，未获得额外增益。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1 数据与统一预处理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原始正样本和负样本各 3,573 条。正样本全部为 31 位；负样本中有 3,571 条为 31 位，另有 1 条为 34 位、1 条为 28 位。正式实验剔除这两条异常负序列，保留 7,144 条窗口，且每条序列第 16 位均为赖氨酸 K。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原始数量</w:t>
            </w:r>
          </w:p>
        </w:tc>
        <w:tc>
          <w:tcPr>
            <w:tcW w:type="dxa" w:w="201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正式实验数量</w:t>
            </w:r>
          </w:p>
        </w:tc>
        <w:tc>
          <w:tcPr>
            <w:tcW w:type="dxa" w:w="432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正样本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3,573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3,573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全部保留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负样本</w:t>
            </w:r>
          </w:p>
        </w:tc>
        <w:tc>
          <w:tcPr>
            <w:tcW w:type="dxa" w:w="180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3,573</w:t>
            </w:r>
          </w:p>
        </w:tc>
        <w:tc>
          <w:tcPr>
            <w:tcW w:type="dxa" w:w="201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3,571</w:t>
            </w:r>
          </w:p>
        </w:tc>
        <w:tc>
          <w:tcPr>
            <w:tcW w:type="dxa" w:w="432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剔除 2 条非 31 位序列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7,146</w:t>
            </w:r>
          </w:p>
        </w:tc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7,144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正负比例约为 1 比 1</w:t>
            </w:r>
          </w:p>
        </w:tc>
      </w:tr>
    </w:tbl>
    <w:p>
      <w:pPr>
        <w:spacing w:after="40"/>
      </w:pP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类别数量近似相等，因此后续实验关闭 CCU 及其他重采样。早期包含两条异常负序列的 One-hot 逻辑回归结果仅保留为历史记录，不进入正式模型排名。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2 特征与验证设计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One-hot 特征将 31 个位置分别编码为 21 维向量，展开后共 651 维，保留明确的位置和氨基酸类别信息。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五种融合特征包含 AAC 20 维、PWAA 21 维、EBGW 15 维、二肽 KMER 441 维和 DR 1,344 维，合计 1,841 维。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简单基线使用分层随机五折。需要调参的实验使用外层五折评估，并在外层训练折内部划分验证集或进行三折验证。特征选择、标准化、早停、模型选择和阈值选择均限制在训练数据内。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SN 表示正类检出率，SP 表示负类检出率，ACC 表示总体正确率，MCC 综合衡量四个混淆矩阵分量，AUC 衡量不同阈值下的排序能力。表中均报告五折均值和样本标准差。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2.1 实验演进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89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5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实验方向</w:t>
            </w:r>
          </w:p>
        </w:tc>
        <w:tc>
          <w:tcPr>
            <w:tcW w:type="dxa" w:w="540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主要发现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清洗后 One-hot 逻辑回归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建立 MCC 0.1201 的正式基线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4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五种融合特征与逻辑回归</w:t>
            </w:r>
          </w:p>
        </w:tc>
        <w:tc>
          <w:tcPr>
            <w:tcW w:type="dxa" w:w="540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高维特征在线性模型上没有提升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LightGBM 特征选择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对融合逻辑回归仅有小幅帮助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4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论文参数 BiLSTM</w:t>
            </w:r>
          </w:p>
        </w:tc>
        <w:tc>
          <w:tcPr>
            <w:tcW w:type="dxa" w:w="540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One-hot 和融合输入均发生类别塌缩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训练折内调参 BiLSTM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恢复有效学习并达到 MCC 0.1833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4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AdamW 调度 BiLSTM</w:t>
            </w:r>
          </w:p>
        </w:tc>
        <w:tc>
          <w:tcPr>
            <w:tcW w:type="dxa" w:w="540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未超过原 Adam 调参版，MCC 为 0.1718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One-hot 分类器对比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LightGBM 是 One-hot 最优传统模型</w:t>
            </w:r>
          </w:p>
        </w:tc>
      </w:tr>
      <w:tr>
        <w:trPr>
          <w:cantSplit/>
        </w:trPr>
        <w:tc>
          <w:tcPr>
            <w:tcW w:type="dxa" w:w="89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4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融合特征分类器对比</w:t>
            </w:r>
          </w:p>
        </w:tc>
        <w:tc>
          <w:tcPr>
            <w:tcW w:type="dxa" w:w="540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LightGBM 达到稳健基线 MCC 0.2014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MCC 参数与阈值优化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候选方案达到当前最高 MCC 0.2130</w:t>
            </w:r>
          </w:p>
        </w:tc>
      </w:tr>
    </w:tbl>
    <w:p>
      <w:pPr>
        <w:spacing w:after="40"/>
      </w:pPr>
    </w:p>
    <w:p>
      <w:pPr>
        <w:sectPr>
          <w:footerReference w:type="default" r:id="rId9"/>
          <w:pgSz w:w="12240" w:h="15840"/>
          <w:pgMar w:top="1037" w:right="1080" w:bottom="979" w:left="108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3 全部正式实验结果</w:t>
      </w:r>
    </w:p>
    <w:p>
      <w:pPr>
        <w:spacing w:before="0" w:after="120" w:line="341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下表列出 14 组独立预测结果。MCC 优化实验中的固定阈值基线与融合特征嵌套 LightGBM 是同一组预测，因此只列一次。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</w:trPr>
        <w:tc>
          <w:tcPr>
            <w:tcW w:type="dxa" w:w="547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24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实验方法</w:t>
            </w:r>
          </w:p>
        </w:tc>
        <w:tc>
          <w:tcPr>
            <w:tcW w:type="dxa" w:w="169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SN</w:t>
            </w:r>
          </w:p>
        </w:tc>
        <w:tc>
          <w:tcPr>
            <w:tcW w:type="dxa" w:w="169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ACC</w:t>
            </w:r>
          </w:p>
        </w:tc>
        <w:tc>
          <w:tcPr>
            <w:tcW w:type="dxa" w:w="169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SP</w:t>
            </w:r>
          </w:p>
        </w:tc>
        <w:tc>
          <w:tcPr>
            <w:tcW w:type="dxa" w:w="169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MCC</w:t>
            </w:r>
          </w:p>
        </w:tc>
        <w:tc>
          <w:tcPr>
            <w:tcW w:type="dxa" w:w="1699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AUC</w:t>
            </w:r>
          </w:p>
        </w:tc>
        <w:tc>
          <w:tcPr>
            <w:tcW w:type="dxa" w:w="1973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固定逻辑回归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0.5617 ± 0.0153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0.5601 ± 0.0109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0.5584 ± 0.0198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0.1201 ± 0.0219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未计算</w:t>
            </w:r>
          </w:p>
        </w:tc>
        <w:tc>
          <w:tcPr>
            <w:tcW w:type="dxa" w:w="1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正式基础基线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五融合特征加逻辑回归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0.5402 ± 0.0163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0.5479 ± 0.0152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0.5556 ± 0.0164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0.0958 ± 0.0304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0.5725 ± 0.0153</w:t>
            </w:r>
          </w:p>
        </w:tc>
        <w:tc>
          <w:tcPr>
            <w:tcW w:type="dxa" w:w="197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有效但下降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五融合加 LGBM 筛选加逻辑回归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0.5516 ± 0.0147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0.5535 ± 0.0142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0.5553 ± 0.0212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0.1070 ± 0.0284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0.5783 ± 0.0160</w:t>
            </w:r>
          </w:p>
        </w:tc>
        <w:tc>
          <w:tcPr>
            <w:tcW w:type="dxa" w:w="1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筛选小幅改善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BiLSTM 论文参数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0.6000 ± 0.5477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0.4999 ± 0.0003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0.4000 ± 0.5477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0.0000 ± 0.0000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0.5464 ± 0.0248</w:t>
            </w:r>
          </w:p>
        </w:tc>
        <w:tc>
          <w:tcPr>
            <w:tcW w:type="dxa" w:w="197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类别塌缩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调参 One-hot BiLSTM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0.6882 ± 0.1527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0.5857 ± 0.0081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0.4830 ± 0.1583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0.1833 ± 0.0160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0.6340 ± 0.0037</w:t>
            </w:r>
          </w:p>
        </w:tc>
        <w:tc>
          <w:tcPr>
            <w:tcW w:type="dxa" w:w="1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有效但波动大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AdamW 调度 BiLSTM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0.6530 ± 0.2016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0.5789 ± 0.0095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0.5049 ± 0.1932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0.1718 ± 0.0215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0.6227 ± 0.0163</w:t>
            </w:r>
          </w:p>
        </w:tc>
        <w:tc>
          <w:tcPr>
            <w:tcW w:type="dxa" w:w="197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未超过 Adam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完整论文路线不重采样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0.6000 ± 0.5477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0.5000 ± 0.0004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0.4000 ± 0.5477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0.0000 ± 0.0000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0.5093 ± 0.0358</w:t>
            </w:r>
          </w:p>
        </w:tc>
        <w:tc>
          <w:tcPr>
            <w:tcW w:type="dxa" w:w="1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类别塌缩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五融合筛选加 LightGBM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0.6154 ± 0.0252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0.6006 ± 0.0176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0.5858 ± 0.0120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0.2014 ± 0.0353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0.6435 ± 0.0141</w:t>
            </w:r>
          </w:p>
        </w:tc>
        <w:tc>
          <w:tcPr>
            <w:tcW w:type="dxa" w:w="197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稳健主基线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嵌套逻辑回归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0.5603 ± 0.0126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0.5594 ± 0.0103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0.5584 ± 0.0225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0.1187 ± 0.0206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0.5885 ± 0.0120</w:t>
            </w:r>
          </w:p>
        </w:tc>
        <w:tc>
          <w:tcPr>
            <w:tcW w:type="dxa" w:w="1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对照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LightGBM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0.5793 ± 0.0156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0.5829 ± 0.0063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0.5864 ± 0.0193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0.1658 ± 0.0126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0.6167 ± 0.0099</w:t>
            </w:r>
          </w:p>
        </w:tc>
        <w:tc>
          <w:tcPr>
            <w:tcW w:type="dxa" w:w="197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最佳传统模型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RBF SVM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0.5964 ± 0.0244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0.5651 ± 0.0063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0.5337 ± 0.0160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0.1305 ± 0.0130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0.5964 ± 0.0121</w:t>
            </w:r>
          </w:p>
        </w:tc>
        <w:tc>
          <w:tcPr>
            <w:tcW w:type="dxa" w:w="1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偏向正类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One-hot MLP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0.5586 ± 0.0124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0.5620 ± 0.0036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0.5654 ± 0.0179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0.1241 ± 0.0072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0.5838 ± 0.0031</w:t>
            </w:r>
          </w:p>
        </w:tc>
        <w:tc>
          <w:tcPr>
            <w:tcW w:type="dxa" w:w="197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提升有限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32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融合 LightGBM 仅优化阈值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0.7467 ± 0.1471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0.5885 ± 0.0159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0.4301 ± 0.1637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0.1958 ± 0.0237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0.6435 ± 0.0141</w:t>
            </w:r>
          </w:p>
        </w:tc>
        <w:tc>
          <w:tcPr>
            <w:tcW w:type="dxa" w:w="197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SN 高但 SP 下降</w:t>
            </w:r>
          </w:p>
        </w:tc>
      </w:tr>
      <w:tr>
        <w:trPr>
          <w:cantSplit/>
        </w:trPr>
        <w:tc>
          <w:tcPr>
            <w:tcW w:type="dxa" w:w="547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融合 LightGBM 参数与阈值联合优化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0.6983 ± 0.0718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0.6036 ± 0.0177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0.5088 ± 0.0955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0.2130 ± 0.0309</w:t>
            </w:r>
          </w:p>
        </w:tc>
        <w:tc>
          <w:tcPr>
            <w:tcW w:type="dxa" w:w="1699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0.6454 ± 0.0172</w:t>
            </w:r>
          </w:p>
        </w:tc>
        <w:tc>
          <w:tcPr>
            <w:tcW w:type="dxa" w:w="1973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当前最高 MCC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4 实验路线分析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4.1 基础编码与逻辑回归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清洗后的 One-hot 逻辑回归取得 MCC 0.1201，SN 与 SP 接近，说明模型没有明显类别偏向，但整体区分能力较弱。将输入改为 1,841 维融合特征后，逻辑回归 MCC 降至 0.0958；再加入训练折内 LightGBM 特征筛选后回升到 0.1070，仍未超过 One-hot 基线。这表明高维融合特征中的有效关系并非简单线性加和。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4.2 深度学习模型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将论文给出的 Adam 学习率 0.01、L2 正则 0.005 和 Dropout 0.5 直接用于 One-hot BiLSTM 时，五折模型分别退化为近乎全正或全负预测，MCC 为 0。五融合特征经过 LightGBM 筛选后再输入论文结构，仍出现相同类别塌缩，AUC 仅为 0.5093。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训练折内调低学习率、L2 和 Dropout 后，One-hot BiLSTM 的 MCC 提高到 0.1833、AUC 提高到 0.6340，证明深度模型能够从位置序列学习信号。然而 SN 和 SP 的折间标准差分别约为 0.153 和 0.158，且参数只在单次 15% 验证划分上选择，随机初始化与超参数效果仍有混杂。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在相同 One-hot 输入、网络结构、候选配置和嵌套五折下，将优化器替换为 AdamW，并采用 5 epoch 线性 Warmup 与余弦衰减后，MCC 为 0.1718、AUC 为 0.6227，均低于原 Adam 调参版，且 MCC 与 AUC 的折间标准差增大。该策略略微提高 SP 至 0.5049，但 SN 降至 0.6530。五折最佳 epoch 平均仅为 10.4，5 个 Warmup epoch 占据近一半训练过程，早停使多数折只经历少量余弦衰减；这可能限制其收益，但不能据此证明因果。</w:t>
      </w:r>
    </w:p>
    <w:p>
      <w:r>
        <w:br w:type="page"/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4.3 分类器对比</w:t>
      </w:r>
    </w:p>
    <w:p>
      <w:pPr>
        <w:spacing w:before="0" w:after="120" w:line="341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 One-hot 表示下，LightGBM 的 MCC 和 AUC 均为四类传统或浅层模型中最高。RBF SVM 的 SN 较高，但 SP 较低；MLP 和逻辑回归的增益有限。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72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08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ACC</w:t>
            </w:r>
          </w:p>
        </w:tc>
        <w:tc>
          <w:tcPr>
            <w:tcW w:type="dxa" w:w="208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MCC</w:t>
            </w:r>
          </w:p>
        </w:tc>
        <w:tc>
          <w:tcPr>
            <w:tcW w:type="dxa" w:w="208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AUC</w:t>
            </w:r>
          </w:p>
        </w:tc>
        <w:tc>
          <w:tcPr>
            <w:tcW w:type="dxa" w:w="288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LightGBM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0.5829 ± 0.0063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0.1658 ± 0.0126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0.6167 ± 0.0099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One-hot 最优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RBF SVM</w:t>
            </w:r>
          </w:p>
        </w:tc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0.5651 ± 0.0063</w:t>
            </w:r>
          </w:p>
        </w:tc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0.1305 ± 0.0130</w:t>
            </w:r>
          </w:p>
        </w:tc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0.5964 ± 0.0121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SN 较高 SP 较低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MLP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0.5620 ± 0.0036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0.1241 ± 0.0072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0.5838 ± 0.0031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提升有限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逻辑回归</w:t>
            </w:r>
          </w:p>
        </w:tc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0.5594 ± 0.0103</w:t>
            </w:r>
          </w:p>
        </w:tc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0.1187 ± 0.0206</w:t>
            </w:r>
          </w:p>
        </w:tc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0.5885 ± 0.0120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线性对照</w:t>
            </w:r>
          </w:p>
        </w:tc>
      </w:tr>
    </w:tbl>
    <w:p>
      <w:pPr>
        <w:spacing w:after="40"/>
      </w:pP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在融合特征上进行相同的嵌套模型比较时，五个外层折全部选择学习率 0.02、15 个叶子的 LightGBM。其 MCC 0.2014 高于 One-hot LightGBM 的 0.1658，AUC 0.6435 高于 0.6167，说明 AAC、位置权重、二肽和距离关系提供了 One-hot 之外的有效信息。</w:t>
      </w:r>
    </w:p>
    <w:p>
      <w:pPr>
        <w:pStyle w:val="Heading2"/>
        <w:keepNext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4.4 MCC 定向优化</w:t>
      </w:r>
    </w:p>
    <w:p>
      <w:pPr>
        <w:spacing w:before="0" w:after="120" w:line="341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固定 0.5 阈值的融合 LightGBM 提供较均衡的 SN 和 SP。仅在内层折上调整阈值使 SN 大幅上升，但 SP 明显下降，MCC 反而降到 0.1958。联合选择 LightGBM 参数和阈值后，MCC 提高到 0.2130，五折中四折高于基线，但提升小于折间波动。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295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SN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SP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MCC</w:t>
            </w:r>
          </w:p>
        </w:tc>
        <w:tc>
          <w:tcPr>
            <w:tcW w:type="dxa" w:w="122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AUC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固定参数和阈值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0.6154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0.5858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0.6006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0.2014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0.6435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仅调整阈值</w:t>
            </w:r>
          </w:p>
        </w:tc>
        <w:tc>
          <w:tcPr>
            <w:tcW w:type="dxa" w:w="1224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0.7467</w:t>
            </w:r>
          </w:p>
        </w:tc>
        <w:tc>
          <w:tcPr>
            <w:tcW w:type="dxa" w:w="1224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0.4301</w:t>
            </w:r>
          </w:p>
        </w:tc>
        <w:tc>
          <w:tcPr>
            <w:tcW w:type="dxa" w:w="1224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0.5885</w:t>
            </w:r>
          </w:p>
        </w:tc>
        <w:tc>
          <w:tcPr>
            <w:tcW w:type="dxa" w:w="1224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0.1958</w:t>
            </w:r>
          </w:p>
        </w:tc>
        <w:tc>
          <w:tcPr>
            <w:tcW w:type="dxa" w:w="1224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0.6435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联合参数与阈值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0.6983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0.5088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0.6036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0.2130</w:t>
            </w:r>
          </w:p>
        </w:tc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0.6454</w:t>
            </w:r>
          </w:p>
        </w:tc>
      </w:tr>
    </w:tbl>
    <w:p>
      <w:pPr>
        <w:spacing w:after="40"/>
      </w:pP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如果目标强调正类检出率，可优先考察联合优化方案；如果需要 SN 与 SP 更接近，固定 0.5 阈值的融合 LightGBM 更稳妥。LightGBM 概率未经校准，且各内层模型产生的概率尺度可能不同，因此阈值迁移到外层重训模型时可能漂移。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5 可比性与局限性</w:t>
      </w: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除早期未清洗结果外，正式实验使用相同 7,144 条样本、相同随机种子和相同外层五折，测试样本划分一致，可以进行配对式横向比较。代码层面未发现显式使用外层测试折进行特征选择、标准化、早停或调参。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439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核查结果</w:t>
            </w:r>
          </w:p>
        </w:tc>
        <w:tc>
          <w:tcPr>
            <w:tcW w:type="dxa" w:w="345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缺少独立测试集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全部结果均来自内部五折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最终数值仍是内部估计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重复窗口</w:t>
            </w:r>
          </w:p>
        </w:tc>
        <w:tc>
          <w:tcPr>
            <w:tcW w:type="dxa" w:w="4392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 组完全重复正样本，其中 2 组跨折</w:t>
            </w:r>
          </w:p>
        </w:tc>
        <w:tc>
          <w:tcPr>
            <w:tcW w:type="dxa" w:w="34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可能使随机五折略偏乐观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高度重叠窗口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123 对窗口有至少 25 位前后缀重叠，94 对跨折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可能来自同一蛋白的邻近位点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缺少真实蛋白编号</w:t>
            </w:r>
          </w:p>
        </w:tc>
        <w:tc>
          <w:tcPr>
            <w:tcW w:type="dxa" w:w="4392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P1 等标题只是两份文件各自的行号</w:t>
            </w:r>
          </w:p>
        </w:tc>
        <w:tc>
          <w:tcPr>
            <w:tcW w:type="dxa" w:w="34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无法按蛋白进行分组交叉验证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项目级反复择优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多轮实验持续查看同一外层五折结果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最高分可能包含探索性选择偏差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不确定性估计有限</w:t>
            </w:r>
          </w:p>
        </w:tc>
        <w:tc>
          <w:tcPr>
            <w:tcW w:type="dxa" w:w="4392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仅一个五折划分，深度模型单种子</w:t>
            </w:r>
          </w:p>
        </w:tc>
        <w:tc>
          <w:tcPr>
            <w:tcW w:type="dxa" w:w="3456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折间标准差不是置信区间</w:t>
            </w:r>
          </w:p>
        </w:tc>
      </w:tr>
    </w:tbl>
    <w:p>
      <w:pPr>
        <w:spacing w:after="40"/>
      </w:pP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因此，当前结果应准确表述为窗口级随机五折性能，不能直接解释为对全新蛋白的泛化能力。若能获得原蛋白 accession 和赖氨酸位点坐标，应按蛋白或同源簇使用分组交叉验证；最终模型还应在从未参与方案设计的独立测试集上确认。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6 综合结论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五融合特征与逻辑回归的组合没有提升，说明特征表达与分类器之间的匹配比单纯增加特征更重要。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LightGBM 直接分类带来最稳定的增益。融合特征 LightGBM 的 MCC 为 0.2014，是目前最适合作为主基线的方案。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MCC 联合参数和阈值优化达到当前最高 MCC 0.2130，但 SP 下降且提升幅度有限，应作为候选优化而非已证实的最终提升。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论文训练参数不能直接迁移到当前数据；两次直接迁移均类别塌缩。调参 BiLSTM 有效，但 AdamW 加 Warmup 和余弦衰减未进一步提高它的性能，稳定性和计算成本仍不及融合 LightGBM。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类别近似均衡，关闭重采样符合数据条件。后续优先级应是蛋白分组验证、独立测试和数据来源回溯，而不是重新引入欠采样。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7 后续实验建议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取得原蛋白 ID 和位点坐标，锁定最终方案后执行 StratifiedGroupKFold 或按同源簇分组的重复嵌套交叉验证。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在完全相同的分组划分上比较全部融合特征、LightGBM 筛选特征，以及融合特征加 One-hot 位置特征。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若有全长蛋白序列，加入中心 K 的溶剂可及面积、二级结构或蛋白语言模型嵌入，并做严格消融实验。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保存每条样本的折外预测，使用配对 bootstrap 估计 MCC 和 AUC 的置信区间；对深度模型重复多个随机种子。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附录 实验文件索引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24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实验目录或文件</w:t>
            </w:r>
          </w:p>
        </w:tc>
        <w:tc>
          <w:tcPr>
            <w:tcW w:type="dxa" w:w="568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onehot_logistic_regression_cleaned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清洗后 One-hot 逻辑回归正式基线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glypred_feature_baseline</w:t>
            </w:r>
          </w:p>
        </w:tc>
        <w:tc>
          <w:tcPr>
            <w:tcW w:type="dxa" w:w="56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五融合特征加逻辑回归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glypred_fused_lightgbm_selection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LightGBM 特征筛选加逻辑回归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onehot_bilstm_attention</w:t>
            </w:r>
          </w:p>
        </w:tc>
        <w:tc>
          <w:tcPr>
            <w:tcW w:type="dxa" w:w="56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One-hot 与论文参数 BiLSTM 失败诊断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onehot_bilstm_attention_tuned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训练折内调参 One-hot BiLSTM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onehot_bilstm_adamw_warmup_cosine</w:t>
            </w:r>
          </w:p>
        </w:tc>
        <w:tc>
          <w:tcPr>
            <w:tcW w:type="dxa" w:w="56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AdamW Warmup Cosine BiLSTM 对照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glypred_full_pipeline_no_resampling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论文融合路线无重采样失败诊断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glypred_nested_model_comparison</w:t>
            </w:r>
          </w:p>
        </w:tc>
        <w:tc>
          <w:tcPr>
            <w:tcW w:type="dxa" w:w="56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融合特征下 LightGBM SVM MLP 嵌套对比</w:t>
            </w:r>
          </w:p>
        </w:tc>
      </w:tr>
      <w:tr>
        <w:trPr>
          <w:cantSplit/>
        </w:trPr>
        <w:tc>
          <w:tcPr>
            <w:tcW w:type="dxa" w:w="42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onehot_classifier_comparison</w:t>
            </w:r>
          </w:p>
        </w:tc>
        <w:tc>
          <w:tcPr>
            <w:tcW w:type="dxa" w:w="56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One-hot 下四类分类器嵌套对比</w:t>
            </w:r>
          </w:p>
        </w:tc>
      </w:tr>
      <w:tr>
        <w:trPr>
          <w:cantSplit/>
        </w:trPr>
        <w:tc>
          <w:tcPr>
            <w:tcW w:type="dxa" w:w="424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glypred_mcc_optimization</w:t>
            </w:r>
          </w:p>
        </w:tc>
        <w:tc>
          <w:tcPr>
            <w:tcW w:type="dxa" w:w="5688"/>
            <w:vAlign w:val="center"/>
            <w:shd w:fill="EDF3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LightGBM 参数和阈值 MCC 定向优化</w:t>
            </w:r>
          </w:p>
        </w:tc>
      </w:tr>
    </w:tbl>
    <w:p>
      <w:pPr>
        <w:spacing w:after="40"/>
      </w:pPr>
    </w:p>
    <w:p>
      <w:pPr>
        <w:spacing w:before="0" w:after="120" w:line="341" w:lineRule="auto"/>
        <w:ind w:firstLine="420"/>
      </w:pPr>
      <w:r>
        <w:rPr>
          <w:rFonts w:ascii="Microsoft YaHei" w:hAnsi="Microsoft YaHei" w:eastAsia="Microsoft YaHei"/>
          <w:b w:val="0"/>
          <w:color w:val="000000"/>
          <w:sz w:val="21"/>
        </w:rPr>
        <w:t>方法参考论文为 Glypred Lysine Glycation Site Prediction via CCU LightGBM BiLSTM Framework with Multi Head Attention Mechanism，DOI 10.1021/acs.jcim.4c01034。当前数据近似均衡且没有独立测试集，因此实验关闭 CCU，并使用分层五折或嵌套五折进行内部评估。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Microsoft YaHei" w:hAnsi="Microsoft YaHei" w:eastAsia="Microsoft YaHei"/>
        <w:b w:val="0"/>
        <w:color w:val="000000"/>
        <w:sz w:val="16"/>
      </w:rPr>
      <w:t>赖氨酸糖基化位点预测实验结果汇总与分析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赖氨酸糖基化位点预测全部实验结果与分析</dc:title>
  <dc:subject>31 位序列特征与二分类模型实验汇总</dc:subject>
  <dc:creator>Codex</dc:creator>
  <cp:keywords>赖氨酸糖基化, LightGBM, BiLSTM, One-hot, MCC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