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26"/>
        </w:rPr>
        <w:t>PONTIFÍCIA UNIVERSIDADE CATÓLICA DE CAMPINAS</w:t>
      </w:r>
    </w:p>
    <w:p>
      <w:pPr>
        <w:jc w:val="center"/>
      </w:pPr>
      <w:r>
        <w:rPr>
          <w:rFonts w:ascii="Calibri" w:hAnsi="Calibri"/>
          <w:color w:val="2C5F8A"/>
          <w:sz w:val="24"/>
        </w:rPr>
        <w:t>Engenharia de Software</w:t>
      </w:r>
    </w:p>
    <w:p/>
    <w:p>
      <w:pPr>
        <w:spacing w:after="120" w:before="0"/>
        <w:pBdr>
          <w:bottom w:val="single" w:sz="4" w:space="1" w:color="aaaaaa"/>
        </w:pBdr>
      </w:pPr>
    </w:p>
    <w:p>
      <w:pPr>
        <w:jc w:val="center"/>
      </w:pPr>
      <w:r>
        <w:rPr>
          <w:rFonts w:ascii="Calibri" w:hAnsi="Calibri"/>
          <w:b/>
          <w:color w:val="1A3A5C"/>
          <w:sz w:val="28"/>
        </w:rPr>
        <w:t>Avaliação Prática 2</w:t>
        <w:br/>
        <w:t>Inteligência Artificial e Aprendizado de Máquina</w:t>
      </w:r>
    </w:p>
    <w:p>
      <w:pPr>
        <w:jc w:val="center"/>
      </w:pPr>
      <w:r>
        <w:rPr>
          <w:rFonts w:ascii="Calibri" w:hAnsi="Calibri"/>
          <w:color w:val="2C5F8A"/>
          <w:sz w:val="24"/>
        </w:rPr>
        <w:t>Pipeline de Classificação de Imagens com CNN — CIFAR-10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669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2835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</w:t>
            </w:r>
          </w:p>
        </w:tc>
      </w:tr>
      <w:tr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Felipe Nonato Leoneli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24021973</w:t>
            </w:r>
          </w:p>
        </w:tc>
      </w:tr>
      <w:tr>
        <w:tc>
          <w:tcPr>
            <w:tcW w:type="dxa" w:w="566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Guilherme Braz Lourenco</w:t>
            </w:r>
          </w:p>
        </w:tc>
        <w:tc>
          <w:tcPr>
            <w:tcW w:type="dxa" w:w="283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24019760</w:t>
            </w:r>
          </w:p>
        </w:tc>
      </w:tr>
      <w:tr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Rafael Roveri Pires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24007131</w:t>
            </w:r>
          </w:p>
        </w:tc>
      </w:tr>
    </w:tbl>
    <w:p/>
    <w:p/>
    <w:p>
      <w:pPr>
        <w:spacing w:after="120" w:before="0"/>
        <w:pBdr>
          <w:bottom w:val="single" w:sz="4" w:space="1" w:color="aaaaaa"/>
        </w:pBdr>
      </w:pPr>
    </w:p>
    <w:p>
      <w:pPr>
        <w:jc w:val="center"/>
      </w:pPr>
      <w:r>
        <w:rPr>
          <w:rFonts w:ascii="Calibri" w:hAnsi="Calibri"/>
          <w:sz w:val="22"/>
        </w:rPr>
        <w:t>Campinas — 2025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A3A5C"/>
        </w:rPr>
        <w:t>Sumário</w:t>
      </w:r>
    </w:p>
    <w:p>
      <w:pPr>
        <w:spacing w:after="120" w:before="0"/>
        <w:pBdr>
          <w:bottom w:val="single" w:sz="4" w:space="1" w:color="aaaaaa"/>
        </w:pBdr>
      </w:pPr>
    </w:p>
    <w:p>
      <w:pPr>
        <w:spacing w:after="60"/>
      </w:pPr>
      <w:r>
        <w:rPr>
          <w:rFonts w:ascii="Calibri" w:hAnsi="Calibri"/>
          <w:b/>
          <w:sz w:val="22"/>
        </w:rPr>
        <w:t>1.  Introdução</w:t>
      </w:r>
    </w:p>
    <w:p>
      <w:pPr>
        <w:spacing w:after="60"/>
      </w:pPr>
      <w:r>
        <w:rPr>
          <w:rFonts w:ascii="Calibri" w:hAnsi="Calibri"/>
          <w:b/>
          <w:sz w:val="22"/>
        </w:rPr>
        <w:t>2.  Conceitos Fundamentais</w:t>
      </w:r>
    </w:p>
    <w:p>
      <w:pPr>
        <w:spacing w:after="60"/>
      </w:pPr>
      <w:r>
        <w:rPr>
          <w:rFonts w:ascii="Calibri" w:hAnsi="Calibri"/>
          <w:b/>
          <w:sz w:val="22"/>
        </w:rPr>
        <w:t>3.  Desenvolvimento</w:t>
      </w:r>
    </w:p>
    <w:p>
      <w:pPr>
        <w:spacing w:after="60"/>
      </w:pPr>
      <w:r>
        <w:rPr>
          <w:rFonts w:ascii="Calibri" w:hAnsi="Calibri"/>
          <w:sz w:val="22"/>
        </w:rPr>
        <w:t>3.1      Leitura e Organização do Dataset</w:t>
      </w:r>
    </w:p>
    <w:p>
      <w:pPr>
        <w:spacing w:after="60"/>
      </w:pPr>
      <w:r>
        <w:rPr>
          <w:rFonts w:ascii="Calibri" w:hAnsi="Calibri"/>
          <w:sz w:val="22"/>
        </w:rPr>
        <w:t>3.2      Pré-processamento e Data Augmentation</w:t>
      </w:r>
    </w:p>
    <w:p>
      <w:pPr>
        <w:spacing w:after="60"/>
      </w:pPr>
      <w:r>
        <w:rPr>
          <w:rFonts w:ascii="Calibri" w:hAnsi="Calibri"/>
          <w:sz w:val="22"/>
        </w:rPr>
        <w:t>3.3      Divisão dos Dados</w:t>
      </w:r>
    </w:p>
    <w:p>
      <w:pPr>
        <w:spacing w:after="60"/>
      </w:pPr>
      <w:r>
        <w:rPr>
          <w:rFonts w:ascii="Calibri" w:hAnsi="Calibri"/>
          <w:sz w:val="22"/>
        </w:rPr>
        <w:t>3.4      Arquitetura da CNN</w:t>
      </w:r>
    </w:p>
    <w:p>
      <w:pPr>
        <w:spacing w:after="60"/>
      </w:pPr>
      <w:r>
        <w:rPr>
          <w:rFonts w:ascii="Calibri" w:hAnsi="Calibri"/>
          <w:sz w:val="22"/>
        </w:rPr>
        <w:t>3.5      Treinamento com Validação</w:t>
      </w:r>
    </w:p>
    <w:p>
      <w:pPr>
        <w:spacing w:after="60"/>
      </w:pPr>
      <w:r>
        <w:rPr>
          <w:rFonts w:ascii="Calibri" w:hAnsi="Calibri"/>
          <w:b/>
          <w:sz w:val="22"/>
        </w:rPr>
        <w:t>4.  Resultados e Avaliação</w:t>
      </w:r>
    </w:p>
    <w:p>
      <w:pPr>
        <w:spacing w:after="60"/>
      </w:pPr>
      <w:r>
        <w:rPr>
          <w:rFonts w:ascii="Calibri" w:hAnsi="Calibri"/>
          <w:b/>
          <w:sz w:val="22"/>
        </w:rPr>
        <w:t>5.  Conclusão</w:t>
      </w:r>
    </w:p>
    <w:p>
      <w:pPr>
        <w:spacing w:after="60"/>
      </w:pPr>
      <w:r>
        <w:rPr>
          <w:rFonts w:ascii="Calibri" w:hAnsi="Calibri"/>
          <w:b/>
          <w:sz w:val="22"/>
        </w:rPr>
        <w:t>6.  Referências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A3A5C"/>
        </w:rPr>
        <w:t>1. Introdução</w:t>
      </w:r>
    </w:p>
    <w:p>
      <w:pPr>
        <w:spacing w:after="120" w:before="0"/>
        <w:pBdr>
          <w:bottom w:val="single" w:sz="4" w:space="1" w:color="aaaaaa"/>
        </w:pBdr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O reconhecimento automático de imagens é uma das tarefas centrais da Inteligência Artificial moderna. Neste trabalho, construímos um pipeline completo de classificação para o dataset CIFAR-10, composto por 60.000 imagens coloridas (32×32 pixels, 3 canais RGB) distribuídas igualmente entre 10 classes: airplane, automobile, bird, cat, deer, dog, frog, horse, ship e truck.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O objetivo é aplicar técnicas de pré-processamento, data augmentation, divisão estratificada dos dados e treinamento de uma CNN com validação para melhoria de desempenho. O framework utilizado é o PyTorch, escolhido pela compatibilidade com Python 3.14 e pela flexibilidade no controle do loop de treinamento.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Todos os experimentos utilizam semente fixa SEED=2025, garantindo reprodutibilidade completa dos resultados.</w:t>
      </w:r>
    </w:p>
    <w:p>
      <w:pPr>
        <w:pStyle w:val="Heading1"/>
        <w:spacing w:before="280" w:after="120"/>
      </w:pPr>
      <w:r>
        <w:rPr>
          <w:rFonts w:ascii="Calibri" w:hAnsi="Calibri"/>
          <w:color w:val="1A3A5C"/>
        </w:rPr>
        <w:t>2. Conceitos Fundamentais</w:t>
      </w:r>
    </w:p>
    <w:p>
      <w:pPr>
        <w:spacing w:after="120" w:before="0"/>
        <w:pBdr>
          <w:bottom w:val="single" w:sz="4" w:space="1" w:color="aaaaaa"/>
        </w:pBdr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 seguir são descritos os principais conceitos teóricos utilizados no pipeline: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Conceito</w:t>
            </w:r>
          </w:p>
        </w:tc>
        <w:tc>
          <w:tcPr>
            <w:tcW w:type="dxa" w:w="6236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CNN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Arquitetura especializada em dados com estrutura espacial. Camadas conv extraem features locais (bordas, texturas, formas).</w:t>
            </w:r>
          </w:p>
        </w:tc>
      </w:tr>
      <w:tr>
        <w:tc>
          <w:tcPr>
            <w:tcW w:type="dxa" w:w="283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Batch Normalization</w:t>
            </w:r>
          </w:p>
        </w:tc>
        <w:tc>
          <w:tcPr>
            <w:tcW w:type="dxa" w:w="623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Normaliza ativações por mini-batch. Estabiliza gradientes e acelera convergência.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Dropout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Desativa neurônios aleatoriamente durante treino (p=0.3 e p=0.5). Reduz overfitting forçando redundância.</w:t>
            </w:r>
          </w:p>
        </w:tc>
      </w:tr>
      <w:tr>
        <w:tc>
          <w:tcPr>
            <w:tcW w:type="dxa" w:w="283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Data Augmentation</w:t>
            </w:r>
          </w:p>
        </w:tc>
        <w:tc>
          <w:tcPr>
            <w:tcW w:type="dxa" w:w="623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Gera variações artificiais das imagens de treino (crop, flip). Aumenta diversidade sem novos dados.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CrossEntropyLoss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Função de perda para classificação multiclasse. Inclui softmax internamente; saída do modelo são logits.</w:t>
            </w:r>
          </w:p>
        </w:tc>
      </w:tr>
      <w:tr>
        <w:tc>
          <w:tcPr>
            <w:tcW w:type="dxa" w:w="283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Adam</w:t>
            </w:r>
          </w:p>
        </w:tc>
        <w:tc>
          <w:tcPr>
            <w:tcW w:type="dxa" w:w="623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Otimizador adaptativo. Combina momentum e RMSProp; converge mais rápido que SGD puro.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ReduceLROnPlateau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Reduz LR por fator 0.2 se val_acc não melhora em 5 épocas (mín. 1e-5).</w:t>
            </w:r>
          </w:p>
        </w:tc>
      </w:tr>
      <w:tr>
        <w:tc>
          <w:tcPr>
            <w:tcW w:type="dxa" w:w="283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Early Stopping</w:t>
            </w:r>
          </w:p>
        </w:tc>
        <w:tc>
          <w:tcPr>
            <w:tcW w:type="dxa" w:w="623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Interrompe o treino se val_acc não melhora em 10 épocas. Previne overfitting.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ModelCheckpoint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Salva os pesos do modelo com melhor val_acc para restauração posterior.</w:t>
            </w:r>
          </w:p>
        </w:tc>
      </w:tr>
      <w:tr>
        <w:tc>
          <w:tcPr>
            <w:tcW w:type="dxa" w:w="283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Estratificação</w:t>
            </w:r>
          </w:p>
        </w:tc>
        <w:tc>
          <w:tcPr>
            <w:tcW w:type="dxa" w:w="6236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Preserva proporção de classes em cada partição. Evita bias de amostragem.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color w:val="1A3A5C"/>
        </w:rPr>
        <w:t>3. Desenvolvimento</w:t>
      </w:r>
    </w:p>
    <w:p>
      <w:pPr>
        <w:spacing w:after="120" w:before="0"/>
        <w:pBdr>
          <w:bottom w:val="single" w:sz="4" w:space="1" w:color="aaaaaa"/>
        </w:pBdr>
      </w:pPr>
    </w:p>
    <w:p>
      <w:pPr>
        <w:pStyle w:val="Heading2"/>
        <w:spacing w:before="200" w:after="120"/>
      </w:pPr>
      <w:r>
        <w:rPr>
          <w:rFonts w:ascii="Calibri" w:hAnsi="Calibri"/>
          <w:color w:val="1A3A5C"/>
        </w:rPr>
        <w:t>3.1  Leitura e Organização do Dataset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O CIFAR-10 é carregado via API do torchvision. Os conjuntos originais (50.000 de treino e 10.000 de teste) são concatenados em uma estrutura unificada chamada dfgen:</w:t>
      </w:r>
    </w:p>
    <w:p>
      <w:pPr>
        <w:spacing w:after="80" w:before="80"/>
        <w:ind w:left="397"/>
      </w:pPr>
      <w:r>
        <w:rPr>
          <w:rFonts w:ascii="Courier New" w:hAnsi="Courier New"/>
          <w:color w:val="333333"/>
          <w:sz w:val="18"/>
        </w:rPr>
        <w:t>dfgen['features'] — array numpy (60000, 32, 32, 3), dtype uint8, pixels [0, 255]</w:t>
      </w:r>
    </w:p>
    <w:p>
      <w:pPr>
        <w:spacing w:after="80" w:before="80"/>
        <w:ind w:left="397"/>
      </w:pPr>
      <w:r>
        <w:rPr>
          <w:rFonts w:ascii="Courier New" w:hAnsi="Courier New"/>
          <w:color w:val="333333"/>
          <w:sz w:val="18"/>
        </w:rPr>
        <w:t>dfgen['labels']   — vetor de inteiros (60000,), classes 0-9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O dataset é perfeitamente balanceado: cada uma das 10 classes possui exatamente 6.000 amostras, totalizando 60.000 imagens.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Classe</w:t>
            </w:r>
          </w:p>
        </w:tc>
        <w:tc>
          <w:tcPr>
            <w:tcW w:type="dxa" w:w="1701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268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Quantidade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airplane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automobile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bird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cat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deer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dog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frog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horse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ship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truck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60.000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3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mostras_aleatori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Figura 1 — 10 amostras aleatórias do CIFAR-10 (semente 2025).</w:t>
      </w:r>
    </w:p>
    <w:p>
      <w:pPr>
        <w:pStyle w:val="Heading2"/>
        <w:spacing w:before="200" w:after="120"/>
      </w:pPr>
      <w:r>
        <w:rPr>
          <w:rFonts w:ascii="Calibri" w:hAnsi="Calibri"/>
          <w:color w:val="1A3A5C"/>
        </w:rPr>
        <w:t>3.2  Pré-processamento e Data Augmentation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As imagens são normalizadas por canal usando a média e desvio padrão calculados sobre o dataset completo:</w:t>
      </w:r>
    </w:p>
    <w:p>
      <w:pPr>
        <w:spacing w:after="80" w:before="80"/>
        <w:ind w:left="397"/>
      </w:pPr>
      <w:r>
        <w:rPr>
          <w:rFonts w:ascii="Courier New" w:hAnsi="Courier New"/>
          <w:color w:val="333333"/>
          <w:sz w:val="18"/>
        </w:rPr>
        <w:t>Média por canal  (R, G, B): (0.4914, 0.4822, 0.4465)</w:t>
      </w:r>
    </w:p>
    <w:p>
      <w:pPr>
        <w:spacing w:after="80" w:before="80"/>
        <w:ind w:left="397"/>
      </w:pPr>
      <w:r>
        <w:rPr>
          <w:rFonts w:ascii="Courier New" w:hAnsi="Courier New"/>
          <w:color w:val="333333"/>
          <w:sz w:val="18"/>
        </w:rPr>
        <w:t>Desvio por canal (R, G, B): (0.2470, 0.2435, 0.2616)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Durante o treino são aplicadas transformações de data augmentation para aumentar a variabilidade e reduzir overfitting. Validação e teste recebem apenas normalização, sem augmentation: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Transformação</w:t>
            </w:r>
          </w:p>
        </w:tc>
        <w:tc>
          <w:tcPr>
            <w:tcW w:type="dxa" w:w="3969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701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Aplicada em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RandomCrop(32, padding=4)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Adiciona 4px de padding e recorta 32×32 aleatoriamente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Treino</w:t>
            </w:r>
          </w:p>
        </w:tc>
      </w:tr>
      <w:tr>
        <w:tc>
          <w:tcPr>
            <w:tcW w:type="dxa" w:w="283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RandomHorizontalFlip()</w:t>
            </w:r>
          </w:p>
        </w:tc>
        <w:tc>
          <w:tcPr>
            <w:tcW w:type="dxa" w:w="396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Espelhamento horizontal com prob. 50%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Treino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ToTensor()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Converte PIL Image para tensor float [0, 1]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Todos</w:t>
            </w:r>
          </w:p>
        </w:tc>
      </w:tr>
      <w:tr>
        <w:tc>
          <w:tcPr>
            <w:tcW w:type="dxa" w:w="283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Normalize(mean, std)</w:t>
            </w:r>
          </w:p>
        </w:tc>
        <w:tc>
          <w:tcPr>
            <w:tcW w:type="dxa" w:w="396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Padroniza canais com média e desvio CIFAR-10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Todos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46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_augm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4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Figura 2 — Original vs. 5 variações por data augmentation.</w:t>
      </w:r>
    </w:p>
    <w:p>
      <w:pPr>
        <w:pStyle w:val="Heading2"/>
        <w:spacing w:before="200" w:after="120"/>
      </w:pPr>
      <w:r>
        <w:rPr>
          <w:rFonts w:ascii="Calibri" w:hAnsi="Calibri"/>
          <w:color w:val="1A3A5C"/>
        </w:rPr>
        <w:t>3.3  Divisão dos Dados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 divisão é feita com train_test_split do scikit-learn, usando estratificação (stratify=y_all) e semente fixa (random_state=2025). O procedimento é executado em duas etapas:</w:t>
      </w:r>
    </w:p>
    <w:p>
      <w:pPr>
        <w:spacing w:after="120"/>
        <w:ind w:left="397"/>
        <w:jc w:val="both"/>
      </w:pPr>
      <w:r>
        <w:rPr>
          <w:rFonts w:ascii="Calibri" w:hAnsi="Calibri"/>
          <w:b w:val="0"/>
          <w:i w:val="0"/>
          <w:sz w:val="22"/>
        </w:rPr>
        <w:t>1.ª etapa — separa 70% (treino) dos 30% restantes (temp).</w:t>
      </w:r>
    </w:p>
    <w:p>
      <w:pPr>
        <w:spacing w:after="120"/>
        <w:ind w:left="397"/>
        <w:jc w:val="both"/>
      </w:pPr>
      <w:r>
        <w:rPr>
          <w:rFonts w:ascii="Calibri" w:hAnsi="Calibri"/>
          <w:b w:val="0"/>
          <w:i w:val="0"/>
          <w:sz w:val="22"/>
        </w:rPr>
        <w:t>2.ª etapa — divide o temp ao meio: 15% validação + 15% teste.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Partição</w:t>
            </w:r>
          </w:p>
        </w:tc>
        <w:tc>
          <w:tcPr>
            <w:tcW w:type="dxa" w:w="1984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Amostras</w:t>
            </w:r>
          </w:p>
        </w:tc>
        <w:tc>
          <w:tcPr>
            <w:tcW w:type="dxa" w:w="1701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Proporção</w:t>
            </w:r>
          </w:p>
        </w:tc>
        <w:tc>
          <w:tcPr>
            <w:tcW w:type="dxa" w:w="3118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Amostras por Classe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Treino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42.000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70%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~4.200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Validação</w:t>
            </w:r>
          </w:p>
        </w:tc>
        <w:tc>
          <w:tcPr>
            <w:tcW w:type="dxa" w:w="1984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 xml:space="preserve"> 9.000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311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 xml:space="preserve">  ~900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Teste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 xml:space="preserve"> 9.000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 xml:space="preserve">  ~900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984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60.000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311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6.000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 estratificação garante que a proporção de classes seja mantida em cada partição, evitando que diferenças de distribuição contaminem as métricas de validação e teste.</w:t>
      </w:r>
    </w:p>
    <w:p>
      <w:pPr>
        <w:pStyle w:val="Heading2"/>
        <w:spacing w:before="200" w:after="120"/>
      </w:pPr>
      <w:r>
        <w:rPr>
          <w:rFonts w:ascii="Calibri" w:hAnsi="Calibri"/>
          <w:color w:val="1A3A5C"/>
        </w:rPr>
        <w:t>3.4  Arquitetura da CNN — clfgen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 classe ClfGen implementa uma CNN compacta de dois blocos convolucionais seguidos de um head de classificação. A saída são logits (sem softmax), compatíveis com CrossEntropyLoss: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Bloco</w:t>
            </w:r>
          </w:p>
        </w:tc>
        <w:tc>
          <w:tcPr>
            <w:tcW w:type="dxa" w:w="4819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Camadas</w:t>
            </w:r>
          </w:p>
        </w:tc>
        <w:tc>
          <w:tcPr>
            <w:tcW w:type="dxa" w:w="1984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Saída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Entrada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Imagem RGB normalizada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(3, 32, 32)</w:t>
            </w:r>
          </w:p>
        </w:tc>
      </w:tr>
      <w:tr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Bloco 1</w:t>
            </w:r>
          </w:p>
        </w:tc>
        <w:tc>
          <w:tcPr>
            <w:tcW w:type="dxa" w:w="481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Conv(3→32,3×3)+BN+ReLU | Conv(32→32,3×3)+BN+ReLU | MaxPool(2×2)</w:t>
            </w:r>
          </w:p>
        </w:tc>
        <w:tc>
          <w:tcPr>
            <w:tcW w:type="dxa" w:w="1984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(32, 16, 16)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Bloco 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Conv(32→64,3×3)+BN+ReLU | Conv(64→64,3×3)+BN+ReLU | MaxPool(2×2)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(64, 8, 8)</w:t>
            </w:r>
          </w:p>
        </w:tc>
      </w:tr>
      <w:tr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Dropout</w:t>
            </w:r>
          </w:p>
        </w:tc>
        <w:tc>
          <w:tcPr>
            <w:tcW w:type="dxa" w:w="481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p=0.3</w:t>
            </w:r>
          </w:p>
        </w:tc>
        <w:tc>
          <w:tcPr>
            <w:tcW w:type="dxa" w:w="1984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(64, 8, 8)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Flatten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64×8×8 = 4.096 features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(4096,)</w:t>
            </w:r>
          </w:p>
        </w:tc>
      </w:tr>
      <w:tr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Linear</w:t>
            </w:r>
          </w:p>
        </w:tc>
        <w:tc>
          <w:tcPr>
            <w:tcW w:type="dxa" w:w="481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4096 → 256 + ReLU</w:t>
            </w:r>
          </w:p>
        </w:tc>
        <w:tc>
          <w:tcPr>
            <w:tcW w:type="dxa" w:w="1984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(256,)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Dropout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p=0.5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(256,)</w:t>
            </w:r>
          </w:p>
        </w:tc>
      </w:tr>
      <w:tr>
        <w:tc>
          <w:tcPr>
            <w:tcW w:type="dxa" w:w="1701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Linear</w:t>
            </w:r>
          </w:p>
        </w:tc>
        <w:tc>
          <w:tcPr>
            <w:tcW w:type="dxa" w:w="481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256 → 10 (logits)</w:t>
            </w:r>
          </w:p>
        </w:tc>
        <w:tc>
          <w:tcPr>
            <w:tcW w:type="dxa" w:w="1984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(10,)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Decisões de design:</w:t>
      </w:r>
    </w:p>
    <w:p>
      <w:pPr>
        <w:spacing w:after="80" w:before="80"/>
        <w:ind w:left="397"/>
      </w:pPr>
      <w:r>
        <w:rPr>
          <w:rFonts w:ascii="Courier New" w:hAnsi="Courier New"/>
          <w:color w:val="333333"/>
          <w:sz w:val="18"/>
        </w:rPr>
        <w:t>Batch Normalization apos cada conv — estabiliza gradientes e acelera convergência</w:t>
      </w:r>
    </w:p>
    <w:p>
      <w:pPr>
        <w:spacing w:after="80" w:before="80"/>
        <w:ind w:left="397"/>
      </w:pPr>
      <w:r>
        <w:rPr>
          <w:rFonts w:ascii="Courier New" w:hAnsi="Courier New"/>
          <w:color w:val="333333"/>
          <w:sz w:val="18"/>
        </w:rPr>
        <w:t>Dropout duplo (0.3 e 0.5)         — regularização progressiva, mais forte no head</w:t>
      </w:r>
    </w:p>
    <w:p>
      <w:pPr>
        <w:spacing w:after="80" w:before="80"/>
        <w:ind w:left="397"/>
      </w:pPr>
      <w:r>
        <w:rPr>
          <w:rFonts w:ascii="Courier New" w:hAnsi="Courier New"/>
          <w:color w:val="333333"/>
          <w:sz w:val="18"/>
        </w:rPr>
        <w:t>CrossEntropyLoss                   — inclui log-softmax; saída são logits</w:t>
      </w:r>
    </w:p>
    <w:p>
      <w:pPr>
        <w:spacing w:after="80" w:before="80"/>
        <w:ind w:left="397"/>
      </w:pPr>
      <w:r>
        <w:rPr>
          <w:rFonts w:ascii="Courier New" w:hAnsi="Courier New"/>
          <w:color w:val="333333"/>
          <w:sz w:val="18"/>
        </w:rPr>
        <w:t>~1.2 milhões de parâmetros         — compacto para CIFAR-10 32×32</w:t>
      </w:r>
    </w:p>
    <w:p>
      <w:pPr>
        <w:pStyle w:val="Heading2"/>
        <w:spacing w:before="200" w:after="120"/>
      </w:pPr>
      <w:r>
        <w:rPr>
          <w:rFonts w:ascii="Calibri" w:hAnsi="Calibri"/>
          <w:color w:val="1A3A5C"/>
        </w:rPr>
        <w:t>3.5  Treinamento com Validação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O loop de treinamento monitora a acurácia de validação a cada época para controlar três mecanismos de melhoria de desempenho: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18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Configuração</w:t>
            </w:r>
          </w:p>
        </w:tc>
        <w:tc>
          <w:tcPr>
            <w:tcW w:type="dxa" w:w="3685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Papel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Otimizador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Adam, lr=1e-3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Atualização de pesos adaptativa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ReduceLROnPlateau</w:t>
            </w:r>
          </w:p>
        </w:tc>
        <w:tc>
          <w:tcPr>
            <w:tcW w:type="dxa" w:w="311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fator=0.2, patience=5, min=1e-5</w:t>
            </w:r>
          </w:p>
        </w:tc>
        <w:tc>
          <w:tcPr>
            <w:tcW w:type="dxa" w:w="368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Reduz LR quando val_acc estagna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Early Stopping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patience=10, restore_best=True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Para o treino no melhor ponto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ModelCheckpoint</w:t>
            </w:r>
          </w:p>
        </w:tc>
        <w:tc>
          <w:tcPr>
            <w:tcW w:type="dxa" w:w="311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outputs/melhor_clfgen.pt</w:t>
            </w:r>
          </w:p>
        </w:tc>
        <w:tc>
          <w:tcPr>
            <w:tcW w:type="dxa" w:w="368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Salva pesos com melhor val_acc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Épocas máximas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Limite superior de iterações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Batch size</w:t>
            </w:r>
          </w:p>
        </w:tc>
        <w:tc>
          <w:tcPr>
            <w:tcW w:type="dxa" w:w="3118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128</w:t>
            </w:r>
          </w:p>
        </w:tc>
        <w:tc>
          <w:tcPr>
            <w:tcW w:type="dxa" w:w="3685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Balanço velocidade/estabilidade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 validação é calculada após cada época sem augmentation e sem atualização de pesos. Isso garante uma estimativa imparcial da capacidade de generalização do modelo, que é usada tanto pelo scheduler quanto pelo early stopping.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color w:val="1A3A5C"/>
        </w:rPr>
        <w:t>4. Resultados e Avaliação</w:t>
      </w:r>
    </w:p>
    <w:p>
      <w:pPr>
        <w:spacing w:after="120" w:before="0"/>
        <w:pBdr>
          <w:bottom w:val="single" w:sz="4" w:space="1" w:color="aaaaaa"/>
        </w:pBdr>
      </w:pPr>
    </w:p>
    <w:p>
      <w:pPr>
        <w:pStyle w:val="Heading2"/>
        <w:spacing w:before="200" w:after="120"/>
      </w:pPr>
      <w:r>
        <w:rPr>
          <w:rFonts w:ascii="Calibri" w:hAnsi="Calibri"/>
          <w:color w:val="1A3A5C"/>
        </w:rPr>
        <w:t>Curvas de Treinamento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As curvas abaixo mostram a evolução da acurácia e da perda ao longo das épocas. O early stopping interrompe o treinamento quando a acurácia de validação para de melhorar, restaurando automaticamente os pesos com melhor desempenho: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92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rvas_treino_valid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Figura 3 — Curvas de acurácia e perda: treino vs. validação.</w:t>
      </w:r>
    </w:p>
    <w:p>
      <w:pPr>
        <w:pStyle w:val="Heading2"/>
        <w:spacing w:before="200" w:after="120"/>
      </w:pPr>
      <w:r>
        <w:rPr>
          <w:rFonts w:ascii="Calibri" w:hAnsi="Calibri"/>
          <w:color w:val="1A3A5C"/>
        </w:rPr>
        <w:t>Matriz de Confusão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 matriz de confusão exibe, para cada classe verdadeira (linhas), como as predições foram distribuídas entre as 10 classes (colunas). A diagonal principal representa as predições corretas: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8220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triz_confu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22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Figura 4 — Matriz de confusão no conjunto de teste.</w:t>
      </w:r>
    </w:p>
    <w:p>
      <w:pPr>
        <w:pStyle w:val="Heading2"/>
        <w:spacing w:before="200" w:after="120"/>
      </w:pPr>
      <w:r>
        <w:rPr>
          <w:rFonts w:ascii="Calibri" w:hAnsi="Calibri"/>
          <w:color w:val="1A3A5C"/>
        </w:rPr>
        <w:t>Análise das Confusões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As classes com maior taxa de confusão são aquelas com similaridade visual natural entre 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 (real → predito)</w:t>
            </w:r>
          </w:p>
        </w:tc>
        <w:tc>
          <w:tcPr>
            <w:tcW w:type="dxa" w:w="5669"/>
            <w:shd w:val="clear" w:color="auto" w:fill="1a3a5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Motivo da Confusão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cat → dog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Textura de pelo e poses de animais similares</w:t>
            </w:r>
          </w:p>
        </w:tc>
      </w:tr>
      <w:tr>
        <w:tc>
          <w:tcPr>
            <w:tcW w:type="dxa" w:w="3402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dog → cat</w:t>
            </w:r>
          </w:p>
        </w:tc>
        <w:tc>
          <w:tcPr>
            <w:tcW w:type="dxa" w:w="566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Confusão bidirecional pela mesma razão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automobile → truck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Veículos com formas retangulares próximas</w:t>
            </w:r>
          </w:p>
        </w:tc>
      </w:tr>
      <w:tr>
        <w:tc>
          <w:tcPr>
            <w:tcW w:type="dxa" w:w="3402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truck → automobile</w:t>
            </w:r>
          </w:p>
        </w:tc>
        <w:tc>
          <w:tcPr>
            <w:tcW w:type="dxa" w:w="566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Confusão bidirecional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bird → airplane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Ambos aparecem frequentemente em fundo de céu</w:t>
            </w:r>
          </w:p>
        </w:tc>
      </w:tr>
      <w:tr>
        <w:tc>
          <w:tcPr>
            <w:tcW w:type="dxa" w:w="3402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deer → horse</w:t>
            </w:r>
          </w:p>
        </w:tc>
        <w:tc>
          <w:tcPr>
            <w:tcW w:type="dxa" w:w="5669"/>
            <w:shd w:val="clear" w:color="auto" w:fill="eef2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Animais de quatro patas com proporções similares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Classes com aparência distinta das demais (ship, frog) tendem a ter maior acurácia, enquanto classes com vizinhos visuais próximos (cat, dog) apresentam menor precisão.</w:t>
      </w:r>
    </w:p>
    <w:p>
      <w:pPr>
        <w:pStyle w:val="Heading1"/>
        <w:spacing w:before="280" w:after="120"/>
      </w:pPr>
      <w:r>
        <w:rPr>
          <w:rFonts w:ascii="Calibri" w:hAnsi="Calibri"/>
          <w:color w:val="1A3A5C"/>
        </w:rPr>
        <w:t>5. Conclusão</w:t>
      </w:r>
    </w:p>
    <w:p>
      <w:pPr>
        <w:spacing w:after="120" w:before="0"/>
        <w:pBdr>
          <w:bottom w:val="single" w:sz="4" w:space="1" w:color="aaaaaa"/>
        </w:pBdr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O pipeline implementado demonstra como combinar pré-processamento, data augmentation e validação pode produzir um classificador competitivo para o CIFAR-10 com uma CNN compacta de aproximadamente 1.2 milhão de parâmetros.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Os três mecanismos de melhoria baseados em validação (ReduceLROnPlateau, Early Stopping e ModelCheckpoint) foram essenciais para obter um modelo generalista: sem eles, o treinamento continuaria até o limite de 50 épocas, memorizando o conjunto de treino (overfitting) e degradando a performance no teste.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As maiores dificuldades foram nas classes cat/dog e automobile/truck, cujas similaridades visuais constituem um desafio intrínseco ao dataset — contornável com arquiteturas mais profundas (ResNet, EfficientNet) ou técnicas de augmentation mais avançadas, fora do escopo deste trabalho.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A semente fixa SEED=2025 em todos os pontos aleatórios (split, DataLoader, numpy, torch) garante reprodutibilidade completa: qualquer execução do código produz os mesmos resultados.</w:t>
      </w:r>
    </w:p>
    <w:p>
      <w:pPr>
        <w:pStyle w:val="Heading1"/>
        <w:spacing w:before="280" w:after="120"/>
      </w:pPr>
      <w:r>
        <w:rPr>
          <w:rFonts w:ascii="Calibri" w:hAnsi="Calibri"/>
          <w:color w:val="1A3A5C"/>
        </w:rPr>
        <w:t>6. Referências</w:t>
      </w:r>
    </w:p>
    <w:p>
      <w:pPr>
        <w:spacing w:after="120" w:before="0"/>
        <w:pBdr>
          <w:bottom w:val="single" w:sz="4" w:space="1" w:color="aaaaaa"/>
        </w:pBdr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[1] KRIZHEVSKY, A. Learning Multiple Layers of Features from Tiny Images. Technical Report, University of Toronto, 2009. Disponível em: https://www.cs.toronto.edu/~kriz/cifar.html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[2] PYTORCH TEAM. PyTorch Documentation — torch.nn, torch.optim. 2024. Disponível em: https://pytorch.org/docs/stable/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[3] TORCHVISION TEAM. torchvision.datasets.CIFAR10. 2024. Disponível em: https://pytorch.org/vision/stable/datasets.html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[4] IOFFE, S.; SZEGEDY, C. Batch Normalization: Accelerating Deep Network Training. ICML, 2015.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[5] SRIVASTAVA, N. et al. Dropout: A Simple Way to Prevent Neural Networks from Overfitting. JMLR, v. 15, p. 1929–1958, 2014.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[6] SCIKIT-LEARN TEAM. sklearn.model_selection.train_test_split. 2024. Disponível em: https://scikit-learn.org/stable/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[7] KINGMA, D. P.; BA, J. Adam: A Method for Stochastic Optimization. ICLR, 2015.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