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40"/>
      </w:pPr>
      <w:r>
        <w:t>Benchmark de arquitecturas para combustible</w:t>
      </w:r>
    </w:p>
    <w:p>
      <w:pPr>
        <w:spacing w:before="40"/>
      </w:pPr>
      <w:r>
        <w:t>Lambda y Kappa · REST y GraphQL · Actividad 1 de Business Intelligence</w:t>
      </w:r>
    </w:p>
    <w:p>
      <w:pPr>
        <w:spacing w:before="40"/>
      </w:pPr>
      <w:r>
        <w:t>Evaluación preliminar local con SQLite. PostgreSQL y Docker están preparados, pero todavía no se han ejecutado. Estas cifras no acreditan el despliegue Servidor DB + API con PostgreSQL.</w:t>
      </w:r>
    </w:p>
    <w:p>
      <w:pPr>
        <w:spacing w:before="40"/>
      </w:pPr>
      <w:r>
        <w:t>Repositorio GitHub: PENDIENTE DE PUBLICACIÓN; añadir la URL real antes de entregar.</w:t>
      </w:r>
    </w:p>
    <w:p>
      <w:pPr>
        <w:pStyle w:val="Heading1"/>
      </w:pPr>
      <w:r>
        <w:t>Objetivo e implementación</w:t>
      </w:r>
    </w:p>
    <w:p>
      <w:pPr>
        <w:spacing w:before="40"/>
      </w:pPr>
      <w:r>
        <w:t>Se comparan dos patrones de ingesta y dos estilos de API para consultar cargas de combustible ficticias. El log SQL conserva eventos únicos; los agregados suman registros, milésimas de galón y céntimos por placa y día. La literatura orienta una comparación ligada a la carga y al entorno [1,2].</w:t>
      </w:r>
    </w:p>
    <w:p>
      <w:pPr>
        <w:spacing w:before="40"/>
      </w:pPr>
      <w:r>
        <w:t>Lambda combina una ruta rápida con una reconstrucción batch cada 10 000 posiciones del log; publica batch y depura speed en una transacción. Kappa actualiza totales incrementalmente y reconstruye reproduciendo el log con la misma función. Las ramas Lambda son secuenciales en este prototipo. REST y GraphQL usan la misma consulta SQL y devuelven campos equivalentes.</w:t>
      </w:r>
    </w:p>
    <w:p>
      <w:pPr>
        <w:pStyle w:val="Heading1"/>
      </w:pPr>
      <w:r>
        <w:t>Entorno y método</w:t>
      </w:r>
    </w:p>
    <w:p>
      <w:pPr>
        <w:spacing w:before="40"/>
      </w:pPr>
      <w:r>
        <w:t>Ejecución UTC: 2026-10-17. Python 3.12.14; sqlite 3.53.1; 9 CPU lógicas y 9.73 GiB visibles. Una máquina Linux compartida, un proceso API, sin clúster. Versiones y parámetros exactos: results/environment.json.</w:t>
      </w:r>
    </w:p>
    <w:p>
      <w:pPr>
        <w:spacing w:before="40"/>
      </w:pPr>
      <w:r>
        <w:t>Datos: 100 placas, semilla 2026, volúmenes de 10 000, 50 000 y 100 000 eventos. Tres repeticiones, orden alternado aleatoriamente y reinicio de tablas por caso. La ingesta mide escritura duradera y procesamiento en bloques de 1 000, incluyendo batch; excluye generación y validación. Cada total se contrasta con un cálculo independiente. El ensayo de ingesta invoca el motor directamente; no mide el POST HTTP.</w:t>
      </w:r>
    </w:p>
    <w:p>
      <w:pPr>
        <w:pStyle w:val="Heading1"/>
      </w:pPr>
      <w:r>
        <w:t>Resultados de ingesta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656"/>
        <w:gridCol w:w="1656"/>
        <w:gridCol w:w="2664"/>
        <w:gridCol w:w="2736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0" w:line="240" w:lineRule="auto"/>
              <w:jc w:val="left"/>
            </w:pPr>
            <w:r>
              <w:rPr>
                <w:b/>
                <w:sz w:val="18"/>
              </w:rPr>
              <w:t>Eventos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Lambda s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Kappa s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Lambda reg/s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Kappa reg/s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8"/>
              </w:rPr>
              <w:t>10,000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0.199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0.205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50,148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48,770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8"/>
              </w:rPr>
              <w:t>50,000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0.894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1.076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55,898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46,478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8"/>
              </w:rPr>
              <w:t>100,000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1.971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1.454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50,743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68,792</w:t>
            </w:r>
          </w:p>
        </w:tc>
      </w:tr>
    </w:tbl>
    <w:p>
      <w:pPr>
        <w:spacing w:before="40"/>
      </w:pPr>
      <w:r>
        <w:t>Valores: mediana de tres ejecuciones por caso. Menor tiempo y mayor throughput indican mejor rendimiento bajo esta configuración. Totales correctos en las 18 ejecuciones.</w:t>
      </w:r>
    </w:p>
    <w:p>
      <w:pPr>
        <w:spacing w:before="40"/>
      </w:pPr>
      <w:r>
        <w:t>Reconstrucción de 100 000 eventos: Lambda 0.121 s y Kappa 0.273 s (medianas). Se hace con consumidores detenidos; no se evalúa disponibilidad durante la reconstrucción. Los tiempos de disponibilidad por bloque y recursos están en ingestion.csv.</w:t>
      </w:r>
    </w:p>
    <w:p>
      <w:r>
        <w:br w:type="page"/>
      </w:r>
    </w:p>
    <w:p>
      <w:pPr>
        <w:pStyle w:val="Heading1"/>
      </w:pPr>
      <w:r>
        <w:t>Resultados de las API</w:t>
      </w:r>
    </w:p>
    <w:p>
      <w:pPr>
        <w:spacing w:before="40"/>
      </w:pPr>
      <w:r>
        <w:t>Sobre 100 000 eventos procesados, se ejecutan consultas de flota y de una placa entre fechas. Se usan 1, 10 y 30 clientes, 200 solicitudes por caso, 10 calentamientos y tres repeticiones: 72 casos y 14 400 solicitudes medidas por HTTP local. La tabla resume 10 clientes; el resto queda en api.csv y requests.csv.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656"/>
        <w:gridCol w:w="1512"/>
        <w:gridCol w:w="1944"/>
        <w:gridCol w:w="1944"/>
        <w:gridCol w:w="2016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0" w:line="240" w:lineRule="auto"/>
              <w:jc w:val="left"/>
            </w:pPr>
            <w:r>
              <w:rPr>
                <w:b/>
                <w:sz w:val="18"/>
              </w:rPr>
              <w:t>Consulta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Proyección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API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Mediana ms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p95 ms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Solic./s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8"/>
              </w:rPr>
              <w:t>Flota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Lambda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REST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73.13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185.93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125.8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8"/>
              </w:rPr>
              <w:t>Flota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Lambda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GraphQL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166.10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314.92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55.8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8"/>
              </w:rPr>
              <w:t>Flota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Kappa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REST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113.83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225.65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81.9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8"/>
              </w:rPr>
              <w:t>Flota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Kappa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GraphQL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147.70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305.20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61.6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8"/>
              </w:rPr>
              <w:t>Placa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Lambda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REST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18.18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116.77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276.9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8"/>
              </w:rPr>
              <w:t>Placa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Lambda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GraphQL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47.10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119.37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169.3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8"/>
              </w:rPr>
              <w:t>Placa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Kappa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REST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20.96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119.82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239.0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8"/>
              </w:rPr>
              <w:t>Placa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Kappa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GraphQL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52.36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105.78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175.6</w:t>
            </w:r>
          </w:p>
        </w:tc>
      </w:tr>
    </w:tbl>
    <w:p>
      <w:pPr>
        <w:spacing w:before="40"/>
      </w:pPr>
      <w:r>
        <w:t>Se muestra la mediana entre repeticiones de cada métrica; p95 no es un percentil global. Errores registrados: 2/14400 (0.014 %). Las latencias excluyen la validación posterior; el ciclo del generador sí la incluye.</w:t>
      </w:r>
    </w:p>
    <w:p>
      <w:pPr>
        <w:spacing w:before="40"/>
      </w:pPr>
      <w:r>
        <w:t>Incidencias: 2 ReadError. No se determinó su causa. Las respuestas recibidas coincidieron con el control. Conservar la evidencia y revisar las incidencias antes de aprobar el despliegue.</w:t>
      </w:r>
    </w:p>
    <w:p>
      <w:pPr>
        <w:pStyle w:val="Heading1"/>
      </w:pPr>
      <w:r>
        <w:t>Interpretación y límites</w:t>
      </w:r>
    </w:p>
    <w:p>
      <w:pPr>
        <w:spacing w:before="40"/>
      </w:pPr>
      <w:r>
        <w:t>Con 100 000 eventos, Kappa registró una mediana de tiempo 26.2 % menor. Esto describe estas implementaciones y esta carga; no demuestra superioridad universal. La consulta, la concurrencia y el coste de mantener dos rutas deben guiar la decisión. Las referencias [1,2] corresponden a otros sistemas y no sustituyen estas mediciones.</w:t>
      </w:r>
    </w:p>
    <w:p>
      <w:pPr>
        <w:spacing w:before="40"/>
      </w:pPr>
      <w:r>
        <w:t>CPU y RSS se registran para el proceso de aplicación; RSS es su máximo histórico, no un pico independiente por caso. PostgreSQL, cuando se usa, queda fuera del consumo medido; SQLite está embebido. Cachés calientes, ensayos cortos, generación de carga en el mismo host y ausencia de fallos inducidos limitan la generalización. No se prueba escalabilidad distribuida ni ingesta concurrente con consultas.</w:t>
      </w:r>
    </w:p>
    <w:p>
      <w:pPr>
        <w:spacing w:before="40"/>
      </w:pPr>
      <w:r>
        <w:t>Estado de entrega: pendiente validar PostgreSQL con Docker, repetir pruebas, regenerar este informe y añadir la URL de GitHub. Se entregan código, pruebas y evidencia local reproducible.</w:t>
      </w:r>
    </w:p>
    <w:p>
      <w:pPr>
        <w:pStyle w:val="Heading1"/>
      </w:pPr>
      <w:r>
        <w:t>Referencias bibliográficas</w:t>
      </w:r>
    </w:p>
    <w:p>
      <w:pPr>
        <w:spacing w:before="40"/>
      </w:pPr>
      <w:r>
        <w:rPr>
          <w:sz w:val="18"/>
        </w:rPr>
        <w:t>[1] Persico V, Pescapé A, Picariello A, Sperlí G. Benchmarking big data architectures for social networks data processing using public cloud platforms. Future Gener Comput Syst. 2018;89:98–109. doi:10.1016/j.future.2018.05.068. ScienceDirect.</w:t>
      </w:r>
    </w:p>
    <w:p>
      <w:pPr>
        <w:spacing w:before="40"/>
      </w:pPr>
      <w:r>
        <w:rPr>
          <w:sz w:val="18"/>
        </w:rPr>
        <w:t>[2] Lawi A, Panggabean BLE, Yoshida T. Evaluating GraphQL and REST API Services Performance in a Massive and Intensive Accessible Information System. Computers. 2021;10(11):138. doi:10.3390/computers10110138. Scopus: 85119061756.</w:t>
      </w:r>
    </w:p>
    <w:p>
      <w:pPr>
        <w:spacing w:before="40"/>
      </w:pPr>
      <w:r>
        <w:rPr>
          <w:sz w:val="17"/>
        </w:rPr>
        <w:t>Metadatos y resúmenes verificados en fuentes editoriales e institucionales el 17/10/2026. Enlaces y alcance de consulta en docs/REFERENCIAS.md.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Business Intelligence · Actividad 1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