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Análisis Ejecutivo — Supertienda</w:t>
      </w:r>
    </w:p>
    <w:p>
      <w:pPr>
        <w:jc w:val="center"/>
      </w:pPr>
      <w:r>
        <w:t>Ventas, rentabilidad y desempeño logístico</w:t>
      </w:r>
    </w:p>
    <w:p>
      <w:pPr>
        <w:jc w:val="center"/>
      </w:pPr>
      <w:r>
        <w:t>Autora: Ximena — Analista de Datos</w:t>
      </w:r>
    </w:p>
    <w:p>
      <w:pPr>
        <w:jc w:val="center"/>
      </w:pPr>
      <w:r>
        <w:t>Fecha: Septiembre 2025</w:t>
      </w:r>
    </w:p>
    <w:p>
      <w:r>
        <w:br w:type="page"/>
      </w:r>
    </w:p>
    <w:p>
      <w:pPr>
        <w:pStyle w:val="Heading1"/>
      </w:pPr>
      <w:r>
        <w:t>Resumen Ejecutivo</w:t>
      </w:r>
    </w:p>
    <w:p>
      <w:r>
        <w:t>El análisis sintetiza el desempeño comercial y operativo de Supertienda. Las ventas alcanzaron $2,296,957.70 con una ganancia de $286,324.07 y un margen de 12.4%. Se procesaron 9,994 pedidos con un ticket promedio de $229.86. El tiempo promedio de entrega fue de 34.0 días. Se identifican oportunidades claras para mejorar margen y tiempos de entrega.</w:t>
      </w:r>
    </w:p>
    <w:p>
      <w:pPr>
        <w:pStyle w:val="Heading1"/>
      </w:pPr>
      <w:r>
        <w:t>Indicadores Clave (KPIs)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KPI</w:t>
            </w:r>
          </w:p>
        </w:tc>
        <w:tc>
          <w:tcPr>
            <w:tcW w:type="dxa" w:w="4320"/>
          </w:tcPr>
          <w:p>
            <w:r>
              <w:t>Valor</w:t>
            </w:r>
          </w:p>
        </w:tc>
      </w:tr>
      <w:tr>
        <w:tc>
          <w:tcPr>
            <w:tcW w:type="dxa" w:w="4320"/>
          </w:tcPr>
          <w:p>
            <w:r>
              <w:t>Ventas Totales</w:t>
            </w:r>
          </w:p>
        </w:tc>
        <w:tc>
          <w:tcPr>
            <w:tcW w:type="dxa" w:w="4320"/>
          </w:tcPr>
          <w:p>
            <w:r>
              <w:t>$2,296,957.70</w:t>
            </w:r>
          </w:p>
        </w:tc>
      </w:tr>
      <w:tr>
        <w:tc>
          <w:tcPr>
            <w:tcW w:type="dxa" w:w="4320"/>
          </w:tcPr>
          <w:p>
            <w:r>
              <w:t>Ganancia (Profit)</w:t>
            </w:r>
          </w:p>
        </w:tc>
        <w:tc>
          <w:tcPr>
            <w:tcW w:type="dxa" w:w="4320"/>
          </w:tcPr>
          <w:p>
            <w:r>
              <w:t>$286,324.07</w:t>
            </w:r>
          </w:p>
        </w:tc>
      </w:tr>
      <w:tr>
        <w:tc>
          <w:tcPr>
            <w:tcW w:type="dxa" w:w="4320"/>
          </w:tcPr>
          <w:p>
            <w:r>
              <w:t>Margen %</w:t>
            </w:r>
          </w:p>
        </w:tc>
        <w:tc>
          <w:tcPr>
            <w:tcW w:type="dxa" w:w="4320"/>
          </w:tcPr>
          <w:p>
            <w:r>
              <w:t>12.4%</w:t>
            </w:r>
          </w:p>
        </w:tc>
      </w:tr>
      <w:tr>
        <w:tc>
          <w:tcPr>
            <w:tcW w:type="dxa" w:w="4320"/>
          </w:tcPr>
          <w:p>
            <w:r>
              <w:t>Nº Pedidos</w:t>
            </w:r>
          </w:p>
        </w:tc>
        <w:tc>
          <w:tcPr>
            <w:tcW w:type="dxa" w:w="4320"/>
          </w:tcPr>
          <w:p>
            <w:r>
              <w:t>9,994</w:t>
            </w:r>
          </w:p>
        </w:tc>
      </w:tr>
      <w:tr>
        <w:tc>
          <w:tcPr>
            <w:tcW w:type="dxa" w:w="4320"/>
          </w:tcPr>
          <w:p>
            <w:r>
              <w:t>Cantidad Vendida</w:t>
            </w:r>
          </w:p>
        </w:tc>
        <w:tc>
          <w:tcPr>
            <w:tcW w:type="dxa" w:w="4320"/>
          </w:tcPr>
          <w:p>
            <w:r>
              <w:t>37,871</w:t>
            </w:r>
          </w:p>
        </w:tc>
      </w:tr>
      <w:tr>
        <w:tc>
          <w:tcPr>
            <w:tcW w:type="dxa" w:w="4320"/>
          </w:tcPr>
          <w:p>
            <w:r>
              <w:t>Ticket Promedio</w:t>
            </w:r>
          </w:p>
        </w:tc>
        <w:tc>
          <w:tcPr>
            <w:tcW w:type="dxa" w:w="4320"/>
          </w:tcPr>
          <w:p>
            <w:r>
              <w:t>$229.86</w:t>
            </w:r>
          </w:p>
        </w:tc>
      </w:tr>
      <w:tr>
        <w:tc>
          <w:tcPr>
            <w:tcW w:type="dxa" w:w="4320"/>
          </w:tcPr>
          <w:p>
            <w:r>
              <w:t>Descuento Promedio</w:t>
            </w:r>
          </w:p>
        </w:tc>
        <w:tc>
          <w:tcPr>
            <w:tcW w:type="dxa" w:w="4320"/>
          </w:tcPr>
          <w:p>
            <w:r>
              <w:t>15.6%</w:t>
            </w:r>
          </w:p>
        </w:tc>
      </w:tr>
      <w:tr>
        <w:tc>
          <w:tcPr>
            <w:tcW w:type="dxa" w:w="4320"/>
          </w:tcPr>
          <w:p>
            <w:r>
              <w:t>Tiempo de Entrega Prom.</w:t>
            </w:r>
          </w:p>
        </w:tc>
        <w:tc>
          <w:tcPr>
            <w:tcW w:type="dxa" w:w="4320"/>
          </w:tcPr>
          <w:p>
            <w:r>
              <w:t>34.0 días</w:t>
            </w:r>
          </w:p>
        </w:tc>
      </w:tr>
    </w:tbl>
    <w:p>
      <w:pPr>
        <w:pStyle w:val="Heading1"/>
      </w:pPr>
      <w:r>
        <w:t>Hallazgos Clave</w:t>
      </w:r>
    </w:p>
    <w:p>
      <w:r>
        <w:t>• Crecimiento mensual de ventas con fluctuaciones: la estacionalidad afecta la demanda; se observan picos y caídas que deben anticiparse con campañas.</w:t>
      </w:r>
    </w:p>
    <w:p>
      <w:r>
        <w:t>• Brecha Ventas vs Profit: el crecimiento en ingresos no siempre se traduce en mayor rentabilidad; el nivel de descuento (15.6%) y el mix de productos presionan el margen (12.4%).</w:t>
      </w:r>
    </w:p>
    <w:p>
      <w:r>
        <w:t>• Demanda sólida y ticket consistente: ~$230 por pedido con ~10 mil pedidos, reflejando una base de clientes activa y estable.</w:t>
      </w:r>
    </w:p>
    <w:p>
      <w:r>
        <w:t>• Logística como palanca de valor: el tiempo promedio de entrega (~34 días) es alto; reducirlo impactará NPS, recompra y costos operativos.</w:t>
      </w:r>
    </w:p>
    <w:p>
      <w:pPr>
        <w:pStyle w:val="Heading1"/>
      </w:pPr>
      <w:r>
        <w:t>Recomendaciones</w:t>
      </w:r>
    </w:p>
    <w:p>
      <w:r>
        <w:t>1) Optimizar política de descuentos: implementar tramos por elasticidad y rentabilidad por categoría/cliente; monitorear canibalización de margen.</w:t>
      </w:r>
    </w:p>
    <w:p>
      <w:r>
        <w:t>2) Enfoque en mix rentable: priorizar categorías/subcategorías con margen positivo y rotación alta; desincentivar las de bajo margen salvo en campañas tácticas.</w:t>
      </w:r>
    </w:p>
    <w:p>
      <w:r>
        <w:t>3) Logística: acuerdos con carriers/regiones y micro-fulfillment para reducir tiempos; SLAs diferenciados por ciudad.</w:t>
      </w:r>
    </w:p>
    <w:p>
      <w:r>
        <w:t>4) Programas de upsell/cross-sell para elevar el ticket promedio sin descuentos; bundles y recomendaciones basadas en histórico.</w:t>
      </w:r>
    </w:p>
    <w:p>
      <w:r>
        <w:t>5) Gobernanza de datos y seguimiento mensual: tablero con alertas de margen, descuento y tiempos de entrega; revisión ejecutiva mensual.</w:t>
      </w:r>
    </w:p>
    <w:p>
      <w:pPr>
        <w:pStyle w:val="Heading1"/>
      </w:pPr>
      <w:r>
        <w:t>Cómo leer el Dashboard</w:t>
      </w:r>
    </w:p>
    <w:p>
      <w:r>
        <w:t>• Tarjetas KPI: resumen ejecutivo de ventas, profit, margen, pedidos, ticket y entrega.</w:t>
      </w:r>
    </w:p>
    <w:p>
      <w:r>
        <w:t>• Gráfico 1 — Crecimiento m/m (%): identifica aceleraciones y caídas para decisiones de demanda.</w:t>
      </w:r>
    </w:p>
    <w:p>
      <w:r>
        <w:t>• Gráfico 2 — Ventas vs Profit: vigila la brecha entre volumen y rentabilidad.</w:t>
      </w:r>
    </w:p>
    <w:p>
      <w:r>
        <w:t>• Segmentadores: filtrar por región, categoría y segmento para profundizar en oportunidades.</w:t>
      </w:r>
    </w:p>
    <w:p>
      <w:pPr>
        <w:pStyle w:val="Heading1"/>
      </w:pPr>
      <w:r>
        <w:t>Anexo: Consideraciones Metodológicas</w:t>
      </w:r>
    </w:p>
    <w:p>
      <w:r>
        <w:t>• Fuente: PT1 Supertienda.xlsm (hojas Datos, Analisis, Dashboard).</w:t>
      </w:r>
    </w:p>
    <w:p>
      <w:r>
        <w:t>• Cálculos: Ventas = SUM(Sales); Profit = SUM(Profit); Margen = Profit/Ventas; Ticket = Ventas/Órdenes; Tiempo entrega = promedio de (Fecha envío – Fecha pedido).</w:t>
      </w:r>
    </w:p>
    <w:p>
      <w:r>
        <w:t>• Tablas/Gráficos: tablas dinámicas y gráficos dinámicos conectados a segmentadores.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