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844" w:rsidRPr="009B6EE1" w:rsidRDefault="004E3844" w:rsidP="009B6EE1">
      <w:pPr>
        <w:jc w:val="both"/>
        <w:rPr>
          <w:rFonts w:ascii="Arial" w:hAnsi="Arial" w:cs="Arial"/>
          <w:sz w:val="24"/>
        </w:rPr>
      </w:pPr>
      <w:r w:rsidRPr="009B6EE1">
        <w:rPr>
          <w:rFonts w:ascii="Arial" w:hAnsi="Arial" w:cs="Arial"/>
          <w:sz w:val="24"/>
        </w:rPr>
        <w:t>Cuadro comparativo tiempos y comparaciones algoritmos de búsqueda interna Java</w:t>
      </w:r>
    </w:p>
    <w:p w:rsidR="004E3844" w:rsidRPr="009B6EE1" w:rsidRDefault="004E3844" w:rsidP="009B6EE1">
      <w:pPr>
        <w:jc w:val="both"/>
        <w:rPr>
          <w:rFonts w:ascii="Arial" w:hAnsi="Arial" w:cs="Arial"/>
          <w:sz w:val="24"/>
        </w:rPr>
      </w:pPr>
      <w:r w:rsidRPr="009B6EE1">
        <w:rPr>
          <w:rFonts w:ascii="Arial" w:hAnsi="Arial" w:cs="Arial"/>
          <w:sz w:val="24"/>
        </w:rPr>
        <w:t>Las pruebas para comparar en esta tabla fueron hechas con únicamente arreglos de 100 datos</w:t>
      </w:r>
    </w:p>
    <w:tbl>
      <w:tblPr>
        <w:tblStyle w:val="Tablaconcuadrcula"/>
        <w:tblW w:w="0" w:type="auto"/>
        <w:tblLook w:val="04A0" w:firstRow="1" w:lastRow="0" w:firstColumn="1" w:lastColumn="0" w:noHBand="0" w:noVBand="1"/>
      </w:tblPr>
      <w:tblGrid>
        <w:gridCol w:w="1745"/>
        <w:gridCol w:w="1745"/>
        <w:gridCol w:w="1897"/>
        <w:gridCol w:w="1722"/>
        <w:gridCol w:w="1719"/>
      </w:tblGrid>
      <w:tr w:rsidR="004E3844" w:rsidTr="004E3844">
        <w:tc>
          <w:tcPr>
            <w:tcW w:w="1765" w:type="dxa"/>
            <w:shd w:val="clear" w:color="auto" w:fill="E7E6E6" w:themeFill="background2"/>
          </w:tcPr>
          <w:p w:rsidR="004E3844" w:rsidRPr="009B6EE1" w:rsidRDefault="004E3844" w:rsidP="004E3844">
            <w:pPr>
              <w:jc w:val="center"/>
              <w:rPr>
                <w:rFonts w:ascii="Arial" w:hAnsi="Arial" w:cs="Arial"/>
                <w:sz w:val="24"/>
                <w:szCs w:val="24"/>
              </w:rPr>
            </w:pPr>
            <w:r w:rsidRPr="009B6EE1">
              <w:rPr>
                <w:rFonts w:ascii="Arial" w:hAnsi="Arial" w:cs="Arial"/>
                <w:sz w:val="24"/>
                <w:szCs w:val="24"/>
              </w:rPr>
              <w:t>Nombre</w:t>
            </w:r>
          </w:p>
        </w:tc>
        <w:tc>
          <w:tcPr>
            <w:tcW w:w="1765" w:type="dxa"/>
            <w:shd w:val="clear" w:color="auto" w:fill="E7E6E6" w:themeFill="background2"/>
          </w:tcPr>
          <w:p w:rsidR="004E3844" w:rsidRPr="009B6EE1" w:rsidRDefault="004E3844" w:rsidP="004E3844">
            <w:pPr>
              <w:jc w:val="center"/>
              <w:rPr>
                <w:rFonts w:ascii="Arial" w:hAnsi="Arial" w:cs="Arial"/>
                <w:sz w:val="24"/>
                <w:szCs w:val="24"/>
              </w:rPr>
            </w:pPr>
            <w:r w:rsidRPr="009B6EE1">
              <w:rPr>
                <w:rFonts w:ascii="Arial" w:hAnsi="Arial" w:cs="Arial"/>
                <w:sz w:val="24"/>
                <w:szCs w:val="24"/>
              </w:rPr>
              <w:t>Intercambios</w:t>
            </w:r>
          </w:p>
        </w:tc>
        <w:tc>
          <w:tcPr>
            <w:tcW w:w="1766" w:type="dxa"/>
            <w:shd w:val="clear" w:color="auto" w:fill="E7E6E6" w:themeFill="background2"/>
          </w:tcPr>
          <w:p w:rsidR="004E3844" w:rsidRPr="009B6EE1" w:rsidRDefault="004E3844" w:rsidP="004E3844">
            <w:pPr>
              <w:jc w:val="center"/>
              <w:rPr>
                <w:rFonts w:ascii="Arial" w:hAnsi="Arial" w:cs="Arial"/>
                <w:sz w:val="24"/>
                <w:szCs w:val="24"/>
              </w:rPr>
            </w:pPr>
            <w:r w:rsidRPr="009B6EE1">
              <w:rPr>
                <w:rFonts w:ascii="Arial" w:hAnsi="Arial" w:cs="Arial"/>
                <w:sz w:val="24"/>
                <w:szCs w:val="24"/>
              </w:rPr>
              <w:t>Comparaciones</w:t>
            </w:r>
          </w:p>
        </w:tc>
        <w:tc>
          <w:tcPr>
            <w:tcW w:w="1766" w:type="dxa"/>
            <w:shd w:val="clear" w:color="auto" w:fill="E7E6E6" w:themeFill="background2"/>
          </w:tcPr>
          <w:p w:rsidR="004E3844" w:rsidRPr="009B6EE1" w:rsidRDefault="004E3844" w:rsidP="004E3844">
            <w:pPr>
              <w:jc w:val="center"/>
              <w:rPr>
                <w:rFonts w:ascii="Arial" w:hAnsi="Arial" w:cs="Arial"/>
                <w:sz w:val="24"/>
                <w:szCs w:val="24"/>
              </w:rPr>
            </w:pPr>
            <w:r w:rsidRPr="009B6EE1">
              <w:rPr>
                <w:rFonts w:ascii="Arial" w:hAnsi="Arial" w:cs="Arial"/>
                <w:sz w:val="24"/>
                <w:szCs w:val="24"/>
              </w:rPr>
              <w:t>Recorridos</w:t>
            </w:r>
          </w:p>
        </w:tc>
        <w:tc>
          <w:tcPr>
            <w:tcW w:w="1766" w:type="dxa"/>
            <w:shd w:val="clear" w:color="auto" w:fill="E7E6E6" w:themeFill="background2"/>
          </w:tcPr>
          <w:p w:rsidR="004E3844" w:rsidRPr="009B6EE1" w:rsidRDefault="004E3844" w:rsidP="004E3844">
            <w:pPr>
              <w:jc w:val="center"/>
              <w:rPr>
                <w:rFonts w:ascii="Arial" w:hAnsi="Arial" w:cs="Arial"/>
                <w:sz w:val="24"/>
                <w:szCs w:val="24"/>
              </w:rPr>
            </w:pPr>
            <w:r w:rsidRPr="009B6EE1">
              <w:rPr>
                <w:rFonts w:ascii="Arial" w:hAnsi="Arial" w:cs="Arial"/>
                <w:sz w:val="24"/>
                <w:szCs w:val="24"/>
              </w:rPr>
              <w:t>Tiempos de ejecución</w:t>
            </w:r>
          </w:p>
        </w:tc>
      </w:tr>
      <w:tr w:rsidR="009B6EE1" w:rsidTr="00850F20">
        <w:tc>
          <w:tcPr>
            <w:tcW w:w="8828" w:type="dxa"/>
            <w:gridSpan w:val="5"/>
            <w:shd w:val="clear" w:color="auto" w:fill="E7E6E6" w:themeFill="background2"/>
          </w:tcPr>
          <w:p w:rsidR="009B6EE1" w:rsidRPr="009B6EE1" w:rsidRDefault="009B6EE1" w:rsidP="004E3844">
            <w:pPr>
              <w:jc w:val="center"/>
              <w:rPr>
                <w:rFonts w:ascii="Arial" w:hAnsi="Arial" w:cs="Arial"/>
                <w:sz w:val="24"/>
                <w:szCs w:val="24"/>
              </w:rPr>
            </w:pPr>
            <w:r w:rsidRPr="009B6EE1">
              <w:rPr>
                <w:rFonts w:ascii="Arial" w:hAnsi="Arial" w:cs="Arial"/>
                <w:sz w:val="24"/>
                <w:szCs w:val="24"/>
              </w:rPr>
              <w:t>Ordenamiento Interno</w:t>
            </w:r>
          </w:p>
        </w:tc>
      </w:tr>
      <w:tr w:rsidR="004E3844" w:rsidTr="004E3844">
        <w:tc>
          <w:tcPr>
            <w:tcW w:w="1765" w:type="dxa"/>
          </w:tcPr>
          <w:p w:rsidR="004E3844" w:rsidRPr="009B6EE1" w:rsidRDefault="004E3844">
            <w:pPr>
              <w:rPr>
                <w:rFonts w:ascii="Arial" w:hAnsi="Arial" w:cs="Arial"/>
                <w:sz w:val="24"/>
                <w:szCs w:val="24"/>
              </w:rPr>
            </w:pPr>
            <w:r w:rsidRPr="009B6EE1">
              <w:rPr>
                <w:rFonts w:ascii="Arial" w:hAnsi="Arial" w:cs="Arial"/>
                <w:sz w:val="24"/>
                <w:szCs w:val="24"/>
              </w:rPr>
              <w:t>Burbuja 0</w:t>
            </w:r>
          </w:p>
        </w:tc>
        <w:tc>
          <w:tcPr>
            <w:tcW w:w="1765"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2217</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9801</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9801</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1.134118</w:t>
            </w:r>
          </w:p>
        </w:tc>
      </w:tr>
      <w:tr w:rsidR="004E3844" w:rsidTr="004E3844">
        <w:tc>
          <w:tcPr>
            <w:tcW w:w="1765" w:type="dxa"/>
          </w:tcPr>
          <w:p w:rsidR="004E3844" w:rsidRPr="009B6EE1" w:rsidRDefault="004E3844">
            <w:pPr>
              <w:rPr>
                <w:rFonts w:ascii="Arial" w:hAnsi="Arial" w:cs="Arial"/>
                <w:sz w:val="24"/>
                <w:szCs w:val="24"/>
              </w:rPr>
            </w:pPr>
            <w:r w:rsidRPr="009B6EE1">
              <w:rPr>
                <w:rFonts w:ascii="Arial" w:hAnsi="Arial" w:cs="Arial"/>
                <w:sz w:val="24"/>
                <w:szCs w:val="24"/>
              </w:rPr>
              <w:t>Burbuja 1</w:t>
            </w:r>
          </w:p>
        </w:tc>
        <w:tc>
          <w:tcPr>
            <w:tcW w:w="1765"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2684</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4950</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4950</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0.807707</w:t>
            </w:r>
          </w:p>
        </w:tc>
      </w:tr>
      <w:tr w:rsidR="004E3844" w:rsidTr="004E3844">
        <w:tc>
          <w:tcPr>
            <w:tcW w:w="1765" w:type="dxa"/>
          </w:tcPr>
          <w:p w:rsidR="004E3844" w:rsidRPr="009B6EE1" w:rsidRDefault="004E3844">
            <w:pPr>
              <w:rPr>
                <w:rFonts w:ascii="Arial" w:hAnsi="Arial" w:cs="Arial"/>
                <w:sz w:val="24"/>
                <w:szCs w:val="24"/>
              </w:rPr>
            </w:pPr>
            <w:r w:rsidRPr="009B6EE1">
              <w:rPr>
                <w:rFonts w:ascii="Arial" w:hAnsi="Arial" w:cs="Arial"/>
                <w:sz w:val="24"/>
                <w:szCs w:val="24"/>
              </w:rPr>
              <w:t>Burbuja 2</w:t>
            </w:r>
          </w:p>
        </w:tc>
        <w:tc>
          <w:tcPr>
            <w:tcW w:w="1765"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2684</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4872</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4872</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0.808987</w:t>
            </w:r>
          </w:p>
        </w:tc>
      </w:tr>
      <w:tr w:rsidR="004E3844" w:rsidTr="004E3844">
        <w:tc>
          <w:tcPr>
            <w:tcW w:w="1765" w:type="dxa"/>
          </w:tcPr>
          <w:p w:rsidR="004E3844" w:rsidRPr="009B6EE1" w:rsidRDefault="004E3844">
            <w:pPr>
              <w:rPr>
                <w:rFonts w:ascii="Arial" w:hAnsi="Arial" w:cs="Arial"/>
                <w:sz w:val="24"/>
                <w:szCs w:val="24"/>
              </w:rPr>
            </w:pPr>
            <w:r w:rsidRPr="009B6EE1">
              <w:rPr>
                <w:rFonts w:ascii="Arial" w:hAnsi="Arial" w:cs="Arial"/>
                <w:sz w:val="24"/>
                <w:szCs w:val="24"/>
              </w:rPr>
              <w:t>Burbuja 3</w:t>
            </w:r>
          </w:p>
        </w:tc>
        <w:tc>
          <w:tcPr>
            <w:tcW w:w="1765"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2684</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4950</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4950</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0.805147</w:t>
            </w:r>
          </w:p>
        </w:tc>
      </w:tr>
      <w:tr w:rsidR="004E3844" w:rsidTr="004E3844">
        <w:tc>
          <w:tcPr>
            <w:tcW w:w="1765" w:type="dxa"/>
          </w:tcPr>
          <w:p w:rsidR="004E3844" w:rsidRPr="009B6EE1" w:rsidRDefault="004E3844">
            <w:pPr>
              <w:rPr>
                <w:rFonts w:ascii="Arial" w:hAnsi="Arial" w:cs="Arial"/>
                <w:sz w:val="24"/>
                <w:szCs w:val="24"/>
              </w:rPr>
            </w:pPr>
            <w:r w:rsidRPr="009B6EE1">
              <w:rPr>
                <w:rFonts w:ascii="Arial" w:hAnsi="Arial" w:cs="Arial"/>
                <w:sz w:val="24"/>
                <w:szCs w:val="24"/>
              </w:rPr>
              <w:t>Selección</w:t>
            </w:r>
          </w:p>
        </w:tc>
        <w:tc>
          <w:tcPr>
            <w:tcW w:w="1765"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95</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99</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99</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0.29185</w:t>
            </w:r>
          </w:p>
        </w:tc>
      </w:tr>
      <w:tr w:rsidR="004E3844" w:rsidTr="004E3844">
        <w:tc>
          <w:tcPr>
            <w:tcW w:w="1765" w:type="dxa"/>
          </w:tcPr>
          <w:p w:rsidR="004E3844" w:rsidRPr="009B6EE1" w:rsidRDefault="004E3844">
            <w:pPr>
              <w:rPr>
                <w:rFonts w:ascii="Arial" w:hAnsi="Arial" w:cs="Arial"/>
                <w:sz w:val="24"/>
                <w:szCs w:val="24"/>
              </w:rPr>
            </w:pPr>
            <w:r w:rsidRPr="009B6EE1">
              <w:rPr>
                <w:rFonts w:ascii="Arial" w:hAnsi="Arial" w:cs="Arial"/>
                <w:sz w:val="24"/>
                <w:szCs w:val="24"/>
              </w:rPr>
              <w:t>Inserción</w:t>
            </w:r>
          </w:p>
        </w:tc>
        <w:tc>
          <w:tcPr>
            <w:tcW w:w="1765"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2684</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99</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99</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0.216968</w:t>
            </w:r>
          </w:p>
        </w:tc>
      </w:tr>
      <w:tr w:rsidR="004E3844" w:rsidTr="004E3844">
        <w:tc>
          <w:tcPr>
            <w:tcW w:w="1765" w:type="dxa"/>
          </w:tcPr>
          <w:p w:rsidR="004E3844" w:rsidRPr="009B6EE1" w:rsidRDefault="004E3844">
            <w:pPr>
              <w:rPr>
                <w:rFonts w:ascii="Arial" w:hAnsi="Arial" w:cs="Arial"/>
                <w:sz w:val="24"/>
                <w:szCs w:val="24"/>
              </w:rPr>
            </w:pPr>
            <w:proofErr w:type="spellStart"/>
            <w:r w:rsidRPr="009B6EE1">
              <w:rPr>
                <w:rFonts w:ascii="Arial" w:hAnsi="Arial" w:cs="Arial"/>
                <w:sz w:val="24"/>
                <w:szCs w:val="24"/>
              </w:rPr>
              <w:t>ShellSort</w:t>
            </w:r>
            <w:proofErr w:type="spellEnd"/>
          </w:p>
        </w:tc>
        <w:tc>
          <w:tcPr>
            <w:tcW w:w="1765"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387</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2517</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2517</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0.248968</w:t>
            </w:r>
          </w:p>
        </w:tc>
      </w:tr>
      <w:tr w:rsidR="004E3844" w:rsidTr="004E3844">
        <w:tc>
          <w:tcPr>
            <w:tcW w:w="1765" w:type="dxa"/>
          </w:tcPr>
          <w:p w:rsidR="004E3844" w:rsidRPr="009B6EE1" w:rsidRDefault="004E3844">
            <w:pPr>
              <w:rPr>
                <w:rFonts w:ascii="Arial" w:hAnsi="Arial" w:cs="Arial"/>
                <w:sz w:val="24"/>
                <w:szCs w:val="24"/>
                <w:highlight w:val="yellow"/>
              </w:rPr>
            </w:pPr>
            <w:proofErr w:type="spellStart"/>
            <w:r w:rsidRPr="009B6EE1">
              <w:rPr>
                <w:rFonts w:ascii="Arial" w:hAnsi="Arial" w:cs="Arial"/>
                <w:sz w:val="24"/>
                <w:szCs w:val="24"/>
                <w:highlight w:val="yellow"/>
              </w:rPr>
              <w:t>QuickSort</w:t>
            </w:r>
            <w:proofErr w:type="spellEnd"/>
          </w:p>
        </w:tc>
        <w:tc>
          <w:tcPr>
            <w:tcW w:w="1765" w:type="dxa"/>
          </w:tcPr>
          <w:p w:rsidR="004E3844" w:rsidRPr="009B6EE1" w:rsidRDefault="004E3844" w:rsidP="004E3844">
            <w:pPr>
              <w:jc w:val="center"/>
              <w:rPr>
                <w:rFonts w:ascii="Arial" w:hAnsi="Arial" w:cs="Arial"/>
                <w:sz w:val="24"/>
                <w:szCs w:val="24"/>
                <w:highlight w:val="yellow"/>
              </w:rPr>
            </w:pPr>
          </w:p>
        </w:tc>
        <w:tc>
          <w:tcPr>
            <w:tcW w:w="1766" w:type="dxa"/>
          </w:tcPr>
          <w:p w:rsidR="004E3844" w:rsidRPr="009B6EE1" w:rsidRDefault="004E3844" w:rsidP="004E3844">
            <w:pPr>
              <w:jc w:val="center"/>
              <w:rPr>
                <w:rFonts w:ascii="Arial" w:hAnsi="Arial" w:cs="Arial"/>
                <w:sz w:val="24"/>
                <w:szCs w:val="24"/>
                <w:highlight w:val="yellow"/>
              </w:rPr>
            </w:pPr>
          </w:p>
        </w:tc>
        <w:tc>
          <w:tcPr>
            <w:tcW w:w="1766" w:type="dxa"/>
          </w:tcPr>
          <w:p w:rsidR="004E3844" w:rsidRPr="009B6EE1" w:rsidRDefault="004E3844" w:rsidP="004E3844">
            <w:pPr>
              <w:jc w:val="center"/>
              <w:rPr>
                <w:rFonts w:ascii="Arial" w:hAnsi="Arial" w:cs="Arial"/>
                <w:sz w:val="24"/>
                <w:szCs w:val="24"/>
                <w:highlight w:val="yellow"/>
              </w:rPr>
            </w:pPr>
          </w:p>
        </w:tc>
        <w:tc>
          <w:tcPr>
            <w:tcW w:w="1766" w:type="dxa"/>
          </w:tcPr>
          <w:p w:rsidR="004E3844" w:rsidRPr="009B6EE1" w:rsidRDefault="002C3075" w:rsidP="004E3844">
            <w:pPr>
              <w:jc w:val="center"/>
              <w:rPr>
                <w:rFonts w:ascii="Arial" w:hAnsi="Arial" w:cs="Arial"/>
                <w:sz w:val="24"/>
                <w:szCs w:val="24"/>
                <w:highlight w:val="yellow"/>
              </w:rPr>
            </w:pPr>
            <w:r w:rsidRPr="009B6EE1">
              <w:rPr>
                <w:rFonts w:ascii="Arial" w:hAnsi="Arial" w:cs="Arial"/>
                <w:color w:val="000000"/>
                <w:sz w:val="24"/>
                <w:szCs w:val="24"/>
                <w:highlight w:val="yellow"/>
              </w:rPr>
              <w:t>0.104323</w:t>
            </w:r>
          </w:p>
        </w:tc>
      </w:tr>
      <w:tr w:rsidR="004E3844" w:rsidTr="004E3844">
        <w:tc>
          <w:tcPr>
            <w:tcW w:w="1765" w:type="dxa"/>
          </w:tcPr>
          <w:p w:rsidR="004E3844" w:rsidRPr="009B6EE1" w:rsidRDefault="004E3844">
            <w:pPr>
              <w:rPr>
                <w:rFonts w:ascii="Arial" w:hAnsi="Arial" w:cs="Arial"/>
                <w:sz w:val="24"/>
                <w:szCs w:val="24"/>
              </w:rPr>
            </w:pPr>
            <w:proofErr w:type="spellStart"/>
            <w:r w:rsidRPr="009B6EE1">
              <w:rPr>
                <w:rFonts w:ascii="Arial" w:hAnsi="Arial" w:cs="Arial"/>
                <w:sz w:val="24"/>
                <w:szCs w:val="24"/>
              </w:rPr>
              <w:t>Radix</w:t>
            </w:r>
            <w:proofErr w:type="spellEnd"/>
          </w:p>
        </w:tc>
        <w:tc>
          <w:tcPr>
            <w:tcW w:w="1765"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38</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100</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100</w:t>
            </w:r>
          </w:p>
        </w:tc>
        <w:tc>
          <w:tcPr>
            <w:tcW w:w="1766" w:type="dxa"/>
          </w:tcPr>
          <w:p w:rsidR="004E3844" w:rsidRPr="009B6EE1" w:rsidRDefault="002C3075" w:rsidP="004E3844">
            <w:pPr>
              <w:jc w:val="center"/>
              <w:rPr>
                <w:rFonts w:ascii="Arial" w:hAnsi="Arial" w:cs="Arial"/>
                <w:sz w:val="24"/>
                <w:szCs w:val="24"/>
              </w:rPr>
            </w:pPr>
            <w:r w:rsidRPr="009B6EE1">
              <w:rPr>
                <w:rFonts w:ascii="Arial" w:hAnsi="Arial" w:cs="Arial"/>
                <w:color w:val="000000"/>
                <w:sz w:val="24"/>
                <w:szCs w:val="24"/>
              </w:rPr>
              <w:t>0.184966</w:t>
            </w:r>
          </w:p>
        </w:tc>
      </w:tr>
      <w:tr w:rsidR="009B6EE1" w:rsidTr="009B6EE1">
        <w:tc>
          <w:tcPr>
            <w:tcW w:w="8828" w:type="dxa"/>
            <w:gridSpan w:val="5"/>
            <w:shd w:val="clear" w:color="auto" w:fill="E7E6E6" w:themeFill="background2"/>
          </w:tcPr>
          <w:p w:rsidR="009B6EE1" w:rsidRPr="009B6EE1" w:rsidRDefault="009B6EE1" w:rsidP="004E3844">
            <w:pPr>
              <w:jc w:val="center"/>
              <w:rPr>
                <w:rFonts w:ascii="Arial" w:hAnsi="Arial" w:cs="Arial"/>
                <w:color w:val="000000"/>
                <w:sz w:val="24"/>
                <w:szCs w:val="24"/>
              </w:rPr>
            </w:pPr>
            <w:r w:rsidRPr="009B6EE1">
              <w:rPr>
                <w:rFonts w:ascii="Arial" w:hAnsi="Arial" w:cs="Arial"/>
                <w:color w:val="000000"/>
                <w:sz w:val="24"/>
                <w:szCs w:val="24"/>
              </w:rPr>
              <w:t>Ordenamiento Externo</w:t>
            </w:r>
          </w:p>
        </w:tc>
      </w:tr>
      <w:tr w:rsidR="009B6EE1" w:rsidTr="004E3844">
        <w:tc>
          <w:tcPr>
            <w:tcW w:w="1765" w:type="dxa"/>
          </w:tcPr>
          <w:p w:rsidR="009B6EE1" w:rsidRPr="009B6EE1" w:rsidRDefault="009B6EE1">
            <w:pPr>
              <w:rPr>
                <w:rFonts w:ascii="Arial" w:hAnsi="Arial" w:cs="Arial"/>
                <w:sz w:val="24"/>
                <w:szCs w:val="24"/>
              </w:rPr>
            </w:pPr>
            <w:r w:rsidRPr="009B6EE1">
              <w:rPr>
                <w:rFonts w:ascii="Arial" w:hAnsi="Arial" w:cs="Arial"/>
                <w:sz w:val="24"/>
                <w:szCs w:val="24"/>
              </w:rPr>
              <w:t>Intercalación</w:t>
            </w:r>
          </w:p>
        </w:tc>
        <w:tc>
          <w:tcPr>
            <w:tcW w:w="1765" w:type="dxa"/>
          </w:tcPr>
          <w:p w:rsidR="009B6EE1" w:rsidRPr="009B6EE1" w:rsidRDefault="009B6EE1" w:rsidP="004E3844">
            <w:pPr>
              <w:jc w:val="center"/>
              <w:rPr>
                <w:rFonts w:ascii="Arial" w:hAnsi="Arial" w:cs="Arial"/>
                <w:color w:val="000000"/>
                <w:sz w:val="24"/>
                <w:szCs w:val="24"/>
              </w:rPr>
            </w:pPr>
          </w:p>
        </w:tc>
        <w:tc>
          <w:tcPr>
            <w:tcW w:w="1766" w:type="dxa"/>
          </w:tcPr>
          <w:p w:rsidR="009B6EE1" w:rsidRPr="009B6EE1" w:rsidRDefault="009B6EE1" w:rsidP="004E3844">
            <w:pPr>
              <w:jc w:val="center"/>
              <w:rPr>
                <w:rFonts w:ascii="Arial" w:hAnsi="Arial" w:cs="Arial"/>
                <w:color w:val="000000"/>
                <w:sz w:val="24"/>
                <w:szCs w:val="24"/>
              </w:rPr>
            </w:pPr>
          </w:p>
        </w:tc>
        <w:tc>
          <w:tcPr>
            <w:tcW w:w="1766" w:type="dxa"/>
          </w:tcPr>
          <w:p w:rsidR="009B6EE1" w:rsidRPr="009B6EE1" w:rsidRDefault="009B6EE1" w:rsidP="004E3844">
            <w:pPr>
              <w:jc w:val="center"/>
              <w:rPr>
                <w:rFonts w:ascii="Arial" w:hAnsi="Arial" w:cs="Arial"/>
                <w:color w:val="000000"/>
                <w:sz w:val="24"/>
                <w:szCs w:val="24"/>
              </w:rPr>
            </w:pPr>
          </w:p>
        </w:tc>
        <w:tc>
          <w:tcPr>
            <w:tcW w:w="1766" w:type="dxa"/>
          </w:tcPr>
          <w:p w:rsidR="009B6EE1" w:rsidRPr="009B6EE1" w:rsidRDefault="009B6EE1" w:rsidP="004E3844">
            <w:pPr>
              <w:jc w:val="center"/>
              <w:rPr>
                <w:rFonts w:ascii="Arial" w:hAnsi="Arial" w:cs="Arial"/>
                <w:color w:val="000000"/>
                <w:sz w:val="24"/>
                <w:szCs w:val="24"/>
              </w:rPr>
            </w:pPr>
            <w:r w:rsidRPr="009B6EE1">
              <w:rPr>
                <w:rFonts w:ascii="Arial" w:hAnsi="Arial" w:cs="Arial"/>
                <w:color w:val="000000"/>
                <w:sz w:val="24"/>
                <w:szCs w:val="24"/>
              </w:rPr>
              <w:t>11.73095</w:t>
            </w:r>
          </w:p>
        </w:tc>
      </w:tr>
      <w:tr w:rsidR="009B6EE1" w:rsidTr="004E3844">
        <w:tc>
          <w:tcPr>
            <w:tcW w:w="1765" w:type="dxa"/>
          </w:tcPr>
          <w:p w:rsidR="009B6EE1" w:rsidRPr="009B6EE1" w:rsidRDefault="009B6EE1">
            <w:pPr>
              <w:rPr>
                <w:rFonts w:ascii="Arial" w:hAnsi="Arial" w:cs="Arial"/>
                <w:sz w:val="24"/>
                <w:szCs w:val="24"/>
              </w:rPr>
            </w:pPr>
            <w:r w:rsidRPr="009B6EE1">
              <w:rPr>
                <w:rFonts w:ascii="Arial" w:hAnsi="Arial" w:cs="Arial"/>
                <w:sz w:val="24"/>
                <w:szCs w:val="24"/>
              </w:rPr>
              <w:t>Mezcla directa</w:t>
            </w:r>
          </w:p>
        </w:tc>
        <w:tc>
          <w:tcPr>
            <w:tcW w:w="1765" w:type="dxa"/>
          </w:tcPr>
          <w:p w:rsidR="009B6EE1" w:rsidRPr="009B6EE1" w:rsidRDefault="009B6EE1" w:rsidP="004E3844">
            <w:pPr>
              <w:jc w:val="center"/>
              <w:rPr>
                <w:rFonts w:ascii="Arial" w:hAnsi="Arial" w:cs="Arial"/>
                <w:color w:val="000000"/>
                <w:sz w:val="24"/>
                <w:szCs w:val="24"/>
              </w:rPr>
            </w:pPr>
          </w:p>
        </w:tc>
        <w:tc>
          <w:tcPr>
            <w:tcW w:w="1766" w:type="dxa"/>
          </w:tcPr>
          <w:p w:rsidR="009B6EE1" w:rsidRPr="009B6EE1" w:rsidRDefault="009B6EE1" w:rsidP="004E3844">
            <w:pPr>
              <w:jc w:val="center"/>
              <w:rPr>
                <w:rFonts w:ascii="Arial" w:hAnsi="Arial" w:cs="Arial"/>
                <w:color w:val="000000"/>
                <w:sz w:val="24"/>
                <w:szCs w:val="24"/>
              </w:rPr>
            </w:pPr>
          </w:p>
        </w:tc>
        <w:tc>
          <w:tcPr>
            <w:tcW w:w="1766" w:type="dxa"/>
          </w:tcPr>
          <w:p w:rsidR="009B6EE1" w:rsidRPr="009B6EE1" w:rsidRDefault="009B6EE1" w:rsidP="004E3844">
            <w:pPr>
              <w:jc w:val="center"/>
              <w:rPr>
                <w:rFonts w:ascii="Arial" w:hAnsi="Arial" w:cs="Arial"/>
                <w:color w:val="000000"/>
                <w:sz w:val="24"/>
                <w:szCs w:val="24"/>
              </w:rPr>
            </w:pPr>
          </w:p>
        </w:tc>
        <w:tc>
          <w:tcPr>
            <w:tcW w:w="1766" w:type="dxa"/>
          </w:tcPr>
          <w:p w:rsidR="009B6EE1" w:rsidRPr="009B6EE1" w:rsidRDefault="009B6EE1" w:rsidP="004E3844">
            <w:pPr>
              <w:jc w:val="center"/>
              <w:rPr>
                <w:rFonts w:ascii="Arial" w:hAnsi="Arial" w:cs="Arial"/>
                <w:color w:val="000000"/>
                <w:sz w:val="24"/>
                <w:szCs w:val="24"/>
              </w:rPr>
            </w:pPr>
            <w:r w:rsidRPr="009B6EE1">
              <w:rPr>
                <w:rFonts w:ascii="Arial" w:hAnsi="Arial" w:cs="Arial"/>
                <w:color w:val="000000"/>
                <w:sz w:val="24"/>
                <w:szCs w:val="24"/>
              </w:rPr>
              <w:t>81.059978</w:t>
            </w:r>
          </w:p>
        </w:tc>
      </w:tr>
      <w:tr w:rsidR="009B6EE1" w:rsidTr="004E3844">
        <w:tc>
          <w:tcPr>
            <w:tcW w:w="1765" w:type="dxa"/>
          </w:tcPr>
          <w:p w:rsidR="009B6EE1" w:rsidRPr="009B6EE1" w:rsidRDefault="009B6EE1">
            <w:pPr>
              <w:rPr>
                <w:rFonts w:ascii="Arial" w:hAnsi="Arial" w:cs="Arial"/>
                <w:sz w:val="24"/>
                <w:szCs w:val="24"/>
              </w:rPr>
            </w:pPr>
            <w:r w:rsidRPr="009B6EE1">
              <w:rPr>
                <w:rFonts w:ascii="Arial" w:hAnsi="Arial" w:cs="Arial"/>
                <w:sz w:val="24"/>
                <w:szCs w:val="24"/>
              </w:rPr>
              <w:t>Mezcla natural</w:t>
            </w:r>
          </w:p>
        </w:tc>
        <w:tc>
          <w:tcPr>
            <w:tcW w:w="1765" w:type="dxa"/>
          </w:tcPr>
          <w:p w:rsidR="009B6EE1" w:rsidRPr="009B6EE1" w:rsidRDefault="009B6EE1" w:rsidP="004E3844">
            <w:pPr>
              <w:jc w:val="center"/>
              <w:rPr>
                <w:rFonts w:ascii="Arial" w:hAnsi="Arial" w:cs="Arial"/>
                <w:color w:val="000000"/>
                <w:sz w:val="24"/>
                <w:szCs w:val="24"/>
              </w:rPr>
            </w:pPr>
          </w:p>
        </w:tc>
        <w:tc>
          <w:tcPr>
            <w:tcW w:w="1766" w:type="dxa"/>
          </w:tcPr>
          <w:p w:rsidR="009B6EE1" w:rsidRPr="009B6EE1" w:rsidRDefault="009B6EE1" w:rsidP="004E3844">
            <w:pPr>
              <w:jc w:val="center"/>
              <w:rPr>
                <w:rFonts w:ascii="Arial" w:hAnsi="Arial" w:cs="Arial"/>
                <w:color w:val="000000"/>
                <w:sz w:val="24"/>
                <w:szCs w:val="24"/>
              </w:rPr>
            </w:pPr>
          </w:p>
        </w:tc>
        <w:tc>
          <w:tcPr>
            <w:tcW w:w="1766" w:type="dxa"/>
          </w:tcPr>
          <w:p w:rsidR="009B6EE1" w:rsidRPr="009B6EE1" w:rsidRDefault="009B6EE1" w:rsidP="004E3844">
            <w:pPr>
              <w:jc w:val="center"/>
              <w:rPr>
                <w:rFonts w:ascii="Arial" w:hAnsi="Arial" w:cs="Arial"/>
                <w:color w:val="000000"/>
                <w:sz w:val="24"/>
                <w:szCs w:val="24"/>
              </w:rPr>
            </w:pPr>
          </w:p>
        </w:tc>
        <w:tc>
          <w:tcPr>
            <w:tcW w:w="1766" w:type="dxa"/>
          </w:tcPr>
          <w:p w:rsidR="009B6EE1" w:rsidRPr="009B6EE1" w:rsidRDefault="009B6EE1" w:rsidP="004E3844">
            <w:pPr>
              <w:jc w:val="center"/>
              <w:rPr>
                <w:rFonts w:ascii="Arial" w:hAnsi="Arial" w:cs="Arial"/>
                <w:color w:val="000000"/>
                <w:sz w:val="24"/>
                <w:szCs w:val="24"/>
              </w:rPr>
            </w:pPr>
            <w:r w:rsidRPr="009B6EE1">
              <w:rPr>
                <w:rFonts w:ascii="Arial" w:hAnsi="Arial" w:cs="Arial"/>
                <w:color w:val="000000"/>
                <w:sz w:val="24"/>
                <w:szCs w:val="24"/>
              </w:rPr>
              <w:t>35.932076</w:t>
            </w:r>
          </w:p>
        </w:tc>
      </w:tr>
    </w:tbl>
    <w:p w:rsidR="004E3844" w:rsidRDefault="004E3844"/>
    <w:p w:rsidR="009B6EE1" w:rsidRDefault="009B6EE1" w:rsidP="009B6EE1">
      <w:pPr>
        <w:jc w:val="both"/>
        <w:rPr>
          <w:rFonts w:ascii="Arial" w:hAnsi="Arial" w:cs="Arial"/>
          <w:sz w:val="24"/>
        </w:rPr>
      </w:pPr>
      <w:r w:rsidRPr="009B6EE1">
        <w:rPr>
          <w:rFonts w:ascii="Arial" w:hAnsi="Arial" w:cs="Arial"/>
          <w:sz w:val="24"/>
        </w:rPr>
        <w:t>Conclusiones:</w:t>
      </w:r>
    </w:p>
    <w:p w:rsidR="009B6EE1" w:rsidRDefault="009B6EE1" w:rsidP="009B6EE1">
      <w:pPr>
        <w:jc w:val="both"/>
        <w:rPr>
          <w:rFonts w:ascii="Arial" w:hAnsi="Arial" w:cs="Arial"/>
          <w:sz w:val="24"/>
        </w:rPr>
      </w:pPr>
      <w:r>
        <w:rPr>
          <w:rFonts w:ascii="Arial" w:hAnsi="Arial" w:cs="Arial"/>
          <w:sz w:val="24"/>
        </w:rPr>
        <w:t xml:space="preserve">Dentro del ordenamiento interno, ordenando con los mismos datos es mucho más rápido el método </w:t>
      </w:r>
      <w:proofErr w:type="spellStart"/>
      <w:r>
        <w:rPr>
          <w:rFonts w:ascii="Arial" w:hAnsi="Arial" w:cs="Arial"/>
          <w:sz w:val="24"/>
        </w:rPr>
        <w:t>QuickSort</w:t>
      </w:r>
      <w:proofErr w:type="spellEnd"/>
      <w:r>
        <w:rPr>
          <w:rFonts w:ascii="Arial" w:hAnsi="Arial" w:cs="Arial"/>
          <w:sz w:val="24"/>
        </w:rPr>
        <w:t>.</w:t>
      </w:r>
      <w:bookmarkStart w:id="0" w:name="_GoBack"/>
      <w:bookmarkEnd w:id="0"/>
    </w:p>
    <w:p w:rsidR="009B6EE1" w:rsidRPr="009B6EE1" w:rsidRDefault="009B6EE1" w:rsidP="009B6EE1">
      <w:pPr>
        <w:jc w:val="both"/>
        <w:rPr>
          <w:rFonts w:ascii="Arial" w:hAnsi="Arial" w:cs="Arial"/>
          <w:sz w:val="24"/>
        </w:rPr>
      </w:pPr>
      <w:r>
        <w:rPr>
          <w:rFonts w:ascii="Arial" w:hAnsi="Arial" w:cs="Arial"/>
          <w:sz w:val="24"/>
        </w:rPr>
        <w:t>Para el almacenamiento externo se registro mucho menos tiempo de proceso con los mismos 100 datos en intercalación porque estos estaban divididos en 2, es decir que el de mezcla directa tomaba todos estos números en conjunto y los dividía, aunque entre el de mezcla directa y el de mezcla natural, es mas eficiente el segundo ya que estos recibían el mismo parámetro</w:t>
      </w:r>
    </w:p>
    <w:p w:rsidR="009B6EE1" w:rsidRDefault="009B6EE1"/>
    <w:p w:rsidR="004E3844" w:rsidRDefault="004E3844"/>
    <w:sectPr w:rsidR="004E38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844"/>
    <w:rsid w:val="002C3075"/>
    <w:rsid w:val="004E3844"/>
    <w:rsid w:val="009B6E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B198"/>
  <w15:chartTrackingRefBased/>
  <w15:docId w15:val="{7C4DA655-FA14-496B-B14D-1B813C89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E3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175</Words>
  <Characters>963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dc:creator>
  <cp:keywords/>
  <dc:description/>
  <cp:lastModifiedBy>chama</cp:lastModifiedBy>
  <cp:revision>2</cp:revision>
  <dcterms:created xsi:type="dcterms:W3CDTF">2018-11-27T23:39:00Z</dcterms:created>
  <dcterms:modified xsi:type="dcterms:W3CDTF">2018-12-01T00:26:00Z</dcterms:modified>
</cp:coreProperties>
</file>