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64" w:rsidRDefault="00F46864" w:rsidP="00F46864">
      <w:pPr>
        <w:rPr>
          <w:rFonts w:ascii="Arial" w:hAnsi="Arial" w:cs="Arial"/>
          <w:sz w:val="28"/>
          <w:szCs w:val="28"/>
        </w:rPr>
      </w:pPr>
      <w:r w:rsidRPr="000A12CF">
        <w:rPr>
          <w:rFonts w:ascii="Arial" w:hAnsi="Arial" w:cs="Arial"/>
          <w:noProof/>
        </w:rPr>
        <w:drawing>
          <wp:anchor distT="0" distB="0" distL="114300" distR="114300" simplePos="0" relativeHeight="251659264" behindDoc="0" locked="0" layoutInCell="1" allowOverlap="1" wp14:anchorId="1134540A" wp14:editId="1F88BBFB">
            <wp:simplePos x="0" y="0"/>
            <wp:positionH relativeFrom="margin">
              <wp:align>right</wp:align>
            </wp:positionH>
            <wp:positionV relativeFrom="margin">
              <wp:posOffset>-537845</wp:posOffset>
            </wp:positionV>
            <wp:extent cx="5612130" cy="9696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rsidR="00F46864" w:rsidRPr="007A1751" w:rsidRDefault="00F46864" w:rsidP="00F46864">
      <w:pPr>
        <w:spacing w:after="0" w:line="10" w:lineRule="atLeast"/>
        <w:jc w:val="center"/>
        <w:rPr>
          <w:rFonts w:ascii="Arial" w:hAnsi="Arial" w:cs="Arial"/>
          <w:sz w:val="28"/>
          <w:szCs w:val="28"/>
        </w:rPr>
      </w:pPr>
      <w:r w:rsidRPr="007A1751">
        <w:rPr>
          <w:rFonts w:ascii="Arial" w:hAnsi="Arial" w:cs="Arial"/>
          <w:sz w:val="28"/>
          <w:szCs w:val="28"/>
        </w:rPr>
        <w:t>INSTITUTO TECNOLÓGICO SUPERIOR DE JEREZ</w:t>
      </w:r>
    </w:p>
    <w:p w:rsidR="00F46864" w:rsidRDefault="00F46864" w:rsidP="00F46864">
      <w:pPr>
        <w:pStyle w:val="Default"/>
        <w:spacing w:line="10" w:lineRule="atLeast"/>
        <w:jc w:val="center"/>
        <w:rPr>
          <w:sz w:val="28"/>
          <w:szCs w:val="28"/>
        </w:rPr>
      </w:pPr>
      <w:r w:rsidRPr="007A1751">
        <w:rPr>
          <w:sz w:val="28"/>
          <w:szCs w:val="28"/>
        </w:rPr>
        <w:t xml:space="preserve">JEREZ DE GARCÍA SALINAS A </w:t>
      </w:r>
      <w:r w:rsidR="004E7FD9">
        <w:rPr>
          <w:sz w:val="28"/>
          <w:szCs w:val="28"/>
        </w:rPr>
        <w:t>14</w:t>
      </w:r>
      <w:r w:rsidRPr="007A1751">
        <w:rPr>
          <w:sz w:val="28"/>
          <w:szCs w:val="28"/>
        </w:rPr>
        <w:t xml:space="preserve"> DE</w:t>
      </w:r>
      <w:r>
        <w:rPr>
          <w:sz w:val="28"/>
          <w:szCs w:val="28"/>
        </w:rPr>
        <w:t xml:space="preserve"> FEBRERO</w:t>
      </w:r>
      <w:r w:rsidRPr="007A1751">
        <w:rPr>
          <w:sz w:val="28"/>
          <w:szCs w:val="28"/>
        </w:rPr>
        <w:t xml:space="preserve"> DEL 20</w:t>
      </w:r>
      <w:r>
        <w:rPr>
          <w:sz w:val="28"/>
          <w:szCs w:val="28"/>
        </w:rPr>
        <w:t>20</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w:t>
      </w:r>
      <w:r>
        <w:rPr>
          <w:sz w:val="28"/>
          <w:szCs w:val="28"/>
        </w:rPr>
        <w:t xml:space="preserve"> </w:t>
      </w:r>
    </w:p>
    <w:p w:rsidR="00F46864" w:rsidRDefault="00F46864" w:rsidP="00F46864">
      <w:pPr>
        <w:pStyle w:val="Default"/>
        <w:spacing w:line="10" w:lineRule="atLeast"/>
        <w:jc w:val="center"/>
        <w:rPr>
          <w:sz w:val="28"/>
          <w:szCs w:val="28"/>
        </w:rPr>
      </w:pPr>
      <w:r w:rsidRPr="007A1751">
        <w:rPr>
          <w:sz w:val="28"/>
          <w:szCs w:val="28"/>
        </w:rPr>
        <w:t>GUADALUPE VÁZQUEZ DE LA TORRE</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Default="00F46864" w:rsidP="00F46864">
      <w:pPr>
        <w:pStyle w:val="Default"/>
        <w:spacing w:line="10" w:lineRule="atLeast"/>
        <w:jc w:val="center"/>
        <w:rPr>
          <w:sz w:val="28"/>
          <w:szCs w:val="28"/>
        </w:rPr>
      </w:pPr>
      <w:r w:rsidRPr="007A1751">
        <w:rPr>
          <w:sz w:val="28"/>
          <w:szCs w:val="28"/>
        </w:rPr>
        <w:t>NUMERO DE CONTROL:</w:t>
      </w:r>
    </w:p>
    <w:p w:rsidR="00F46864" w:rsidRDefault="00F46864" w:rsidP="00F46864">
      <w:pPr>
        <w:pStyle w:val="Default"/>
        <w:spacing w:line="10" w:lineRule="atLeast"/>
        <w:jc w:val="center"/>
        <w:rPr>
          <w:sz w:val="28"/>
          <w:szCs w:val="28"/>
        </w:rPr>
      </w:pPr>
      <w:r w:rsidRPr="007A1751">
        <w:rPr>
          <w:sz w:val="28"/>
          <w:szCs w:val="28"/>
        </w:rPr>
        <w:t>S17070158</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CORREO</w:t>
      </w:r>
      <w:r>
        <w:rPr>
          <w:sz w:val="28"/>
          <w:szCs w:val="28"/>
        </w:rPr>
        <w:t>S</w:t>
      </w:r>
      <w:r w:rsidRPr="007A1751">
        <w:rPr>
          <w:sz w:val="28"/>
          <w:szCs w:val="28"/>
        </w:rPr>
        <w:t>:</w:t>
      </w:r>
    </w:p>
    <w:p w:rsidR="00F46864" w:rsidRDefault="008E742A" w:rsidP="00F46864">
      <w:pPr>
        <w:pStyle w:val="Default"/>
        <w:spacing w:line="10" w:lineRule="atLeast"/>
        <w:jc w:val="center"/>
        <w:rPr>
          <w:sz w:val="28"/>
          <w:szCs w:val="28"/>
        </w:rPr>
      </w:pPr>
      <w:hyperlink r:id="rId6" w:history="1">
        <w:r w:rsidR="00F46864" w:rsidRPr="00E60BD3">
          <w:rPr>
            <w:rStyle w:val="Hipervnculo"/>
            <w:sz w:val="28"/>
            <w:szCs w:val="28"/>
          </w:rPr>
          <w:t>guvadlt@Outlook.com</w:t>
        </w:r>
      </w:hyperlink>
    </w:p>
    <w:p w:rsidR="00F46864" w:rsidRDefault="00F46864" w:rsidP="00F46864">
      <w:pPr>
        <w:pStyle w:val="Default"/>
        <w:spacing w:line="10" w:lineRule="atLeast"/>
        <w:jc w:val="center"/>
        <w:rPr>
          <w:sz w:val="28"/>
          <w:szCs w:val="28"/>
        </w:rPr>
      </w:pPr>
      <w:r>
        <w:rPr>
          <w:sz w:val="28"/>
          <w:szCs w:val="28"/>
        </w:rPr>
        <w:t xml:space="preserve"> </w:t>
      </w: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CARRERA:</w:t>
      </w:r>
    </w:p>
    <w:p w:rsidR="00F46864" w:rsidRPr="007A1751" w:rsidRDefault="00F46864" w:rsidP="00F46864">
      <w:pPr>
        <w:pStyle w:val="Default"/>
        <w:spacing w:line="10" w:lineRule="atLeast"/>
        <w:jc w:val="center"/>
        <w:rPr>
          <w:sz w:val="28"/>
          <w:szCs w:val="28"/>
        </w:rPr>
      </w:pPr>
      <w:r w:rsidRPr="007A1751">
        <w:rPr>
          <w:sz w:val="28"/>
          <w:szCs w:val="28"/>
        </w:rPr>
        <w:t>INGENIERÍA EN SISTEMAS COMPUTACIONALES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 DE LA MATERIA:</w:t>
      </w:r>
    </w:p>
    <w:p w:rsidR="00F46864" w:rsidRDefault="00F46864" w:rsidP="00F46864">
      <w:pPr>
        <w:pStyle w:val="Default"/>
        <w:spacing w:line="10" w:lineRule="atLeast"/>
        <w:jc w:val="center"/>
        <w:rPr>
          <w:sz w:val="28"/>
          <w:szCs w:val="28"/>
        </w:rPr>
      </w:pPr>
      <w:r w:rsidRPr="00F46864">
        <w:rPr>
          <w:sz w:val="28"/>
          <w:szCs w:val="28"/>
        </w:rPr>
        <w:t>ADMINISTRACIÓN DE BASES DE DATOS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Default="00F46864" w:rsidP="00F46864">
      <w:pPr>
        <w:pStyle w:val="Default"/>
        <w:spacing w:line="10" w:lineRule="atLeast"/>
        <w:jc w:val="center"/>
        <w:rPr>
          <w:sz w:val="28"/>
          <w:szCs w:val="28"/>
        </w:rPr>
      </w:pPr>
      <w:r>
        <w:rPr>
          <w:sz w:val="28"/>
          <w:szCs w:val="28"/>
        </w:rPr>
        <w:t>SEXTO</w:t>
      </w:r>
      <w:r w:rsidRPr="007A1751">
        <w:rPr>
          <w:sz w:val="28"/>
          <w:szCs w:val="28"/>
        </w:rPr>
        <w:t xml:space="preserve"> SEMESTRE</w:t>
      </w:r>
    </w:p>
    <w:p w:rsidR="00F46864" w:rsidRDefault="00F46864" w:rsidP="00F46864">
      <w:pPr>
        <w:pStyle w:val="Default"/>
        <w:spacing w:line="10" w:lineRule="atLeast"/>
        <w:jc w:val="center"/>
        <w:rPr>
          <w:sz w:val="28"/>
          <w:szCs w:val="28"/>
        </w:rPr>
      </w:pPr>
    </w:p>
    <w:p w:rsidR="00F46864" w:rsidRDefault="004E7FD9" w:rsidP="00F46864">
      <w:pPr>
        <w:pStyle w:val="Default"/>
        <w:spacing w:line="10" w:lineRule="atLeast"/>
        <w:jc w:val="center"/>
        <w:rPr>
          <w:sz w:val="28"/>
          <w:szCs w:val="28"/>
        </w:rPr>
      </w:pPr>
      <w:r w:rsidRPr="004E7FD9">
        <w:rPr>
          <w:sz w:val="28"/>
          <w:szCs w:val="28"/>
        </w:rPr>
        <w:t>TEMA 2 - ARQUITECTURA E INSTALACIÓN DEL SGBD</w:t>
      </w:r>
    </w:p>
    <w:p w:rsidR="00F46864" w:rsidRPr="007A1751" w:rsidRDefault="00F46864" w:rsidP="00F46864">
      <w:pPr>
        <w:pStyle w:val="Default"/>
        <w:spacing w:line="10" w:lineRule="atLeast"/>
        <w:jc w:val="center"/>
        <w:rPr>
          <w:sz w:val="28"/>
          <w:szCs w:val="28"/>
        </w:rPr>
      </w:pPr>
    </w:p>
    <w:p w:rsidR="00F46864" w:rsidRDefault="00F46864" w:rsidP="00F46864">
      <w:pPr>
        <w:pStyle w:val="Default"/>
        <w:spacing w:line="10" w:lineRule="atLeast"/>
        <w:jc w:val="center"/>
        <w:rPr>
          <w:b/>
          <w:bCs/>
          <w:sz w:val="28"/>
          <w:szCs w:val="28"/>
        </w:rPr>
      </w:pPr>
      <w:r w:rsidRPr="007A1751">
        <w:rPr>
          <w:b/>
          <w:bCs/>
          <w:sz w:val="28"/>
          <w:szCs w:val="28"/>
        </w:rPr>
        <w:t>“</w:t>
      </w:r>
      <w:r w:rsidR="004E7FD9" w:rsidRPr="004E7FD9">
        <w:rPr>
          <w:b/>
          <w:bCs/>
          <w:sz w:val="28"/>
          <w:szCs w:val="28"/>
        </w:rPr>
        <w:t xml:space="preserve">ACTIVIDAD </w:t>
      </w:r>
      <w:r w:rsidR="00CF196E">
        <w:rPr>
          <w:b/>
          <w:bCs/>
          <w:sz w:val="28"/>
          <w:szCs w:val="28"/>
        </w:rPr>
        <w:t>3</w:t>
      </w:r>
      <w:r w:rsidR="004E7FD9" w:rsidRPr="004E7FD9">
        <w:rPr>
          <w:b/>
          <w:bCs/>
          <w:sz w:val="28"/>
          <w:szCs w:val="28"/>
        </w:rPr>
        <w:t xml:space="preserve"> - REPORTE DE PRACTICA</w:t>
      </w:r>
      <w:r w:rsidR="004E7FD9" w:rsidRPr="007A1751">
        <w:rPr>
          <w:b/>
          <w:bCs/>
          <w:sz w:val="28"/>
          <w:szCs w:val="28"/>
        </w:rPr>
        <w:t>”</w:t>
      </w:r>
    </w:p>
    <w:p w:rsidR="00F46864"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sz w:val="28"/>
          <w:szCs w:val="28"/>
        </w:rPr>
      </w:pPr>
      <w:r w:rsidRPr="007A1751">
        <w:rPr>
          <w:sz w:val="28"/>
          <w:szCs w:val="28"/>
        </w:rPr>
        <w:t>DOCENTE:</w:t>
      </w:r>
    </w:p>
    <w:p w:rsidR="00F46864" w:rsidRDefault="00F46864" w:rsidP="00F46864">
      <w:pPr>
        <w:spacing w:after="0" w:line="10" w:lineRule="atLeast"/>
        <w:jc w:val="center"/>
        <w:rPr>
          <w:rFonts w:ascii="Arial" w:hAnsi="Arial" w:cs="Arial"/>
          <w:sz w:val="28"/>
          <w:szCs w:val="28"/>
        </w:rPr>
      </w:pPr>
      <w:r w:rsidRPr="007A1751">
        <w:rPr>
          <w:rFonts w:ascii="Arial" w:hAnsi="Arial" w:cs="Arial"/>
          <w:sz w:val="28"/>
          <w:szCs w:val="28"/>
        </w:rPr>
        <w:t>SALVADOR ACEVEDO SANDOVAL</w:t>
      </w:r>
    </w:p>
    <w:p w:rsidR="004E7FD9" w:rsidRDefault="004E7FD9" w:rsidP="00F46864">
      <w:pPr>
        <w:spacing w:after="0" w:line="10" w:lineRule="atLeast"/>
        <w:jc w:val="center"/>
        <w:rPr>
          <w:rStyle w:val="fontstyle01"/>
          <w:rFonts w:ascii="Arial" w:hAnsi="Arial" w:cs="Arial"/>
          <w:b w:val="0"/>
          <w:bCs w:val="0"/>
          <w:sz w:val="28"/>
          <w:szCs w:val="28"/>
        </w:rPr>
      </w:pPr>
    </w:p>
    <w:p w:rsidR="004E7FD9" w:rsidRDefault="004E7FD9" w:rsidP="00F46864">
      <w:pPr>
        <w:spacing w:after="0" w:line="10" w:lineRule="atLeast"/>
        <w:jc w:val="center"/>
        <w:rPr>
          <w:rStyle w:val="fontstyle01"/>
          <w:rFonts w:ascii="Arial" w:hAnsi="Arial" w:cs="Arial"/>
        </w:rPr>
      </w:pPr>
    </w:p>
    <w:p w:rsidR="004E7FD9" w:rsidRPr="00206AB4" w:rsidRDefault="004E7FD9" w:rsidP="00F46864">
      <w:pPr>
        <w:spacing w:after="0" w:line="10" w:lineRule="atLeast"/>
        <w:jc w:val="center"/>
        <w:rPr>
          <w:rStyle w:val="fontstyle01"/>
          <w:rFonts w:ascii="Arial" w:hAnsi="Arial" w:cs="Arial"/>
          <w:b w:val="0"/>
          <w:bCs w:val="0"/>
          <w:sz w:val="28"/>
          <w:szCs w:val="28"/>
        </w:rPr>
      </w:pPr>
    </w:p>
    <w:p w:rsidR="008E742A" w:rsidRDefault="008E742A" w:rsidP="00F455EB">
      <w:pPr>
        <w:spacing w:line="360" w:lineRule="auto"/>
        <w:jc w:val="both"/>
        <w:rPr>
          <w:rFonts w:ascii="Arial" w:hAnsi="Arial" w:cs="Arial"/>
          <w:b/>
          <w:bCs/>
          <w:sz w:val="32"/>
          <w:szCs w:val="32"/>
        </w:rPr>
        <w:sectPr w:rsidR="008E742A">
          <w:pgSz w:w="12240" w:h="15840"/>
          <w:pgMar w:top="1417" w:right="1701" w:bottom="1417" w:left="1701" w:header="708" w:footer="708" w:gutter="0"/>
          <w:cols w:space="708"/>
          <w:docGrid w:linePitch="360"/>
        </w:sectPr>
      </w:pPr>
    </w:p>
    <w:p w:rsidR="00EC6AA7" w:rsidRDefault="008E742A" w:rsidP="00F455EB">
      <w:pPr>
        <w:spacing w:line="360" w:lineRule="auto"/>
        <w:jc w:val="both"/>
        <w:rPr>
          <w:rFonts w:ascii="Arial" w:hAnsi="Arial" w:cs="Arial"/>
          <w:b/>
          <w:bCs/>
          <w:sz w:val="32"/>
          <w:szCs w:val="32"/>
        </w:rPr>
      </w:pPr>
      <w:r>
        <w:rPr>
          <w:rFonts w:ascii="Arial" w:hAnsi="Arial" w:cs="Arial"/>
          <w:b/>
          <w:bCs/>
          <w:noProof/>
          <w:sz w:val="32"/>
          <w:szCs w:val="32"/>
        </w:rPr>
        <w:lastRenderedPageBreak/>
        <w:drawing>
          <wp:anchor distT="0" distB="0" distL="114300" distR="114300" simplePos="0" relativeHeight="251661312" behindDoc="0" locked="0" layoutInCell="1" allowOverlap="1">
            <wp:simplePos x="904461" y="1083365"/>
            <wp:positionH relativeFrom="margin">
              <wp:align>center</wp:align>
            </wp:positionH>
            <wp:positionV relativeFrom="margin">
              <wp:align>center</wp:align>
            </wp:positionV>
            <wp:extent cx="9720000" cy="485701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20000" cy="4857010"/>
                    </a:xfrm>
                    <a:prstGeom prst="rect">
                      <a:avLst/>
                    </a:prstGeom>
                  </pic:spPr>
                </pic:pic>
              </a:graphicData>
            </a:graphic>
          </wp:anchor>
        </w:drawing>
      </w:r>
    </w:p>
    <w:p w:rsidR="008E742A" w:rsidRDefault="008E742A" w:rsidP="00F455EB">
      <w:pPr>
        <w:spacing w:line="360" w:lineRule="auto"/>
        <w:jc w:val="both"/>
        <w:rPr>
          <w:rFonts w:ascii="Arial" w:hAnsi="Arial" w:cs="Arial"/>
          <w:b/>
          <w:bCs/>
          <w:sz w:val="32"/>
          <w:szCs w:val="32"/>
        </w:rPr>
      </w:pPr>
    </w:p>
    <w:p w:rsidR="00CF196E" w:rsidRPr="00B701AC" w:rsidRDefault="00B701AC" w:rsidP="00F455EB">
      <w:pPr>
        <w:spacing w:line="360" w:lineRule="auto"/>
        <w:jc w:val="both"/>
        <w:rPr>
          <w:rFonts w:ascii="Arial" w:hAnsi="Arial" w:cs="Arial"/>
          <w:b/>
          <w:bCs/>
          <w:sz w:val="32"/>
          <w:szCs w:val="32"/>
        </w:rPr>
      </w:pPr>
      <w:bookmarkStart w:id="0" w:name="_GoBack"/>
      <w:bookmarkEnd w:id="0"/>
      <w:r w:rsidRPr="00B701AC">
        <w:rPr>
          <w:rFonts w:ascii="Arial" w:hAnsi="Arial" w:cs="Arial"/>
          <w:b/>
          <w:bCs/>
          <w:sz w:val="32"/>
          <w:szCs w:val="32"/>
        </w:rPr>
        <w:lastRenderedPageBreak/>
        <w:t>IBM DB2</w:t>
      </w:r>
    </w:p>
    <w:p w:rsidR="00CF196E" w:rsidRDefault="00CF196E" w:rsidP="00CF196E">
      <w:pPr>
        <w:pStyle w:val="Prrafodelista"/>
        <w:numPr>
          <w:ilvl w:val="0"/>
          <w:numId w:val="6"/>
        </w:numPr>
        <w:spacing w:line="360" w:lineRule="auto"/>
        <w:jc w:val="both"/>
        <w:rPr>
          <w:rFonts w:ascii="Arial" w:hAnsi="Arial" w:cs="Arial"/>
          <w:b/>
          <w:bCs/>
          <w:sz w:val="24"/>
          <w:szCs w:val="24"/>
        </w:rPr>
      </w:pPr>
      <w:r w:rsidRPr="00CF196E">
        <w:rPr>
          <w:rFonts w:ascii="Arial" w:hAnsi="Arial" w:cs="Arial"/>
          <w:b/>
          <w:bCs/>
          <w:sz w:val="24"/>
          <w:szCs w:val="24"/>
        </w:rPr>
        <w:t>Imagen de la arquitectura interna del SGBD</w:t>
      </w:r>
    </w:p>
    <w:p w:rsidR="00CF196E" w:rsidRDefault="008E742A" w:rsidP="00CF196E">
      <w:pPr>
        <w:pStyle w:val="Prrafodelista"/>
        <w:spacing w:line="360" w:lineRule="auto"/>
        <w:jc w:val="both"/>
        <w:rPr>
          <w:rFonts w:ascii="Arial" w:hAnsi="Arial" w:cs="Arial"/>
          <w:sz w:val="24"/>
          <w:szCs w:val="24"/>
        </w:rPr>
      </w:pPr>
      <w:r w:rsidRPr="004C55EF">
        <w:drawing>
          <wp:anchor distT="0" distB="0" distL="114300" distR="114300" simplePos="0" relativeHeight="251660288" behindDoc="0" locked="0" layoutInCell="1" allowOverlap="1" wp14:anchorId="568E5284">
            <wp:simplePos x="0" y="0"/>
            <wp:positionH relativeFrom="margin">
              <wp:align>center</wp:align>
            </wp:positionH>
            <wp:positionV relativeFrom="margin">
              <wp:posOffset>861723</wp:posOffset>
            </wp:positionV>
            <wp:extent cx="5210175" cy="51911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10175" cy="5191125"/>
                    </a:xfrm>
                    <a:prstGeom prst="rect">
                      <a:avLst/>
                    </a:prstGeom>
                  </pic:spPr>
                </pic:pic>
              </a:graphicData>
            </a:graphic>
          </wp:anchor>
        </w:drawing>
      </w:r>
    </w:p>
    <w:p w:rsidR="008B06D9" w:rsidRPr="00F35064" w:rsidRDefault="008B06D9" w:rsidP="00CF196E">
      <w:pPr>
        <w:pStyle w:val="Prrafodelista"/>
        <w:spacing w:line="360" w:lineRule="auto"/>
        <w:jc w:val="both"/>
        <w:rPr>
          <w:rFonts w:ascii="Arial" w:hAnsi="Arial" w:cs="Arial"/>
          <w:sz w:val="24"/>
          <w:szCs w:val="24"/>
        </w:rPr>
      </w:pPr>
    </w:p>
    <w:p w:rsidR="00CF196E" w:rsidRDefault="00CF196E"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Default="008E742A" w:rsidP="00CF196E">
      <w:pPr>
        <w:pStyle w:val="Prrafodelista"/>
        <w:spacing w:line="360" w:lineRule="auto"/>
        <w:jc w:val="both"/>
        <w:rPr>
          <w:rFonts w:ascii="Arial" w:hAnsi="Arial" w:cs="Arial"/>
          <w:sz w:val="24"/>
          <w:szCs w:val="24"/>
        </w:rPr>
      </w:pPr>
    </w:p>
    <w:p w:rsidR="008E742A" w:rsidRPr="004C55EF" w:rsidRDefault="008E742A" w:rsidP="00CF196E">
      <w:pPr>
        <w:pStyle w:val="Prrafodelista"/>
        <w:spacing w:line="360" w:lineRule="auto"/>
        <w:jc w:val="both"/>
        <w:rPr>
          <w:rFonts w:ascii="Arial" w:hAnsi="Arial" w:cs="Arial"/>
          <w:sz w:val="24"/>
          <w:szCs w:val="24"/>
        </w:rPr>
      </w:pPr>
    </w:p>
    <w:p w:rsidR="00CF196E" w:rsidRDefault="00CF196E" w:rsidP="00CF196E">
      <w:pPr>
        <w:pStyle w:val="Prrafodelista"/>
        <w:numPr>
          <w:ilvl w:val="0"/>
          <w:numId w:val="6"/>
        </w:numPr>
        <w:spacing w:line="360" w:lineRule="auto"/>
        <w:jc w:val="both"/>
        <w:rPr>
          <w:rFonts w:ascii="Arial" w:hAnsi="Arial" w:cs="Arial"/>
          <w:b/>
          <w:bCs/>
          <w:sz w:val="24"/>
          <w:szCs w:val="24"/>
        </w:rPr>
      </w:pPr>
      <w:r>
        <w:rPr>
          <w:rFonts w:ascii="Arial" w:hAnsi="Arial" w:cs="Arial"/>
          <w:b/>
          <w:bCs/>
          <w:sz w:val="24"/>
          <w:szCs w:val="24"/>
        </w:rPr>
        <w:lastRenderedPageBreak/>
        <w:t>¿</w:t>
      </w:r>
      <w:r w:rsidRPr="00CF196E">
        <w:rPr>
          <w:rFonts w:ascii="Arial" w:hAnsi="Arial" w:cs="Arial"/>
          <w:b/>
          <w:bCs/>
          <w:sz w:val="24"/>
          <w:szCs w:val="24"/>
        </w:rPr>
        <w:t>Como administra la MEMORIA el SGBD</w:t>
      </w:r>
      <w:r>
        <w:rPr>
          <w:rFonts w:ascii="Arial" w:hAnsi="Arial" w:cs="Arial"/>
          <w:b/>
          <w:bCs/>
          <w:sz w:val="24"/>
          <w:szCs w:val="24"/>
        </w:rPr>
        <w:t>?</w:t>
      </w:r>
    </w:p>
    <w:p w:rsidR="00CF196E" w:rsidRDefault="006961F0" w:rsidP="006961F0">
      <w:pPr>
        <w:pStyle w:val="Prrafodelista"/>
        <w:jc w:val="both"/>
        <w:rPr>
          <w:rFonts w:ascii="Arial" w:hAnsi="Arial" w:cs="Arial"/>
          <w:sz w:val="24"/>
          <w:szCs w:val="24"/>
        </w:rPr>
      </w:pPr>
      <w:r w:rsidRPr="006961F0">
        <w:rPr>
          <w:rFonts w:ascii="Arial" w:hAnsi="Arial" w:cs="Arial"/>
          <w:sz w:val="24"/>
          <w:szCs w:val="24"/>
        </w:rPr>
        <w:t>La memoria de DB2 que se configura para el almacén principal incluye: memoria de la instancia, memoria FCM, memoria de almacenamiento dinámico de ordenación, memoria de la aplicación, memoria de agrupación de almacenamiento intermedio, memoria de bloqueo, memoria de almacenamiento dinámico de programa de utilidad y la antememoria de paquetes.</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instance_memory de configuración de gestor de bases de datos especifica la cantidad máxima de memoria que se puede asignar a una partición de base de datos</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fcm_num_buffers</w:t>
      </w:r>
      <w:r>
        <w:rPr>
          <w:rFonts w:ascii="Arial" w:hAnsi="Arial" w:cs="Arial"/>
          <w:sz w:val="24"/>
          <w:szCs w:val="24"/>
        </w:rPr>
        <w:t xml:space="preserve"> </w:t>
      </w:r>
      <w:r w:rsidRPr="00374B44">
        <w:rPr>
          <w:rFonts w:ascii="Arial" w:hAnsi="Arial" w:cs="Arial"/>
          <w:sz w:val="24"/>
          <w:szCs w:val="24"/>
        </w:rPr>
        <w:t>se utiliza para ofrecer comunicaciones eficientes entre las particiones de base de datos</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Memoria de almacenamiento dinámico de ordenación</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appl_memory controla la cantidad de memoria de la aplicación que los agentes de la base de datos asignan para atender las solicitudes de la aplicación</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Agrupaciones de almacenamientos intermedios</w:t>
      </w:r>
      <w:r>
        <w:rPr>
          <w:rFonts w:ascii="Arial" w:hAnsi="Arial" w:cs="Arial"/>
          <w:sz w:val="24"/>
          <w:szCs w:val="24"/>
        </w:rPr>
        <w:t xml:space="preserve"> </w:t>
      </w:r>
      <w:r w:rsidRPr="00374B44">
        <w:rPr>
          <w:rFonts w:ascii="Arial" w:hAnsi="Arial" w:cs="Arial"/>
          <w:sz w:val="24"/>
          <w:szCs w:val="24"/>
        </w:rPr>
        <w:t>es de aproximadamente 6.8 GB por partición de base de datos</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Memoria de bloqueo</w:t>
      </w:r>
      <w:r>
        <w:rPr>
          <w:rFonts w:ascii="Arial" w:hAnsi="Arial" w:cs="Arial"/>
          <w:sz w:val="24"/>
          <w:szCs w:val="24"/>
        </w:rPr>
        <w:t xml:space="preserve"> </w:t>
      </w:r>
      <w:r w:rsidRPr="00374B44">
        <w:rPr>
          <w:rFonts w:ascii="Arial" w:hAnsi="Arial" w:cs="Arial"/>
          <w:sz w:val="24"/>
          <w:szCs w:val="24"/>
        </w:rPr>
        <w:t>permite una mayor cantidad de accesos simultáneos a los datos.</w:t>
      </w:r>
    </w:p>
    <w:p w:rsid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util_heap_sz especifica el tamaño máximo del almacenamiento dinámico de programa de utilidad, en unidades de páginas de 4 KB.</w:t>
      </w:r>
    </w:p>
    <w:p w:rsidR="00374B44" w:rsidRPr="00374B44" w:rsidRDefault="00374B44" w:rsidP="00374B44">
      <w:pPr>
        <w:pStyle w:val="Prrafodelista"/>
        <w:numPr>
          <w:ilvl w:val="0"/>
          <w:numId w:val="7"/>
        </w:numPr>
        <w:jc w:val="both"/>
        <w:rPr>
          <w:rFonts w:ascii="Arial" w:hAnsi="Arial" w:cs="Arial"/>
          <w:sz w:val="24"/>
          <w:szCs w:val="24"/>
        </w:rPr>
      </w:pPr>
      <w:r w:rsidRPr="00374B44">
        <w:rPr>
          <w:rFonts w:ascii="Arial" w:hAnsi="Arial" w:cs="Arial"/>
          <w:sz w:val="24"/>
          <w:szCs w:val="24"/>
        </w:rPr>
        <w:t>pckcachesz especifica el tamaño de la antememoria de paquete.</w:t>
      </w:r>
    </w:p>
    <w:p w:rsidR="00CF196E" w:rsidRPr="00CF196E" w:rsidRDefault="00CF196E" w:rsidP="00CF196E">
      <w:pPr>
        <w:pStyle w:val="Prrafodelista"/>
        <w:spacing w:line="360" w:lineRule="auto"/>
        <w:jc w:val="both"/>
        <w:rPr>
          <w:rFonts w:ascii="Arial" w:hAnsi="Arial" w:cs="Arial"/>
          <w:b/>
          <w:bCs/>
          <w:sz w:val="24"/>
          <w:szCs w:val="24"/>
        </w:rPr>
      </w:pPr>
    </w:p>
    <w:p w:rsidR="00CF196E" w:rsidRDefault="00CF196E" w:rsidP="00CF196E">
      <w:pPr>
        <w:pStyle w:val="Prrafodelista"/>
        <w:numPr>
          <w:ilvl w:val="0"/>
          <w:numId w:val="6"/>
        </w:numPr>
        <w:spacing w:line="360" w:lineRule="auto"/>
        <w:jc w:val="both"/>
        <w:rPr>
          <w:rFonts w:ascii="Arial" w:hAnsi="Arial" w:cs="Arial"/>
          <w:b/>
          <w:bCs/>
          <w:sz w:val="24"/>
          <w:szCs w:val="24"/>
        </w:rPr>
      </w:pPr>
      <w:r w:rsidRPr="00CF196E">
        <w:rPr>
          <w:rFonts w:ascii="Arial" w:hAnsi="Arial" w:cs="Arial"/>
          <w:b/>
          <w:bCs/>
          <w:sz w:val="24"/>
          <w:szCs w:val="24"/>
        </w:rPr>
        <w:t>VARIABLES DE SISTEMA (servidor)</w:t>
      </w:r>
      <w:r w:rsidR="00C3217F">
        <w:rPr>
          <w:rFonts w:ascii="Arial" w:hAnsi="Arial" w:cs="Arial"/>
          <w:b/>
          <w:bCs/>
          <w:sz w:val="24"/>
          <w:szCs w:val="24"/>
        </w:rPr>
        <w:t xml:space="preserve"> Linux</w:t>
      </w:r>
    </w:p>
    <w:p w:rsidR="00C3217F" w:rsidRPr="00C3217F" w:rsidRDefault="00C3217F" w:rsidP="00C3217F">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t xml:space="preserve">DB2DIR- </w:t>
      </w:r>
      <w:r w:rsidRPr="00C3217F">
        <w:rPr>
          <w:rFonts w:ascii="Arial" w:hAnsi="Arial" w:cs="Arial"/>
          <w:sz w:val="24"/>
          <w:szCs w:val="24"/>
        </w:rPr>
        <w:t>Vía de acceso de instalación de software de DB2</w:t>
      </w:r>
      <w:r>
        <w:rPr>
          <w:rFonts w:ascii="Arial" w:hAnsi="Arial" w:cs="Arial"/>
          <w:sz w:val="24"/>
          <w:szCs w:val="24"/>
        </w:rPr>
        <w:t xml:space="preserve"> </w:t>
      </w:r>
      <w:r w:rsidRPr="00C3217F">
        <w:rPr>
          <w:rFonts w:ascii="Arial" w:hAnsi="Arial" w:cs="Arial"/>
          <w:sz w:val="24"/>
          <w:szCs w:val="24"/>
        </w:rPr>
        <w:t>donde DB2DIR es la ubicación donde se ha instalado el software de servidor/cliente de DB2.</w:t>
      </w:r>
    </w:p>
    <w:p w:rsidR="00C3217F" w:rsidRPr="00C3217F" w:rsidRDefault="00C3217F" w:rsidP="00C3217F">
      <w:pPr>
        <w:pStyle w:val="Prrafodelista"/>
        <w:numPr>
          <w:ilvl w:val="0"/>
          <w:numId w:val="7"/>
        </w:numPr>
        <w:spacing w:line="360" w:lineRule="auto"/>
        <w:jc w:val="both"/>
        <w:rPr>
          <w:rFonts w:ascii="Arial" w:hAnsi="Arial" w:cs="Arial"/>
          <w:b/>
          <w:bCs/>
          <w:sz w:val="24"/>
          <w:szCs w:val="24"/>
        </w:rPr>
      </w:pPr>
      <w:r w:rsidRPr="00C3217F">
        <w:rPr>
          <w:rFonts w:ascii="Arial" w:hAnsi="Arial" w:cs="Arial"/>
          <w:b/>
          <w:bCs/>
          <w:sz w:val="24"/>
          <w:szCs w:val="24"/>
        </w:rPr>
        <w:t>DB2INSTANCE</w:t>
      </w:r>
      <w:r>
        <w:rPr>
          <w:rFonts w:ascii="Arial" w:hAnsi="Arial" w:cs="Arial"/>
          <w:b/>
          <w:bCs/>
          <w:sz w:val="24"/>
          <w:szCs w:val="24"/>
        </w:rPr>
        <w:t xml:space="preserve"> - </w:t>
      </w:r>
      <w:r w:rsidRPr="00C3217F">
        <w:rPr>
          <w:rFonts w:ascii="Arial" w:hAnsi="Arial" w:cs="Arial"/>
          <w:sz w:val="24"/>
          <w:szCs w:val="24"/>
        </w:rPr>
        <w:t>Nombre de instancia de base de datos DB2</w:t>
      </w:r>
      <w:r w:rsidRPr="00C3217F">
        <w:rPr>
          <w:rFonts w:ascii="Arial" w:hAnsi="Arial" w:cs="Arial"/>
          <w:sz w:val="24"/>
          <w:szCs w:val="24"/>
        </w:rPr>
        <w:t xml:space="preserve">, </w:t>
      </w:r>
      <w:r w:rsidRPr="00C3217F">
        <w:rPr>
          <w:rFonts w:ascii="Arial" w:hAnsi="Arial" w:cs="Arial"/>
          <w:sz w:val="24"/>
          <w:szCs w:val="24"/>
        </w:rPr>
        <w:t>donde DB2INSTANCE es el nombre de la instancia de la base de datos DB2 que ha creado.</w:t>
      </w:r>
    </w:p>
    <w:p w:rsidR="00CF196E" w:rsidRPr="00C3217F" w:rsidRDefault="00C3217F" w:rsidP="00C3217F">
      <w:pPr>
        <w:pStyle w:val="Prrafodelista"/>
        <w:numPr>
          <w:ilvl w:val="0"/>
          <w:numId w:val="7"/>
        </w:numPr>
        <w:spacing w:line="360" w:lineRule="auto"/>
        <w:jc w:val="both"/>
        <w:rPr>
          <w:rFonts w:ascii="Arial" w:hAnsi="Arial" w:cs="Arial"/>
          <w:b/>
          <w:bCs/>
          <w:sz w:val="24"/>
          <w:szCs w:val="24"/>
        </w:rPr>
      </w:pPr>
      <w:r w:rsidRPr="00C3217F">
        <w:rPr>
          <w:rFonts w:ascii="Arial" w:hAnsi="Arial" w:cs="Arial"/>
          <w:b/>
          <w:bCs/>
          <w:sz w:val="24"/>
          <w:szCs w:val="24"/>
        </w:rPr>
        <w:t>LD_LIBRARY_PATH</w:t>
      </w:r>
      <w:r w:rsidRPr="00C3217F">
        <w:rPr>
          <w:rFonts w:ascii="Arial" w:hAnsi="Arial" w:cs="Arial"/>
          <w:b/>
          <w:bCs/>
          <w:sz w:val="24"/>
          <w:szCs w:val="24"/>
        </w:rPr>
        <w:t xml:space="preserve">- </w:t>
      </w:r>
      <w:r w:rsidRPr="00C3217F">
        <w:rPr>
          <w:rFonts w:ascii="Arial" w:hAnsi="Arial" w:cs="Arial"/>
          <w:sz w:val="24"/>
          <w:szCs w:val="24"/>
        </w:rPr>
        <w:t>$DB2DIR/lib</w:t>
      </w:r>
      <w:r w:rsidRPr="00C3217F">
        <w:rPr>
          <w:rFonts w:ascii="Arial" w:hAnsi="Arial" w:cs="Arial"/>
          <w:sz w:val="24"/>
          <w:szCs w:val="24"/>
        </w:rPr>
        <w:t xml:space="preserve"> para 32 bits y </w:t>
      </w:r>
      <w:r w:rsidRPr="00C3217F">
        <w:rPr>
          <w:rFonts w:ascii="Arial" w:hAnsi="Arial" w:cs="Arial"/>
          <w:sz w:val="24"/>
          <w:szCs w:val="24"/>
        </w:rPr>
        <w:t>$DB2DIR/lib64</w:t>
      </w:r>
      <w:r w:rsidRPr="00C3217F">
        <w:rPr>
          <w:rFonts w:ascii="Arial" w:hAnsi="Arial" w:cs="Arial"/>
          <w:sz w:val="24"/>
          <w:szCs w:val="24"/>
        </w:rPr>
        <w:t xml:space="preserve"> para 64 b</w:t>
      </w:r>
      <w:r>
        <w:rPr>
          <w:rFonts w:ascii="Arial" w:hAnsi="Arial" w:cs="Arial"/>
          <w:sz w:val="24"/>
          <w:szCs w:val="24"/>
        </w:rPr>
        <w:t xml:space="preserve">its. </w:t>
      </w:r>
      <w:r w:rsidRPr="00C3217F">
        <w:rPr>
          <w:rFonts w:ascii="Arial" w:hAnsi="Arial" w:cs="Arial"/>
          <w:sz w:val="24"/>
          <w:szCs w:val="24"/>
        </w:rPr>
        <w:t xml:space="preserve">donde DB2DIR es la ubicación en la que se ha instalado el software de servidor/cliente de DB2 e INSTALLDIRECTORY es la ubicación donde </w:t>
      </w:r>
    </w:p>
    <w:p w:rsidR="00CF196E" w:rsidRPr="00CF196E" w:rsidRDefault="00CF196E" w:rsidP="00CF196E">
      <w:pPr>
        <w:pStyle w:val="Prrafodelista"/>
        <w:spacing w:line="360" w:lineRule="auto"/>
        <w:jc w:val="both"/>
        <w:rPr>
          <w:rFonts w:ascii="Arial" w:hAnsi="Arial" w:cs="Arial"/>
          <w:b/>
          <w:bCs/>
          <w:sz w:val="24"/>
          <w:szCs w:val="24"/>
        </w:rPr>
      </w:pPr>
    </w:p>
    <w:p w:rsidR="00CF196E" w:rsidRDefault="00CF196E" w:rsidP="00CF196E">
      <w:pPr>
        <w:pStyle w:val="Prrafodelista"/>
        <w:numPr>
          <w:ilvl w:val="0"/>
          <w:numId w:val="6"/>
        </w:numPr>
        <w:spacing w:line="360" w:lineRule="auto"/>
        <w:jc w:val="both"/>
        <w:rPr>
          <w:rFonts w:ascii="Arial" w:hAnsi="Arial" w:cs="Arial"/>
          <w:b/>
          <w:bCs/>
          <w:sz w:val="24"/>
          <w:szCs w:val="24"/>
        </w:rPr>
      </w:pPr>
      <w:r w:rsidRPr="00CF196E">
        <w:rPr>
          <w:rFonts w:ascii="Arial" w:hAnsi="Arial" w:cs="Arial"/>
          <w:b/>
          <w:bCs/>
          <w:sz w:val="24"/>
          <w:szCs w:val="24"/>
        </w:rPr>
        <w:lastRenderedPageBreak/>
        <w:t xml:space="preserve">Archivos importantes en la </w:t>
      </w:r>
      <w:r w:rsidRPr="00CF196E">
        <w:rPr>
          <w:rFonts w:ascii="Arial" w:hAnsi="Arial" w:cs="Arial"/>
          <w:b/>
          <w:bCs/>
          <w:sz w:val="24"/>
          <w:szCs w:val="24"/>
        </w:rPr>
        <w:t>instalación</w:t>
      </w:r>
    </w:p>
    <w:tbl>
      <w:tblPr>
        <w:tblStyle w:val="Tablaconcuadrcula"/>
        <w:tblW w:w="0" w:type="auto"/>
        <w:tblLook w:val="04A0" w:firstRow="1" w:lastRow="0" w:firstColumn="1" w:lastColumn="0" w:noHBand="0" w:noVBand="1"/>
        <w:tblDescription w:val=""/>
      </w:tblPr>
      <w:tblGrid>
        <w:gridCol w:w="5613"/>
        <w:gridCol w:w="7381"/>
      </w:tblGrid>
      <w:tr w:rsidR="00E501C4" w:rsidRPr="00E501C4" w:rsidTr="00E501C4">
        <w:tc>
          <w:tcPr>
            <w:tcW w:w="0" w:type="auto"/>
            <w:hideMark/>
          </w:tcPr>
          <w:p w:rsidR="00E501C4" w:rsidRPr="00E501C4" w:rsidRDefault="00E501C4" w:rsidP="00E501C4">
            <w:pPr>
              <w:rPr>
                <w:rFonts w:ascii="Arial" w:eastAsia="Times New Roman" w:hAnsi="Arial" w:cs="Arial"/>
                <w:b/>
                <w:bCs/>
                <w:sz w:val="24"/>
                <w:szCs w:val="24"/>
                <w:lang w:eastAsia="es-MX"/>
              </w:rPr>
            </w:pPr>
            <w:r w:rsidRPr="00E501C4">
              <w:rPr>
                <w:rFonts w:ascii="Arial" w:eastAsia="Times New Roman" w:hAnsi="Arial" w:cs="Arial"/>
                <w:b/>
                <w:bCs/>
                <w:sz w:val="24"/>
                <w:szCs w:val="24"/>
                <w:lang w:eastAsia="es-MX"/>
              </w:rPr>
              <w:t>Objeto de </w:t>
            </w:r>
            <w:r w:rsidRPr="00E501C4">
              <w:rPr>
                <w:rFonts w:ascii="Arial" w:eastAsia="Times New Roman" w:hAnsi="Arial" w:cs="Arial"/>
                <w:b/>
                <w:bCs/>
                <w:sz w:val="24"/>
                <w:szCs w:val="24"/>
                <w:bdr w:val="none" w:sz="0" w:space="0" w:color="auto" w:frame="1"/>
                <w:lang w:eastAsia="es-MX"/>
              </w:rPr>
              <w:t>Db2</w:t>
            </w:r>
          </w:p>
        </w:tc>
        <w:tc>
          <w:tcPr>
            <w:tcW w:w="0" w:type="auto"/>
            <w:hideMark/>
          </w:tcPr>
          <w:p w:rsidR="00E501C4" w:rsidRPr="00E501C4" w:rsidRDefault="00E501C4" w:rsidP="00E501C4">
            <w:pPr>
              <w:rPr>
                <w:rFonts w:ascii="Arial" w:eastAsia="Times New Roman" w:hAnsi="Arial" w:cs="Arial"/>
                <w:b/>
                <w:bCs/>
                <w:sz w:val="24"/>
                <w:szCs w:val="24"/>
                <w:lang w:eastAsia="es-MX"/>
              </w:rPr>
            </w:pPr>
            <w:r w:rsidRPr="00E501C4">
              <w:rPr>
                <w:rFonts w:ascii="Arial" w:eastAsia="Times New Roman" w:hAnsi="Arial" w:cs="Arial"/>
                <w:b/>
                <w:bCs/>
                <w:sz w:val="24"/>
                <w:szCs w:val="24"/>
                <w:lang w:eastAsia="es-MX"/>
              </w:rPr>
              <w:t>Ubicación</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inicial de DAS</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home/dasusr1</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DAS</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home/dasusr1/das</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Archivo de configuración de base de datos </w:t>
            </w:r>
            <w:r w:rsidRPr="00E501C4">
              <w:rPr>
                <w:rFonts w:ascii="Arial" w:eastAsia="Times New Roman" w:hAnsi="Arial" w:cs="Arial"/>
                <w:sz w:val="24"/>
                <w:szCs w:val="24"/>
                <w:bdr w:val="none" w:sz="0" w:space="0" w:color="auto" w:frame="1"/>
                <w:lang w:eastAsia="es-MX"/>
              </w:rPr>
              <w:t>SQLDBCON</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home/db2inst1/db2inst1/NODE0000/SQL00001</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de bases de datos</w:t>
            </w:r>
          </w:p>
          <w:p w:rsidR="00E501C4" w:rsidRPr="00E501C4" w:rsidRDefault="00E501C4" w:rsidP="00E501C4">
            <w:pPr>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Contiene los archivos necesarios para:</w:t>
            </w:r>
          </w:p>
          <w:p w:rsidR="00E501C4" w:rsidRPr="00E501C4" w:rsidRDefault="00E501C4" w:rsidP="00E501C4">
            <w:pPr>
              <w:numPr>
                <w:ilvl w:val="0"/>
                <w:numId w:val="18"/>
              </w:numPr>
              <w:ind w:left="0"/>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de agrupación de almacenamientos intermedios</w:t>
            </w:r>
          </w:p>
          <w:p w:rsidR="00E501C4" w:rsidRPr="00E501C4" w:rsidRDefault="00E501C4" w:rsidP="00E501C4">
            <w:pPr>
              <w:numPr>
                <w:ilvl w:val="0"/>
                <w:numId w:val="18"/>
              </w:numPr>
              <w:ind w:left="0"/>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de histórico</w:t>
            </w:r>
          </w:p>
          <w:p w:rsidR="00E501C4" w:rsidRPr="00E501C4" w:rsidRDefault="00E501C4" w:rsidP="00E501C4">
            <w:pPr>
              <w:numPr>
                <w:ilvl w:val="0"/>
                <w:numId w:val="18"/>
              </w:numPr>
              <w:ind w:left="0"/>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Archivos de control de anotaciones cronológicas</w:t>
            </w:r>
          </w:p>
          <w:p w:rsidR="00E501C4" w:rsidRPr="00E501C4" w:rsidRDefault="00E501C4" w:rsidP="00E501C4">
            <w:pPr>
              <w:numPr>
                <w:ilvl w:val="0"/>
                <w:numId w:val="18"/>
              </w:numPr>
              <w:ind w:left="0"/>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de vía de acceso de almacenamiento</w:t>
            </w:r>
          </w:p>
          <w:p w:rsidR="00E501C4" w:rsidRPr="00E501C4" w:rsidRDefault="00E501C4" w:rsidP="00E501C4">
            <w:pPr>
              <w:numPr>
                <w:ilvl w:val="0"/>
                <w:numId w:val="18"/>
              </w:numPr>
              <w:ind w:left="0"/>
              <w:textAlignment w:val="baseline"/>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de espacio de tablas</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home/db2inst1/db2inst1/NODE0000/SQL00001</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Archivo de configuración de gestor de bases de datos </w:t>
            </w:r>
            <w:r w:rsidRPr="00E501C4">
              <w:rPr>
                <w:rFonts w:ascii="Arial" w:eastAsia="Times New Roman" w:hAnsi="Arial" w:cs="Arial"/>
                <w:sz w:val="24"/>
                <w:szCs w:val="24"/>
                <w:bdr w:val="none" w:sz="0" w:space="0" w:color="auto" w:frame="1"/>
                <w:lang w:eastAsia="es-MX"/>
              </w:rPr>
              <w:t>db2systm</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home/db2inst1/sqllib</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Mandatos de </w:t>
            </w:r>
            <w:r w:rsidRPr="00E501C4">
              <w:rPr>
                <w:rFonts w:ascii="Arial" w:eastAsia="Times New Roman" w:hAnsi="Arial" w:cs="Arial"/>
                <w:sz w:val="24"/>
                <w:szCs w:val="24"/>
                <w:bdr w:val="none" w:sz="0" w:space="0" w:color="auto" w:frame="1"/>
                <w:lang w:eastAsia="es-MX"/>
              </w:rPr>
              <w:t>Db2</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/opt/IBM/db2/V11.1/bin</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Archivo de mensajes de error de </w:t>
            </w:r>
            <w:r w:rsidRPr="00E501C4">
              <w:rPr>
                <w:rFonts w:ascii="Arial" w:eastAsia="Times New Roman" w:hAnsi="Arial" w:cs="Arial"/>
                <w:sz w:val="24"/>
                <w:szCs w:val="24"/>
                <w:bdr w:val="none" w:sz="0" w:space="0" w:color="auto" w:frame="1"/>
                <w:lang w:eastAsia="es-MX"/>
              </w:rPr>
              <w:t>Db2</w:t>
            </w:r>
            <w:r w:rsidRPr="00E501C4">
              <w:rPr>
                <w:rFonts w:ascii="Arial" w:eastAsia="Times New Roman" w:hAnsi="Arial" w:cs="Arial"/>
                <w:sz w:val="24"/>
                <w:szCs w:val="24"/>
                <w:lang w:eastAsia="es-MX"/>
              </w:rPr>
              <w:t> (</w:t>
            </w:r>
            <w:r w:rsidRPr="00E501C4">
              <w:rPr>
                <w:rFonts w:ascii="Arial" w:eastAsia="Times New Roman" w:hAnsi="Arial" w:cs="Arial"/>
                <w:sz w:val="24"/>
                <w:szCs w:val="24"/>
                <w:bdr w:val="none" w:sz="0" w:space="0" w:color="auto" w:frame="1"/>
                <w:lang w:eastAsia="es-MX"/>
              </w:rPr>
              <w:t>archivo de anotaciones cronológicas db2diag</w:t>
            </w:r>
            <w:r w:rsidRPr="00E501C4">
              <w:rPr>
                <w:rFonts w:ascii="Arial" w:eastAsia="Times New Roman" w:hAnsi="Arial" w:cs="Arial"/>
                <w:sz w:val="24"/>
                <w:szCs w:val="24"/>
                <w:lang w:eastAsia="es-MX"/>
              </w:rPr>
              <w:t>)</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home/db2inst1/sqllib/db2dump</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Vía de acceso de instalación de </w:t>
            </w:r>
            <w:r w:rsidRPr="00E501C4">
              <w:rPr>
                <w:rFonts w:ascii="Arial" w:eastAsia="Times New Roman" w:hAnsi="Arial" w:cs="Arial"/>
                <w:sz w:val="24"/>
                <w:szCs w:val="24"/>
                <w:bdr w:val="none" w:sz="0" w:space="0" w:color="auto" w:frame="1"/>
                <w:lang w:eastAsia="es-MX"/>
              </w:rPr>
              <w:t>Db2</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El valor por omisión es </w:t>
            </w:r>
            <w:r w:rsidRPr="00E501C4">
              <w:rPr>
                <w:rFonts w:ascii="Arial" w:eastAsia="Times New Roman" w:hAnsi="Arial" w:cs="Arial"/>
                <w:sz w:val="24"/>
                <w:szCs w:val="24"/>
                <w:bdr w:val="none" w:sz="0" w:space="0" w:color="auto" w:frame="1"/>
                <w:lang w:eastAsia="es-MX"/>
              </w:rPr>
              <w:t>/opt/IBM/db2/V11.1</w:t>
            </w:r>
            <w:r w:rsidRPr="00E501C4">
              <w:rPr>
                <w:rFonts w:ascii="Arial" w:eastAsia="Times New Roman" w:hAnsi="Arial" w:cs="Arial"/>
                <w:sz w:val="24"/>
                <w:szCs w:val="24"/>
                <w:lang w:eastAsia="es-MX"/>
              </w:rPr>
              <w:t>.</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de datos de supervisor de sucesos</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home/db2inst1/db2inst1/NODE0000/SQL00001/db2event</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de archivos de anotaciones cronológicas de transacciones</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home/db2inst1/db2inst1/NODE0000/SQL00001/LOGSTREAM0000</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Archivo de anotaciones cronológicas de instalación </w:t>
            </w:r>
            <w:r w:rsidRPr="00E501C4">
              <w:rPr>
                <w:rFonts w:ascii="Arial" w:eastAsia="Times New Roman" w:hAnsi="Arial" w:cs="Arial"/>
                <w:sz w:val="24"/>
                <w:szCs w:val="24"/>
                <w:bdr w:val="none" w:sz="0" w:space="0" w:color="auto" w:frame="1"/>
                <w:lang w:eastAsia="es-MX"/>
              </w:rPr>
              <w:t>db2install.history</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/opt/IBM/db2/V11.1/install/logs</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inicial de la instancia</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Información de la instancia</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home/db2inst1/sqllib</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de bases de datos local para la instancia</w:t>
            </w:r>
          </w:p>
        </w:tc>
        <w:tc>
          <w:tcPr>
            <w:tcW w:w="0" w:type="auto"/>
            <w:hideMark/>
          </w:tcPr>
          <w:p w:rsidR="00E501C4" w:rsidRPr="00E501C4" w:rsidRDefault="00E501C4" w:rsidP="00E501C4">
            <w:pPr>
              <w:rPr>
                <w:rFonts w:ascii="Arial" w:eastAsia="Times New Roman" w:hAnsi="Arial" w:cs="Arial"/>
                <w:sz w:val="24"/>
                <w:szCs w:val="24"/>
                <w:lang w:val="en-US" w:eastAsia="es-MX"/>
              </w:rPr>
            </w:pPr>
            <w:r w:rsidRPr="00E501C4">
              <w:rPr>
                <w:rFonts w:ascii="Arial" w:eastAsia="Times New Roman" w:hAnsi="Arial" w:cs="Arial"/>
                <w:sz w:val="24"/>
                <w:szCs w:val="24"/>
                <w:bdr w:val="none" w:sz="0" w:space="0" w:color="auto" w:frame="1"/>
                <w:lang w:val="en-US" w:eastAsia="es-MX"/>
              </w:rPr>
              <w:t>home/db2inst1/db2inst1/NODE0000/sqldbdir</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lastRenderedPageBreak/>
              <w:t>Archivo de entorno de base de datos particionada </w:t>
            </w:r>
            <w:r w:rsidRPr="00E501C4">
              <w:rPr>
                <w:rFonts w:ascii="Arial" w:eastAsia="Times New Roman" w:hAnsi="Arial" w:cs="Arial"/>
                <w:sz w:val="24"/>
                <w:szCs w:val="24"/>
                <w:bdr w:val="none" w:sz="0" w:space="0" w:color="auto" w:frame="1"/>
                <w:lang w:eastAsia="es-MX"/>
              </w:rPr>
              <w:t>db2nodes.cfg</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home/db2inst1/sqllib</w:t>
            </w:r>
          </w:p>
        </w:tc>
      </w:tr>
      <w:tr w:rsidR="00E501C4" w:rsidRPr="00E501C4" w:rsidTr="00E501C4">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lang w:eastAsia="es-MX"/>
              </w:rPr>
              <w:t>Directorio de bases de datos del sistema</w:t>
            </w:r>
          </w:p>
        </w:tc>
        <w:tc>
          <w:tcPr>
            <w:tcW w:w="0" w:type="auto"/>
            <w:hideMark/>
          </w:tcPr>
          <w:p w:rsidR="00E501C4" w:rsidRPr="00E501C4" w:rsidRDefault="00E501C4" w:rsidP="00E501C4">
            <w:pPr>
              <w:rPr>
                <w:rFonts w:ascii="Arial" w:eastAsia="Times New Roman" w:hAnsi="Arial" w:cs="Arial"/>
                <w:sz w:val="24"/>
                <w:szCs w:val="24"/>
                <w:lang w:eastAsia="es-MX"/>
              </w:rPr>
            </w:pPr>
            <w:r w:rsidRPr="00E501C4">
              <w:rPr>
                <w:rFonts w:ascii="Arial" w:eastAsia="Times New Roman" w:hAnsi="Arial" w:cs="Arial"/>
                <w:sz w:val="24"/>
                <w:szCs w:val="24"/>
                <w:bdr w:val="none" w:sz="0" w:space="0" w:color="auto" w:frame="1"/>
                <w:lang w:eastAsia="es-MX"/>
              </w:rPr>
              <w:t>home/db2inst1/sqllib/sqldbdir</w:t>
            </w:r>
          </w:p>
        </w:tc>
      </w:tr>
    </w:tbl>
    <w:p w:rsidR="00CF196E" w:rsidRPr="00CF196E" w:rsidRDefault="00CF196E" w:rsidP="00CF196E">
      <w:pPr>
        <w:pStyle w:val="Prrafodelista"/>
        <w:rPr>
          <w:rFonts w:ascii="Arial" w:hAnsi="Arial" w:cs="Arial"/>
          <w:b/>
          <w:bCs/>
          <w:sz w:val="24"/>
          <w:szCs w:val="24"/>
        </w:rPr>
      </w:pPr>
    </w:p>
    <w:p w:rsidR="00CF196E" w:rsidRPr="00CF196E" w:rsidRDefault="00CF196E" w:rsidP="00CF196E">
      <w:pPr>
        <w:pStyle w:val="Prrafodelista"/>
        <w:spacing w:line="360" w:lineRule="auto"/>
        <w:jc w:val="both"/>
        <w:rPr>
          <w:rFonts w:ascii="Arial" w:hAnsi="Arial" w:cs="Arial"/>
          <w:b/>
          <w:bCs/>
          <w:sz w:val="24"/>
          <w:szCs w:val="24"/>
        </w:rPr>
      </w:pPr>
    </w:p>
    <w:p w:rsidR="00CF196E" w:rsidRDefault="00CF196E" w:rsidP="00CF196E">
      <w:pPr>
        <w:pStyle w:val="Prrafodelista"/>
        <w:numPr>
          <w:ilvl w:val="0"/>
          <w:numId w:val="6"/>
        </w:numPr>
        <w:spacing w:line="360" w:lineRule="auto"/>
        <w:jc w:val="both"/>
        <w:rPr>
          <w:rFonts w:ascii="Arial" w:hAnsi="Arial" w:cs="Arial"/>
          <w:b/>
          <w:bCs/>
          <w:sz w:val="24"/>
          <w:szCs w:val="24"/>
        </w:rPr>
      </w:pPr>
      <w:r w:rsidRPr="00CF196E">
        <w:rPr>
          <w:rFonts w:ascii="Arial" w:hAnsi="Arial" w:cs="Arial"/>
          <w:b/>
          <w:bCs/>
          <w:sz w:val="24"/>
          <w:szCs w:val="24"/>
        </w:rPr>
        <w:t>RUTAS donde se instalan dichos archivos</w:t>
      </w:r>
    </w:p>
    <w:p w:rsidR="00CF196E" w:rsidRPr="0060255A" w:rsidRDefault="0060255A" w:rsidP="00CF196E">
      <w:pPr>
        <w:pStyle w:val="Prrafodelista"/>
        <w:spacing w:line="360" w:lineRule="auto"/>
        <w:jc w:val="both"/>
        <w:rPr>
          <w:rFonts w:ascii="Arial" w:hAnsi="Arial" w:cs="Arial"/>
          <w:sz w:val="24"/>
          <w:szCs w:val="24"/>
        </w:rPr>
      </w:pPr>
      <w:r>
        <w:rPr>
          <w:rFonts w:ascii="Arial" w:hAnsi="Arial" w:cs="Arial"/>
          <w:sz w:val="24"/>
          <w:szCs w:val="24"/>
        </w:rPr>
        <w:t>Están en la tabla de arriba</w:t>
      </w:r>
    </w:p>
    <w:p w:rsidR="00CF196E" w:rsidRPr="00CF196E" w:rsidRDefault="00CF196E" w:rsidP="00CF196E">
      <w:pPr>
        <w:pStyle w:val="Prrafodelista"/>
        <w:spacing w:line="360" w:lineRule="auto"/>
        <w:jc w:val="both"/>
        <w:rPr>
          <w:rFonts w:ascii="Arial" w:hAnsi="Arial" w:cs="Arial"/>
          <w:b/>
          <w:bCs/>
          <w:sz w:val="24"/>
          <w:szCs w:val="24"/>
        </w:rPr>
      </w:pPr>
    </w:p>
    <w:p w:rsidR="00CF196E" w:rsidRPr="00CF196E" w:rsidRDefault="00CF196E" w:rsidP="00CF196E">
      <w:pPr>
        <w:pStyle w:val="Prrafodelista"/>
        <w:numPr>
          <w:ilvl w:val="0"/>
          <w:numId w:val="6"/>
        </w:numPr>
        <w:spacing w:line="360" w:lineRule="auto"/>
        <w:jc w:val="both"/>
        <w:rPr>
          <w:rFonts w:ascii="Arial" w:hAnsi="Arial" w:cs="Arial"/>
          <w:b/>
          <w:bCs/>
          <w:sz w:val="24"/>
          <w:szCs w:val="24"/>
        </w:rPr>
      </w:pPr>
      <w:r w:rsidRPr="00CF196E">
        <w:rPr>
          <w:rFonts w:ascii="Arial" w:hAnsi="Arial" w:cs="Arial"/>
          <w:b/>
          <w:bCs/>
          <w:sz w:val="24"/>
          <w:szCs w:val="24"/>
        </w:rPr>
        <w:t>COMANDOS para iniciar y detener el servidor</w:t>
      </w:r>
    </w:p>
    <w:p w:rsidR="00CF196E" w:rsidRPr="0060255A" w:rsidRDefault="0060255A" w:rsidP="00F455EB">
      <w:pPr>
        <w:spacing w:line="360" w:lineRule="auto"/>
        <w:jc w:val="both"/>
        <w:rPr>
          <w:rFonts w:ascii="Arial" w:hAnsi="Arial" w:cs="Arial"/>
          <w:sz w:val="24"/>
          <w:szCs w:val="24"/>
        </w:rPr>
      </w:pPr>
      <w:r w:rsidRPr="0060255A">
        <w:rPr>
          <w:rFonts w:ascii="Arial" w:hAnsi="Arial" w:cs="Arial"/>
          <w:sz w:val="24"/>
          <w:szCs w:val="24"/>
        </w:rPr>
        <w:t>Para iniciar o detener el DAS utilice los mandatos db2admin start o db2admin stop.</w:t>
      </w:r>
    </w:p>
    <w:p w:rsidR="00F455EB" w:rsidRDefault="00F455EB" w:rsidP="00F455EB">
      <w:pPr>
        <w:spacing w:line="360" w:lineRule="auto"/>
        <w:jc w:val="both"/>
        <w:rPr>
          <w:rFonts w:ascii="Arial" w:hAnsi="Arial" w:cs="Arial"/>
          <w:b/>
          <w:bCs/>
          <w:sz w:val="32"/>
          <w:szCs w:val="32"/>
        </w:rPr>
      </w:pPr>
      <w:r w:rsidRPr="00F455EB">
        <w:rPr>
          <w:rFonts w:ascii="Arial" w:hAnsi="Arial" w:cs="Arial"/>
          <w:b/>
          <w:bCs/>
          <w:sz w:val="32"/>
          <w:szCs w:val="32"/>
        </w:rPr>
        <w:t>Fuentes</w:t>
      </w:r>
    </w:p>
    <w:p w:rsidR="008D019E" w:rsidRDefault="004C55EF" w:rsidP="004C55EF">
      <w:pPr>
        <w:pStyle w:val="Prrafodelista"/>
        <w:numPr>
          <w:ilvl w:val="0"/>
          <w:numId w:val="4"/>
        </w:numPr>
        <w:spacing w:line="360" w:lineRule="auto"/>
        <w:jc w:val="both"/>
        <w:rPr>
          <w:rFonts w:ascii="Arial" w:hAnsi="Arial" w:cs="Arial"/>
          <w:sz w:val="24"/>
          <w:szCs w:val="24"/>
          <w:lang w:val="en-US"/>
        </w:rPr>
      </w:pPr>
      <w:r w:rsidRPr="004C55EF">
        <w:rPr>
          <w:rFonts w:ascii="Arial" w:hAnsi="Arial" w:cs="Arial"/>
          <w:sz w:val="24"/>
          <w:szCs w:val="24"/>
          <w:lang w:val="en-US"/>
        </w:rPr>
        <w:t>Db2 architecture and process overview</w:t>
      </w:r>
      <w:r w:rsidRPr="004C55EF">
        <w:rPr>
          <w:rFonts w:ascii="Arial" w:hAnsi="Arial" w:cs="Arial"/>
          <w:sz w:val="24"/>
          <w:szCs w:val="24"/>
          <w:lang w:val="en-US"/>
        </w:rPr>
        <w:t xml:space="preserve"> (</w:t>
      </w:r>
      <w:r>
        <w:rPr>
          <w:rFonts w:ascii="Arial" w:hAnsi="Arial" w:cs="Arial"/>
          <w:sz w:val="24"/>
          <w:szCs w:val="24"/>
          <w:lang w:val="en-US"/>
        </w:rPr>
        <w:t xml:space="preserve">s.f), </w:t>
      </w:r>
      <w:r w:rsidRPr="004C55EF">
        <w:rPr>
          <w:rFonts w:ascii="Arial" w:hAnsi="Arial" w:cs="Arial"/>
          <w:sz w:val="24"/>
          <w:szCs w:val="24"/>
          <w:lang w:val="en-US"/>
        </w:rPr>
        <w:t>IBM Knowledge Center</w:t>
      </w:r>
      <w:r>
        <w:rPr>
          <w:rFonts w:ascii="Arial" w:hAnsi="Arial" w:cs="Arial"/>
          <w:sz w:val="24"/>
          <w:szCs w:val="24"/>
          <w:lang w:val="en-US"/>
        </w:rPr>
        <w:t xml:space="preserve">, recuperado de: </w:t>
      </w:r>
      <w:r w:rsidRPr="004C55EF">
        <w:rPr>
          <w:rFonts w:ascii="Arial" w:hAnsi="Arial" w:cs="Arial"/>
          <w:sz w:val="24"/>
          <w:szCs w:val="24"/>
          <w:lang w:val="en-US"/>
        </w:rPr>
        <w:t>https://www.ibm.com/support/knowledgecenter/SSEPGG_11.1.0/com.ibm.db2.luw.admin.perf.doc/doc/c0005418.html</w:t>
      </w:r>
    </w:p>
    <w:p w:rsidR="004C55EF" w:rsidRDefault="00374B44" w:rsidP="004C55EF">
      <w:pPr>
        <w:pStyle w:val="Prrafodelista"/>
        <w:numPr>
          <w:ilvl w:val="0"/>
          <w:numId w:val="4"/>
        </w:numPr>
        <w:spacing w:line="360" w:lineRule="auto"/>
        <w:jc w:val="both"/>
        <w:rPr>
          <w:rFonts w:ascii="Arial" w:hAnsi="Arial" w:cs="Arial"/>
          <w:sz w:val="24"/>
          <w:szCs w:val="24"/>
        </w:rPr>
      </w:pPr>
      <w:r w:rsidRPr="00374B44">
        <w:rPr>
          <w:rFonts w:ascii="Arial" w:hAnsi="Arial" w:cs="Arial"/>
          <w:sz w:val="24"/>
          <w:szCs w:val="24"/>
        </w:rPr>
        <w:t>Configuraciones de la memoria de DB2 para el almacén principal</w:t>
      </w:r>
      <w:r>
        <w:rPr>
          <w:rFonts w:ascii="Arial" w:hAnsi="Arial" w:cs="Arial"/>
          <w:sz w:val="24"/>
          <w:szCs w:val="24"/>
        </w:rPr>
        <w:t xml:space="preserve"> </w:t>
      </w:r>
      <w:bookmarkStart w:id="1" w:name="_Hlk32593238"/>
      <w:r w:rsidRPr="00374B44">
        <w:rPr>
          <w:rFonts w:ascii="Arial" w:hAnsi="Arial" w:cs="Arial"/>
          <w:sz w:val="24"/>
          <w:szCs w:val="24"/>
        </w:rPr>
        <w:t>(s.f), IBM Knowledge Center, recuperado de:</w:t>
      </w:r>
      <w:r>
        <w:rPr>
          <w:rFonts w:ascii="Arial" w:hAnsi="Arial" w:cs="Arial"/>
          <w:sz w:val="24"/>
          <w:szCs w:val="24"/>
        </w:rPr>
        <w:t xml:space="preserve"> </w:t>
      </w:r>
      <w:bookmarkEnd w:id="1"/>
      <w:r w:rsidRPr="00374B44">
        <w:rPr>
          <w:rFonts w:ascii="Arial" w:hAnsi="Arial" w:cs="Arial"/>
          <w:sz w:val="24"/>
          <w:szCs w:val="24"/>
        </w:rPr>
        <w:t>https://www.ibm.com/support/knowledgecenter/es/SSH2TE_1.1.0/com.ibm.7700.r2.common.doc/doc/c00000109.html</w:t>
      </w:r>
    </w:p>
    <w:p w:rsidR="00374B44" w:rsidRDefault="00522D84" w:rsidP="004C55EF">
      <w:pPr>
        <w:pStyle w:val="Prrafodelista"/>
        <w:numPr>
          <w:ilvl w:val="0"/>
          <w:numId w:val="4"/>
        </w:numPr>
        <w:spacing w:line="360" w:lineRule="auto"/>
        <w:jc w:val="both"/>
        <w:rPr>
          <w:rFonts w:ascii="Arial" w:hAnsi="Arial" w:cs="Arial"/>
          <w:sz w:val="24"/>
          <w:szCs w:val="24"/>
        </w:rPr>
      </w:pPr>
      <w:r w:rsidRPr="00522D84">
        <w:rPr>
          <w:rFonts w:ascii="Arial" w:hAnsi="Arial" w:cs="Arial"/>
          <w:sz w:val="24"/>
          <w:szCs w:val="24"/>
        </w:rPr>
        <w:t>Variables de entorno de DB2</w:t>
      </w:r>
      <w:r>
        <w:rPr>
          <w:rFonts w:ascii="Arial" w:hAnsi="Arial" w:cs="Arial"/>
          <w:sz w:val="24"/>
          <w:szCs w:val="24"/>
        </w:rPr>
        <w:t xml:space="preserve"> </w:t>
      </w:r>
      <w:r w:rsidRPr="00522D84">
        <w:rPr>
          <w:rFonts w:ascii="Arial" w:hAnsi="Arial" w:cs="Arial"/>
          <w:sz w:val="24"/>
          <w:szCs w:val="24"/>
        </w:rPr>
        <w:t>(s.f), IBM Knowledge Center, recuperado de:</w:t>
      </w:r>
      <w:r>
        <w:rPr>
          <w:rFonts w:ascii="Arial" w:hAnsi="Arial" w:cs="Arial"/>
          <w:sz w:val="24"/>
          <w:szCs w:val="24"/>
        </w:rPr>
        <w:t xml:space="preserve"> </w:t>
      </w:r>
      <w:r w:rsidRPr="00522D84">
        <w:rPr>
          <w:rFonts w:ascii="Arial" w:hAnsi="Arial" w:cs="Arial"/>
          <w:sz w:val="24"/>
          <w:szCs w:val="24"/>
        </w:rPr>
        <w:t>https://www.ibm.com/support/knowledgecenter/es/SSEV5M_5.0.0/com.ibm.iis.gnm.install.doc/topics/gnr_ens_ref_db2envvar.html</w:t>
      </w:r>
    </w:p>
    <w:p w:rsidR="00522D84" w:rsidRDefault="00E501C4" w:rsidP="004C55EF">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Estructura de directorios para al producto de base de datos Db2(Linux),</w:t>
      </w:r>
      <w:r w:rsidRPr="00E501C4">
        <w:t xml:space="preserve"> </w:t>
      </w:r>
      <w:r w:rsidRPr="00E501C4">
        <w:rPr>
          <w:rFonts w:ascii="Arial" w:hAnsi="Arial" w:cs="Arial"/>
          <w:sz w:val="24"/>
          <w:szCs w:val="24"/>
        </w:rPr>
        <w:t>(s.f), IBM Knowledge Center, recuperado de:</w:t>
      </w:r>
      <w:r>
        <w:rPr>
          <w:rFonts w:ascii="Arial" w:hAnsi="Arial" w:cs="Arial"/>
          <w:sz w:val="24"/>
          <w:szCs w:val="24"/>
        </w:rPr>
        <w:t xml:space="preserve"> </w:t>
      </w:r>
      <w:r w:rsidRPr="00E501C4">
        <w:rPr>
          <w:rFonts w:ascii="Arial" w:hAnsi="Arial" w:cs="Arial"/>
          <w:sz w:val="24"/>
          <w:szCs w:val="24"/>
        </w:rPr>
        <w:t>https://www.ibm.com/support/knowledgecenter/es/SSEPGG_11.1.0/com.ibm.db2.luw.qb.server.doc/doc/r0024443.html</w:t>
      </w:r>
    </w:p>
    <w:p w:rsidR="00E501C4" w:rsidRDefault="0060255A" w:rsidP="004C55EF">
      <w:pPr>
        <w:pStyle w:val="Prrafodelista"/>
        <w:numPr>
          <w:ilvl w:val="0"/>
          <w:numId w:val="4"/>
        </w:numPr>
        <w:spacing w:line="360" w:lineRule="auto"/>
        <w:jc w:val="both"/>
        <w:rPr>
          <w:rFonts w:ascii="Arial" w:hAnsi="Arial" w:cs="Arial"/>
          <w:sz w:val="24"/>
          <w:szCs w:val="24"/>
        </w:rPr>
      </w:pPr>
      <w:r w:rsidRPr="0060255A">
        <w:rPr>
          <w:rFonts w:ascii="Arial" w:hAnsi="Arial" w:cs="Arial"/>
          <w:sz w:val="24"/>
          <w:szCs w:val="24"/>
        </w:rPr>
        <w:t>Iniciar y detener el servidor de administración de DB2 (DAS)</w:t>
      </w:r>
      <w:r>
        <w:rPr>
          <w:rFonts w:ascii="Arial" w:hAnsi="Arial" w:cs="Arial"/>
          <w:sz w:val="24"/>
          <w:szCs w:val="24"/>
        </w:rPr>
        <w:t xml:space="preserve">, </w:t>
      </w:r>
      <w:r w:rsidRPr="0060255A">
        <w:rPr>
          <w:rFonts w:ascii="Arial" w:hAnsi="Arial" w:cs="Arial"/>
          <w:sz w:val="24"/>
          <w:szCs w:val="24"/>
        </w:rPr>
        <w:t>), (s.f), IBM Knowledge Center, recuperado de:</w:t>
      </w:r>
      <w:r>
        <w:rPr>
          <w:rFonts w:ascii="Arial" w:hAnsi="Arial" w:cs="Arial"/>
          <w:sz w:val="24"/>
          <w:szCs w:val="24"/>
        </w:rPr>
        <w:t xml:space="preserve"> </w:t>
      </w:r>
      <w:r w:rsidRPr="0060255A">
        <w:rPr>
          <w:rFonts w:ascii="Arial" w:hAnsi="Arial" w:cs="Arial"/>
          <w:sz w:val="24"/>
          <w:szCs w:val="24"/>
        </w:rPr>
        <w:t>https://www.ibm.com/support/knowledgecenter/es/SSEPGG_10.5.0/com.ibm.db2.luw.admin.gui.doc/doc/t0005170.html</w:t>
      </w:r>
    </w:p>
    <w:p w:rsidR="0060255A" w:rsidRPr="00374B44" w:rsidRDefault="0060255A" w:rsidP="004C55EF">
      <w:pPr>
        <w:pStyle w:val="Prrafodelista"/>
        <w:numPr>
          <w:ilvl w:val="0"/>
          <w:numId w:val="4"/>
        </w:numPr>
        <w:spacing w:line="360" w:lineRule="auto"/>
        <w:jc w:val="both"/>
        <w:rPr>
          <w:rFonts w:ascii="Arial" w:hAnsi="Arial" w:cs="Arial"/>
          <w:sz w:val="24"/>
          <w:szCs w:val="24"/>
        </w:rPr>
      </w:pPr>
    </w:p>
    <w:sectPr w:rsidR="0060255A" w:rsidRPr="00374B44" w:rsidSect="008E742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6828"/>
    <w:multiLevelType w:val="multilevel"/>
    <w:tmpl w:val="203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7753"/>
    <w:multiLevelType w:val="multilevel"/>
    <w:tmpl w:val="1D14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269E"/>
    <w:multiLevelType w:val="multilevel"/>
    <w:tmpl w:val="7CE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824AD"/>
    <w:multiLevelType w:val="hybridMultilevel"/>
    <w:tmpl w:val="3154D558"/>
    <w:lvl w:ilvl="0" w:tplc="6E367EA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DEA28CE"/>
    <w:multiLevelType w:val="hybridMultilevel"/>
    <w:tmpl w:val="5AC6C3EA"/>
    <w:lvl w:ilvl="0" w:tplc="1540B9A4">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CA424D8"/>
    <w:multiLevelType w:val="multilevel"/>
    <w:tmpl w:val="794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F4B02"/>
    <w:multiLevelType w:val="multilevel"/>
    <w:tmpl w:val="A5F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D5F1C"/>
    <w:multiLevelType w:val="multilevel"/>
    <w:tmpl w:val="084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C120B"/>
    <w:multiLevelType w:val="hybridMultilevel"/>
    <w:tmpl w:val="536CE8D6"/>
    <w:lvl w:ilvl="0" w:tplc="B5A899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5000A50"/>
    <w:multiLevelType w:val="multilevel"/>
    <w:tmpl w:val="B7F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25C51"/>
    <w:multiLevelType w:val="multilevel"/>
    <w:tmpl w:val="BA4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81D06"/>
    <w:multiLevelType w:val="multilevel"/>
    <w:tmpl w:val="576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D53BC"/>
    <w:multiLevelType w:val="hybridMultilevel"/>
    <w:tmpl w:val="54E42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FD3460"/>
    <w:multiLevelType w:val="hybridMultilevel"/>
    <w:tmpl w:val="B134A56C"/>
    <w:lvl w:ilvl="0" w:tplc="E24AEB48">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E91A94"/>
    <w:multiLevelType w:val="hybridMultilevel"/>
    <w:tmpl w:val="3E580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742686"/>
    <w:multiLevelType w:val="multilevel"/>
    <w:tmpl w:val="5D3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F44C7"/>
    <w:multiLevelType w:val="hybridMultilevel"/>
    <w:tmpl w:val="26E8F102"/>
    <w:lvl w:ilvl="0" w:tplc="A4306E0C">
      <w:start w:val="64"/>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7" w15:restartNumberingAfterBreak="0">
    <w:nsid w:val="78360AFE"/>
    <w:multiLevelType w:val="multilevel"/>
    <w:tmpl w:val="E54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3"/>
  </w:num>
  <w:num w:numId="4">
    <w:abstractNumId w:val="13"/>
  </w:num>
  <w:num w:numId="5">
    <w:abstractNumId w:val="8"/>
  </w:num>
  <w:num w:numId="6">
    <w:abstractNumId w:val="12"/>
  </w:num>
  <w:num w:numId="7">
    <w:abstractNumId w:val="4"/>
  </w:num>
  <w:num w:numId="8">
    <w:abstractNumId w:val="15"/>
  </w:num>
  <w:num w:numId="9">
    <w:abstractNumId w:val="0"/>
  </w:num>
  <w:num w:numId="10">
    <w:abstractNumId w:val="9"/>
  </w:num>
  <w:num w:numId="11">
    <w:abstractNumId w:val="5"/>
  </w:num>
  <w:num w:numId="12">
    <w:abstractNumId w:val="2"/>
  </w:num>
  <w:num w:numId="13">
    <w:abstractNumId w:val="10"/>
  </w:num>
  <w:num w:numId="14">
    <w:abstractNumId w:val="17"/>
  </w:num>
  <w:num w:numId="15">
    <w:abstractNumId w:val="7"/>
  </w:num>
  <w:num w:numId="16">
    <w:abstractNumId w:val="11"/>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64"/>
    <w:rsid w:val="00000F14"/>
    <w:rsid w:val="000C3BB1"/>
    <w:rsid w:val="001207D5"/>
    <w:rsid w:val="00163C18"/>
    <w:rsid w:val="00212462"/>
    <w:rsid w:val="00272432"/>
    <w:rsid w:val="00374B44"/>
    <w:rsid w:val="00425A05"/>
    <w:rsid w:val="004C55EF"/>
    <w:rsid w:val="004D59A1"/>
    <w:rsid w:val="004E7FD9"/>
    <w:rsid w:val="004F02B3"/>
    <w:rsid w:val="00503ADB"/>
    <w:rsid w:val="00522D84"/>
    <w:rsid w:val="0060255A"/>
    <w:rsid w:val="00625DA7"/>
    <w:rsid w:val="006961F0"/>
    <w:rsid w:val="00747EE8"/>
    <w:rsid w:val="007D0438"/>
    <w:rsid w:val="00813C67"/>
    <w:rsid w:val="008B06D9"/>
    <w:rsid w:val="008D019E"/>
    <w:rsid w:val="008E742A"/>
    <w:rsid w:val="009E198D"/>
    <w:rsid w:val="00B330C6"/>
    <w:rsid w:val="00B637CA"/>
    <w:rsid w:val="00B701AC"/>
    <w:rsid w:val="00C1070D"/>
    <w:rsid w:val="00C3217F"/>
    <w:rsid w:val="00C64AF9"/>
    <w:rsid w:val="00CE3585"/>
    <w:rsid w:val="00CF196E"/>
    <w:rsid w:val="00D30BBA"/>
    <w:rsid w:val="00E501C4"/>
    <w:rsid w:val="00E7246F"/>
    <w:rsid w:val="00EC6AA7"/>
    <w:rsid w:val="00F35064"/>
    <w:rsid w:val="00F455EB"/>
    <w:rsid w:val="00F46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091B"/>
  <w15:chartTrackingRefBased/>
  <w15:docId w15:val="{C0F6936C-B671-4498-8373-CEC65BF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46864"/>
    <w:rPr>
      <w:rFonts w:ascii="GoudySans-Bold" w:hAnsi="GoudySans-Bold" w:hint="default"/>
      <w:b/>
      <w:bCs/>
      <w:i w:val="0"/>
      <w:iCs w:val="0"/>
      <w:color w:val="60062D"/>
      <w:sz w:val="26"/>
      <w:szCs w:val="26"/>
    </w:rPr>
  </w:style>
  <w:style w:type="paragraph" w:customStyle="1" w:styleId="Default">
    <w:name w:val="Default"/>
    <w:rsid w:val="00F4686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F46864"/>
    <w:rPr>
      <w:color w:val="0563C1" w:themeColor="hyperlink"/>
      <w:u w:val="single"/>
    </w:rPr>
  </w:style>
  <w:style w:type="table" w:styleId="Tablaconcuadrcula5oscura">
    <w:name w:val="Grid Table 5 Dark"/>
    <w:basedOn w:val="Tablanormal"/>
    <w:uiPriority w:val="50"/>
    <w:rsid w:val="00B33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E7246F"/>
    <w:pPr>
      <w:ind w:left="720"/>
      <w:contextualSpacing/>
    </w:pPr>
  </w:style>
  <w:style w:type="character" w:styleId="Mencinsinresolver">
    <w:name w:val="Unresolved Mention"/>
    <w:basedOn w:val="Fuentedeprrafopredeter"/>
    <w:uiPriority w:val="99"/>
    <w:semiHidden/>
    <w:unhideWhenUsed/>
    <w:rsid w:val="00813C67"/>
    <w:rPr>
      <w:color w:val="605E5C"/>
      <w:shd w:val="clear" w:color="auto" w:fill="E1DFDD"/>
    </w:rPr>
  </w:style>
  <w:style w:type="character" w:styleId="VariableHTML">
    <w:name w:val="HTML Variable"/>
    <w:basedOn w:val="Fuentedeprrafopredeter"/>
    <w:uiPriority w:val="99"/>
    <w:semiHidden/>
    <w:unhideWhenUsed/>
    <w:rsid w:val="00C3217F"/>
    <w:rPr>
      <w:i/>
      <w:iCs/>
    </w:rPr>
  </w:style>
  <w:style w:type="character" w:customStyle="1" w:styleId="ph">
    <w:name w:val="ph"/>
    <w:basedOn w:val="Fuentedeprrafopredeter"/>
    <w:rsid w:val="00C3217F"/>
  </w:style>
  <w:style w:type="table" w:styleId="Tablaconcuadrcula">
    <w:name w:val="Table Grid"/>
    <w:basedOn w:val="Tablanormal"/>
    <w:uiPriority w:val="39"/>
    <w:rsid w:val="00E5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86139">
      <w:bodyDiv w:val="1"/>
      <w:marLeft w:val="0"/>
      <w:marRight w:val="0"/>
      <w:marTop w:val="0"/>
      <w:marBottom w:val="0"/>
      <w:divBdr>
        <w:top w:val="none" w:sz="0" w:space="0" w:color="auto"/>
        <w:left w:val="none" w:sz="0" w:space="0" w:color="auto"/>
        <w:bottom w:val="none" w:sz="0" w:space="0" w:color="auto"/>
        <w:right w:val="none" w:sz="0" w:space="0" w:color="auto"/>
      </w:divBdr>
      <w:divsChild>
        <w:div w:id="11998358">
          <w:marLeft w:val="0"/>
          <w:marRight w:val="0"/>
          <w:marTop w:val="0"/>
          <w:marBottom w:val="0"/>
          <w:divBdr>
            <w:top w:val="none" w:sz="0" w:space="0" w:color="auto"/>
            <w:left w:val="none" w:sz="0" w:space="0" w:color="auto"/>
            <w:bottom w:val="none" w:sz="0" w:space="0" w:color="auto"/>
            <w:right w:val="none" w:sz="0" w:space="0" w:color="auto"/>
          </w:divBdr>
        </w:div>
      </w:divsChild>
    </w:div>
    <w:div w:id="169341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vadlt@Outlook.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39</cp:revision>
  <dcterms:created xsi:type="dcterms:W3CDTF">2020-02-06T01:57:00Z</dcterms:created>
  <dcterms:modified xsi:type="dcterms:W3CDTF">2020-02-15T02:09:00Z</dcterms:modified>
</cp:coreProperties>
</file>