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季度经营复盘报告</w:t>
      </w:r>
    </w:p>
    <w:p>
      <w:r>
        <w:t>本季度营业收入同比增长，项目预算执行情况稳定。</w:t>
      </w:r>
    </w:p>
    <w:p>
      <w:r>
        <w:t>风险项包括供应商回款周期、市场投放转化率和人力成本控制。</w:t>
      </w:r>
    </w:p>
    <w:p>
      <w:r>
        <w:t>本文档不包含菜谱、烹饪流程、食材处理或厨房技巧。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CookingAgent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02_business_report_should_reject</dc:title>
  <dc:creator>CookingAgent upload ingestion eval</dc:creator>
  <cp:lastModifiedBy>CookingAgent upload ingestion eval</cp:lastModifiedBy>
  <dcterms:created xsi:type="dcterms:W3CDTF">2026-05-28T02:00:24Z</dcterms:created>
  <dcterms:modified xsi:type="dcterms:W3CDTF">2026-05-28T02:00:24Z</dcterms:modified>
</cp:coreProperties>
</file>