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1F4D78"/>
          <w:sz w:val="32"/>
        </w:rPr>
        <w:t>Escrito de oposición para registro</w:t>
      </w:r>
    </w:p>
    <w:p>
      <w:r>
        <w:t>A la Dirección Gerencia del Servicio Aragonés de Salud</w:t>
      </w:r>
    </w:p>
    <w:p>
      <w:r>
        <w:t>Servicio de Selección y Provisión / Bolsa FEAS</w:t>
      </w:r>
    </w:p>
    <w:p>
      <w:r>
        <w:t>D./D.ª [NOMBRE Y APELLIDOS], Facultativo/a Especialista de Área de [ESPECIALIDAD], comparece y, como mejor proceda,</w:t>
      </w:r>
    </w:p>
    <w:p>
      <w:pPr>
        <w:pStyle w:val="Heading2"/>
      </w:pPr>
      <w:r>
        <w:t>Expone</w:t>
      </w:r>
    </w:p>
    <w:p>
      <w:r>
        <w:t>Que he recibido comunicación relativa a la repetición de los actos centralizados de Bolsa FEAS prevista para el día 1 de junio de 2026, junto con una nota explicativa referida al acto centralizado de Bolsa A100 FEAS.</w:t>
      </w:r>
    </w:p>
    <w:p>
      <w:r>
        <w:t>En dicha nota se indica que, a consecuencia del proceso de plazas de difícil cobertura pendiente de resolver, se va a proceder a repetir el acto de adjudicación de varias especialidades, y que los contratos ofertados en el nuevo acto serán únicamente acúmulos de tareas hasta la celebración de actos centralizados posteriores.</w:t>
      </w:r>
    </w:p>
    <w:p>
      <w:r>
        <w:t>Sin embargo, el acto centralizado anterior, celebrado el 26 de mayo de 2026, no fue una actuación informal ni una mera expectativa. En la página web del Servicio Aragonés de Salud se publicó el correspondiente listado oficial de adjudicaciones de plazas en acto centralizado, en el que constan adjudicaciones individualizadas a favor de los aspirantes participantes.</w:t>
      </w:r>
    </w:p>
    <w:p>
      <w:r>
        <w:t>En mi caso, participé en dicho acto y resulté adjudicatario/a de una de las plazas ofertadas, constando dicha adjudicación en la documentación del procedimiento, sin que hasta la fecha se me haya notificado resolución administrativa formal que acuerde su anulación, suspensión, rectificación, retroacción o pérdida de efectos.</w:t>
      </w:r>
    </w:p>
    <w:p>
      <w:r>
        <w:t>Por ello, mediante este escrito formulo oposición expresa a que una nota informativa pueda producir, por sí sola, el efecto de dejar sin efecto adjudicaciones ya publicadas o documentadas, ni servir de base suficiente para sustituirlas mediante un nuevo acto convocado para el 1 de junio.</w:t>
      </w:r>
    </w:p>
    <w:p>
      <w:pPr>
        <w:pStyle w:val="Heading2"/>
      </w:pPr>
      <w:r>
        <w:t>Alegaciones</w:t>
      </w:r>
    </w:p>
    <w:p>
      <w:r>
        <w:t>Primera. Existencia de adjudicaciones oficiales e individualizadas.</w:t>
      </w:r>
    </w:p>
    <w:p>
      <w:r>
        <w:t>Las adjudicaciones del acto celebrado el 26 de mayo de 2026 constan en documentación oficial del Servicio Aragonés de Salud. No se trata de simples expectativas futuras, sino de adjudicaciones concretas realizadas en un acto centralizado ya celebrado, con identificación de aspirantes, plazas y condiciones de adjudicación.</w:t>
      </w:r>
    </w:p>
    <w:p>
      <w:r>
        <w:t>Cualquier decisión que pretenda privar de eficacia a esas adjudicaciones debe adoptarse mediante el cauce administrativo correspondiente, con motivación suficiente y con las garantías propias del procedimiento.</w:t>
      </w:r>
    </w:p>
    <w:p>
      <w:r>
        <w:t>Segunda. Falta de resolución formal.</w:t>
      </w:r>
    </w:p>
    <w:p>
      <w:r>
        <w:t>La nota recibida no contiene una parte dispositiva clara que diga qué ocurre con el acto del 26 de mayo de 2026. Tampoco identifica qué adjudicaciones concretas se ven afectadas, cuál es el órgano que adopta la decisión, ni incorpora firma, sello electrónico, código seguro de verificación o pie de recurso.</w:t>
      </w:r>
    </w:p>
    <w:p>
      <w:r>
        <w:t>Conforme al artículo 39 de la Ley 39/2015, los actos administrativos se presumen válidos y producen efectos desde la fecha en que se dictan, salvo que en ellos se disponga otra cosa. Si la Administración considera que debe privar de efectos una adjudicación ya realizada, debe hacerlo mediante resolución expresa, motivada y formalmente notificada o publicada.</w:t>
      </w:r>
    </w:p>
    <w:p>
      <w:r>
        <w:t>Tercera. Necesidad de motivación suficiente e individualizada.</w:t>
      </w:r>
    </w:p>
    <w:p>
      <w:r>
        <w:t>El artículo 35.1 de la Ley 39/2015 exige motivación, con referencia a hechos y fundamentos de derecho, en los actos que limiten derechos subjetivos o intereses legítimos, así como en los acuerdos de suspensión de actos.</w:t>
      </w:r>
    </w:p>
    <w:p>
      <w:r>
        <w:t>La explicación genérica de que pueden aflorar contratos mejores como consecuencia del proceso de difícil cobertura puede justificar actuaciones organizativas posteriores, pero no explica por sí sola por qué deben decaer adjudicaciones ya realizadas, ni por qué no puede conservarse lo que no esté directamente afectado.</w:t>
      </w:r>
    </w:p>
    <w:p>
      <w:r>
        <w:t>Cuarta. Requisitos de notificación o publicación.</w:t>
      </w:r>
    </w:p>
    <w:p>
      <w:r>
        <w:t>Los artículos 40 y 41 de la Ley 39/2015 exigen que las notificaciones contengan el texto íntegro del acto, indiquen los recursos procedentes, el órgano ante el que interponerlos y el plazo, y permitan tener constancia del envío o puesta a disposición, recepción o acceso, fechas, contenido íntegro e identidad del remitente y destinatario.</w:t>
      </w:r>
    </w:p>
    <w:p>
      <w:r>
        <w:t>Además, tratándose de actos integrantes de un procedimiento selectivo o de concurrencia competitiva, el artículo 45 de la Ley 39/2015 permite la publicación con efectos de notificación, pero exige que se realice en el medio previsto y con los elementos propios de una notificación. La nota remitida no cumple, en la documentación recibida, esos requisitos mínimos si pretende producir efectos anulatorios.</w:t>
      </w:r>
    </w:p>
    <w:p>
      <w:r>
        <w:t>Quinta. Conservación de actos.</w:t>
      </w:r>
    </w:p>
    <w:p>
      <w:r>
        <w:t>Los artículos 49 y 51 de la Ley 39/2015 recogen el principio de conservación de actos y trámites. La nulidad o anulabilidad de una parte del acto no debe extenderse a las partes independientes, y el órgano que anule actuaciones debe conservar aquellas cuyo contenido se hubiera mantenido igual de no haberse cometido la infracción.</w:t>
      </w:r>
    </w:p>
    <w:p>
      <w:r>
        <w:t>Por tanto, si el problema afecta a determinados contratos, aspirantes o resultas derivadas del proceso de difícil cobertura, debe explicarse por qué ese defecto obliga a repetir íntegramente el acto y, en particular, por qué afecta a cada adjudicación ya realizada. Si existe un defecto real, la solución debe ser delimitarlo, corregir lo afectado y conservar lo que no dependa de él.</w:t>
      </w:r>
    </w:p>
    <w:p>
      <w:r>
        <w:t>Sexta. Vinculación de la Administración a la convocatoria y a los actos derivados.</w:t>
      </w:r>
    </w:p>
    <w:p>
      <w:r>
        <w:t>El Decreto 37/2011, de 8 de marzo, del Gobierno de Aragón, establece en su artículo 3 que la provisión de plazas debe regirse por los principios de sometimiento pleno a la Ley y al Derecho, igualdad, mérito, capacidad, publicidad y transparencia.</w:t>
      </w:r>
    </w:p>
    <w:p>
      <w:r>
        <w:t>El artículo 13 del mismo Decreto dispone que las convocatorias y sus bases vinculan a la Administración, a los órganos encargados de resolver y a quienes participen en ellas, y que los actos administrativos derivados pueden ser impugnados por los interesados. El artículo 20.4 añade que las resoluciones o acuerdos de los órganos de selección vinculan a la Administración salvo que se hubiese incurrido en defectos esenciales de procedimiento.</w:t>
      </w:r>
    </w:p>
    <w:p>
      <w:r>
        <w:t>Asimismo, los artículos 35 y 36 del Decreto 37/2011 regulan la selección de personal estatutario temporal mediante procedimientos ágiles, pero fundados en igualdad, mérito, capacidad, competencia, publicidad y listas oficiales. Esa agilidad no elimina la necesidad de resolución formal cuando se pretende dejar sin efecto una adjudicación ya realizada.</w:t>
      </w:r>
    </w:p>
    <w:p>
      <w:r>
        <w:t>También debe tenerse en cuenta el artículo 3 de la Ley 40/2015, que exige a las Administraciones Públicas actuar conforme a los principios de eficacia, objetividad, transparencia, responsabilidad y confianza legítima.</w:t>
      </w:r>
    </w:p>
    <w:p>
      <w:r>
        <w:t>Séptima. La rectificación de errores no puede sustituir una anulación material de adjudicaciones favorables.</w:t>
      </w:r>
    </w:p>
    <w:p>
      <w:r>
        <w:t>El artículo 109.2 de la Ley 39/2015 permite rectificar errores materiales, de hecho o aritméticos. Pero si lo que se pretende no es corregir un dato material, sino privar de efectos adjudicaciones ya realizadas y alterar la posición jurídica de los adjudicatarios, debe identificarse el cauce utilizado y motivarse su procedencia.</w:t>
      </w:r>
    </w:p>
    <w:p>
      <w:r>
        <w:t>En particular, si la Administración entiende que existe nulidad o anulabilidad de actos favorables, deberá indicar expresamente si actúa por revisión de oficio, declaración de lesividad, retroacción de actuaciones, rectificación de error u otro cauce legal, con las garantías que correspondan.</w:t>
      </w:r>
    </w:p>
    <w:p>
      <w:pPr>
        <w:pStyle w:val="Heading2"/>
      </w:pPr>
      <w:r>
        <w:t>Solicita</w:t>
      </w:r>
    </w:p>
    <w:p>
      <w:r>
        <w:t>Por todo lo anterior, solicito:</w:t>
      </w:r>
    </w:p>
    <w:p>
      <w:pPr>
        <w:pStyle w:val="ListNumber"/>
        <w:spacing w:after="120"/>
      </w:pPr>
      <w:r>
        <w:t>Que se tenga por formulada oposición expresa a la pérdida de efectos de la adjudicación realizada a mi favor en el acto centralizado del 26 de mayo de 2026.</w:t>
      </w:r>
    </w:p>
    <w:p>
      <w:pPr>
        <w:pStyle w:val="ListNumber"/>
        <w:spacing w:after="120"/>
      </w:pPr>
      <w:r>
        <w:t>Que se conserve mi adjudicación, salvo que se dicte resolución expresa, motivada y formalmente notificada que justifique de manera concreta su afectación.</w:t>
      </w:r>
    </w:p>
    <w:p>
      <w:pPr>
        <w:pStyle w:val="ListNumber"/>
        <w:spacing w:after="120"/>
      </w:pPr>
      <w:r>
        <w:t>Que se deje sin efecto la convocatoria del 1 de junio de 2026 en cuanto pretenda repetir el acto del 26 de mayo y sustituir adjudicaciones ya realizadas sin resolución formal previa. Subsidiariamente, que se declare expresamente que dicha convocatoria no afecta a mi adjudicación.</w:t>
      </w:r>
    </w:p>
    <w:p>
      <w:pPr>
        <w:pStyle w:val="ListNumber"/>
        <w:spacing w:after="120"/>
      </w:pPr>
      <w:r>
        <w:t>Que, si la Administración considera procedente anular total o parcialmente el acto del 26 de mayo de 2026, se identifique expresamente:</w:t>
      </w:r>
    </w:p>
    <w:p>
      <w:pPr>
        <w:pStyle w:val="ListBullet"/>
        <w:spacing w:after="80"/>
      </w:pPr>
      <w:r>
        <w:t>el defecto esencial de procedimiento apreciado;</w:t>
      </w:r>
    </w:p>
    <w:p>
      <w:pPr>
        <w:pStyle w:val="ListBullet"/>
        <w:spacing w:after="80"/>
      </w:pPr>
      <w:r>
        <w:t>las adjudicaciones concretamente afectadas;</w:t>
      </w:r>
    </w:p>
    <w:p>
      <w:pPr>
        <w:pStyle w:val="ListBullet"/>
        <w:spacing w:after="80"/>
      </w:pPr>
      <w:r>
        <w:t>la razón por la que mi adjudicación resulta afectada;</w:t>
      </w:r>
    </w:p>
    <w:p>
      <w:pPr>
        <w:pStyle w:val="ListBullet"/>
        <w:spacing w:after="80"/>
      </w:pPr>
      <w:r>
        <w:t>la razón por la que no se conserva lo no afectado;</w:t>
      </w:r>
    </w:p>
    <w:p>
      <w:pPr>
        <w:pStyle w:val="ListBullet"/>
        <w:spacing w:after="80"/>
      </w:pPr>
      <w:r>
        <w:t>los efectos sobre las resultas ya generadas;</w:t>
      </w:r>
    </w:p>
    <w:p>
      <w:pPr>
        <w:pStyle w:val="ListBullet"/>
        <w:spacing w:after="80"/>
      </w:pPr>
      <w:r>
        <w:t>el órgano que adopta la decisión;</w:t>
      </w:r>
    </w:p>
    <w:p>
      <w:pPr>
        <w:pStyle w:val="ListBullet"/>
        <w:spacing w:after="80"/>
      </w:pPr>
      <w:r>
        <w:t>y los recursos procedentes, plazo y órgano ante el que interponerlos.</w:t>
      </w:r>
    </w:p>
    <w:p>
      <w:pPr>
        <w:pStyle w:val="ListNumber"/>
        <w:spacing w:after="120"/>
      </w:pPr>
      <w:r>
        <w:t>Que se acredite la notificación formal o publicación oficial de la resolución que, en su caso, pretenda modificar los efectos del acto centralizado del 26 de mayo de 2026.</w:t>
      </w:r>
    </w:p>
    <w:p>
      <w:pPr>
        <w:pStyle w:val="ListNumber"/>
        <w:spacing w:after="120"/>
      </w:pPr>
      <w:r>
        <w:t>Que se confirme expresamente que la asistencia o no asistencia al nuevo acto del 1 de junio de 2026 no supondrá renuncia a mi adjudicación previa, penalización, pérdida de posición en bolsa ni perjuicio alguno.</w:t>
      </w:r>
    </w:p>
    <w:p>
      <w:pPr>
        <w:pStyle w:val="ListNumber"/>
        <w:spacing w:after="120"/>
      </w:pPr>
      <w:r>
        <w:t>Que, dada la inmediatez del acto anunciado para el 1 de junio de 2026, se suspenda cualquier efecto anulador o modificativo sobre mi adjudicación hasta que se dicte y notifique resolución expresa, motivada y recurrible.</w:t>
      </w:r>
    </w:p>
    <w:p>
      <w:r>
        <w:t>En caso de que acuda al acto convocado para el 1 de junio de 2026, solicito que dicha asistencia se entienda realizada bajo expresa reserva de derechos, sin renuncia a la adjudicación realizada a mi favor el 26 de mayo de 2026 ni a las acciones o recursos que pudieran corresponder.</w:t>
      </w:r>
    </w:p>
    <w:p>
      <w:r>
        <w:t>En Zaragoza, a [FECHA].</w:t>
      </w:r>
    </w:p>
    <w:p>
      <w:r>
        <w:t>Atentamente,</w:t>
      </w:r>
    </w:p>
    <w:p>
      <w:r>
        <w:t>[NOMBRE Y APELLIDOS]</w:t>
      </w:r>
    </w:p>
    <w:p>
      <w:r>
        <w:t>Facultativo/a Especialista de Área de [ESPECIALIDAD]</w:t>
      </w:r>
    </w:p>
    <w:p>
      <w:r>
        <w:t>[CENTRO, si procede]</w:t>
      </w:r>
    </w:p>
    <w:p>
      <w:pPr>
        <w:pStyle w:val="Heading2"/>
      </w:pPr>
      <w:r>
        <w:t>Documentación que se acompaña o se cita</w:t>
      </w:r>
    </w:p>
    <w:p>
      <w:pPr>
        <w:pStyle w:val="ListNumber"/>
        <w:spacing w:after="120"/>
      </w:pPr>
      <w:r>
        <w:t>Comunicación relativa al acto centralizado de Bolsa A100 FEAS de 1 de junio de 2026.</w:t>
      </w:r>
    </w:p>
    <w:p>
      <w:pPr>
        <w:pStyle w:val="ListNumber"/>
        <w:spacing w:after="120"/>
      </w:pPr>
      <w:r>
        <w:t>Hoja individual del acto de adjudicación centralizada de 26 de mayo de 2026, si se dispone de ella.</w:t>
      </w:r>
    </w:p>
    <w:p>
      <w:pPr>
        <w:pStyle w:val="ListNumber"/>
        <w:spacing w:after="120"/>
      </w:pPr>
      <w:r>
        <w:t>Listado oficial de adjudicaciones del acto centralizado publicado por el Servicio Aragonés de Salud.</w:t>
      </w:r>
    </w:p>
    <w:p>
      <w:pPr>
        <w:pStyle w:val="ListNumber"/>
        <w:spacing w:after="120"/>
      </w:pPr>
      <w:r>
        <w:t>Relación de plazas ofertadas para el acto centralizado de mayo de 2026.</w:t>
      </w:r>
    </w:p>
    <w:p>
      <w:pPr>
        <w:pStyle w:val="ListNumber"/>
        <w:spacing w:after="120"/>
      </w:pPr>
      <w:r>
        <w:t>Criterios de gestión de las listas de especialistas temporales de octubre de 2022.</w:t>
      </w:r>
    </w:p>
    <w:p>
      <w:pPr>
        <w:pStyle w:val="ListNumber"/>
        <w:spacing w:after="120"/>
      </w:pPr>
      <w:r>
        <w:t>Decreto 37/2011, de 8 de marzo, del Gobierno de Aragón.</w:t>
      </w:r>
    </w:p>
    <w:p>
      <w:pPr>
        <w:pStyle w:val="ListNumber"/>
        <w:spacing w:after="120"/>
      </w:pPr>
      <w:r>
        <w:t>Decreto 34/2018, de 20 de febrero, de modificación del Decreto 37/2011.</w:t>
      </w:r>
    </w:p>
    <w:p>
      <w:pPr>
        <w:pStyle w:val="ListNumber"/>
        <w:spacing w:after="120"/>
      </w:pPr>
      <w:r>
        <w:t>Ley 39/2015, de 1 de octubre, del Procedimiento Administrativo Común de las Administraciones Públicas.</w:t>
      </w:r>
    </w:p>
    <w:p>
      <w:pPr>
        <w:pStyle w:val="ListNumber"/>
        <w:spacing w:after="120"/>
      </w:pPr>
      <w:r>
        <w:t>Documentación oficial sobre el proceso de difícil cobertura y, en su caso, sobre procedimientos de traslados u oposiciones que se invoquen como causa de la repetición.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Escrito de oposición para registro</dc:title>
  <dc:subject/>
  <dc:creator/>
  <cp:keywords/>
  <dc:description/>
  <cp:lastModifiedBy/>
  <cp:revision>1</cp:revision>
  <dcterms:created xsi:type="dcterms:W3CDTF">2013-12-23T23:15:00Z</dcterms:created>
  <dcterms:modified xsi:type="dcterms:W3CDTF">2013-12-23T23:15:00Z</dcterms:modified>
  <cp:category/>
</cp:coreProperties>
</file>