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para presentación de resultados</w:t>
        <w:br/>
        <w:t>Estudio de hiperplasia condilar</w:t>
      </w:r>
    </w:p>
    <w:p>
      <w:pPr>
        <w:jc w:val="center"/>
      </w:pPr>
      <w:r>
        <w:rPr>
          <w:color w:val="475569"/>
          <w:sz w:val="22"/>
        </w:rPr>
        <w:t>Servicio de Cirugía Oral y Maxilofacial</w:t>
        <w:br/>
        <w:t>Hospital Universitario Miguel Servet</w:t>
        <w:br/>
        <w:t>Preparado para Juan Antonio, residente del servicio</w:t>
      </w:r>
    </w:p>
    <w:p/>
    <w:p>
      <w:pPr>
        <w:jc w:val="center"/>
      </w:pPr>
      <w:r>
        <w:rPr>
          <w:b/>
          <w:color w:val="0F766E"/>
        </w:rPr>
        <w:t>Documento editable para presentación interna. No contiene identificadores de paciente ni datos fila a fila.</w:t>
      </w:r>
    </w:p>
    <w:p>
      <w:pPr>
        <w:pStyle w:val="Heading1"/>
      </w:pPr>
      <w:r>
        <w:t>Resumen ejecutivo</w:t>
      </w:r>
    </w:p>
    <w:p>
      <w:r>
        <w:t>Se analizaron 41 registros del estudio. La unidad de análisis se considera un registro paciente/intervención. El análisis es descriptivo y comparativo exploratorio por tipo de abordaje quirúrgico: intraoral frente a preauricular.</w:t>
      </w:r>
    </w:p>
    <w:p>
      <w:r>
        <w:rPr>
          <w:b/>
        </w:rPr>
        <w:t>En sencillo:</w:t>
      </w:r>
      <w:r>
        <w:t xml:space="preserve"> este documento resume los resultados principales para que Juan Antonio pueda presentarlos al servicio. No debe interpretarse como prueba causal, sino como una descripción comparativa de esta muestra.</w:t>
      </w:r>
    </w:p>
    <w:p>
      <w:pPr>
        <w:pStyle w:val="Heading1"/>
      </w:pPr>
      <w:r>
        <w:t>Traducción rápida para presentar</w:t>
      </w:r>
    </w:p>
    <w:p>
      <w:pPr>
        <w:pStyle w:val="ListBullet"/>
      </w:pPr>
      <w:r>
        <w:t>En esta muestra, el abordaje intraoral se comportó mejor en varias variables de carga postoperatoria: menor tiempo quirúrgico, menor sangrado, menos dolor y recuperación algo más rápida.</w:t>
      </w:r>
    </w:p>
    <w:p>
      <w:pPr>
        <w:pStyle w:val="ListBullet"/>
      </w:pPr>
      <w:r>
        <w:t>Las diferencias más claras aparecen en sangrado, cicatriz visible y lesión del nervio facial, siempre a favor del grupo intraoral en estos datos.</w:t>
      </w:r>
    </w:p>
    <w:p>
      <w:pPr>
        <w:pStyle w:val="ListBullet"/>
      </w:pPr>
      <w:r>
        <w:t>El resultado funcional a 6 meses fue bueno en casi todos los casos y no mostró una diferencia relevante entre abordajes.</w:t>
      </w:r>
    </w:p>
    <w:p>
      <w:pPr>
        <w:pStyle w:val="ListBullet"/>
      </w:pPr>
      <w:r>
        <w:t>Las complicaciones fueron más frecuentes en el grupo preauricular, pero la incertidumbre es amplia y el resultado debe presentarse como tendencia exploratoria.</w:t>
      </w:r>
    </w:p>
    <w:p>
      <w:pPr>
        <w:pStyle w:val="ListBullet"/>
      </w:pPr>
      <w:r>
        <w:t>Hay que remarcar que la muestra es pequeña y observacional: los resultados orientan, pero no demuestran causalidad.</w:t>
      </w:r>
    </w:p>
    <w:p>
      <w:r>
        <w:rPr>
          <w:b/>
        </w:rPr>
        <w:t>En una frase:</w:t>
      </w:r>
      <w:r>
        <w:t xml:space="preserve"> en esta serie, el abordaje intraoral parece asociarse con menor carga quirúrgica y postoperatoria, aunque la interpretación debe ser prudente por el tamaño muestral y la naturaleza retrospectiva del estudio.</w:t>
      </w:r>
    </w:p>
    <w:p>
      <w:r>
        <w:br w:type="page"/>
      </w:r>
    </w:p>
    <w:p>
      <w:pPr>
        <w:pStyle w:val="Heading1"/>
      </w:pPr>
      <w:r>
        <w:t>Muestra y calidad de datos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4819"/>
            <w:vAlign w:val="center"/>
            <w:shd w:fill="0F766E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Indicador</w:t>
            </w:r>
          </w:p>
        </w:tc>
        <w:tc>
          <w:tcPr>
            <w:tcW w:type="dxa" w:w="3685"/>
            <w:vAlign w:val="center"/>
            <w:shd w:fill="0F766E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Resultado</w:t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Registros analizados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41</w:t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Columnas auditadas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24</w:t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Columnas con datos ausentes/no interpretables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9</w:t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Valores observados en Sexo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Mujer, Hombre</w:t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Abordaje Intraoral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18</w:t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Abordaje Preauricular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23</w:t>
            </w:r>
          </w:p>
        </w:tc>
      </w:tr>
    </w:tbl>
    <w:p/>
    <w:p>
      <w:pPr>
        <w:pStyle w:val="ListBullet"/>
      </w:pPr>
      <w:r>
        <w:t>La variable Sexo se corrigió por error de creación de la base: M/F se unificaron como Mujer y H como Hombre.</w:t>
      </w:r>
    </w:p>
    <w:p>
      <w:pPr>
        <w:pStyle w:val="ListBullet"/>
      </w:pPr>
      <w:r>
        <w:t>Recidiva contiene valores ?; no se estima una tasa definitiva de recidiva.</w:t>
      </w:r>
    </w:p>
    <w:p>
      <w:pPr>
        <w:pStyle w:val="ListBullet"/>
      </w:pPr>
      <w:r>
        <w:t>Tiempo Recidiva (meses) contiene valores no numéricos y no es analizable como tiempo hasta recodificar.</w:t>
      </w:r>
    </w:p>
    <w:p>
      <w:pPr>
        <w:pStyle w:val="ListBullet"/>
      </w:pPr>
      <w:r>
        <w:t>Oclusión es constante en esta base, por lo que no se contrasta inferencialmente.</w:t>
      </w:r>
    </w:p>
    <w:p>
      <w:pPr>
        <w:pStyle w:val="ListBullet"/>
      </w:pPr>
      <w:r>
        <w:t>Los identificadores de paciente se usaron solo para control interno de duplicados y no se incluyen en este informe.</w:t>
      </w:r>
    </w:p>
    <w:p>
      <w:pPr>
        <w:pStyle w:val="Heading1"/>
      </w:pPr>
      <w:r>
        <w:t>Datos del Excel original que conviene revisar</w:t>
      </w:r>
    </w:p>
    <w:p>
      <w:r>
        <w:t>Esta es la revisión de mayor rendimiento antes de repetir o ampliar el análisis. No implica rehacer todo el Excel, sino corregir las columnas que más limitan la interpretación clínica.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721"/>
            <w:vAlign w:val="center"/>
            <w:shd w:fill="0F766E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 del Excel</w:t>
            </w:r>
          </w:p>
        </w:tc>
        <w:tc>
          <w:tcPr>
            <w:tcW w:type="dxa" w:w="3175"/>
            <w:vAlign w:val="center"/>
            <w:shd w:fill="0F766E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Qué revisar</w:t>
            </w:r>
          </w:p>
        </w:tc>
        <w:tc>
          <w:tcPr>
            <w:tcW w:type="dxa" w:w="3175"/>
            <w:vAlign w:val="center"/>
            <w:shd w:fill="0F766E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Qué valor aportaría</w:t>
            </w:r>
          </w:p>
        </w:tc>
      </w:tr>
      <w:tr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Recidiva (Sí/No)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Sustituir cada ? por Sí, No o Desconocido, usando un criterio clínico único.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Permitirá estimar tasa de recidiva y comparar recidiva por abordaje con denominadores claros.</w:t>
            </w:r>
          </w:p>
        </w:tc>
      </w:tr>
      <w:tr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Tiempo Recidiva (meses)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Dejar valores numéricos solo en pacientes con recidiva confirmada; en no recidiva, registrar seguimiento/censura en una columna separada.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Permitirá analizar tiempo hasta recidiva o, al menos, describir seguimiento mínimo de forma interpretable.</w:t>
            </w:r>
          </w:p>
        </w:tc>
      </w:tr>
      <w:tr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Oclusión (Normal: 1/Alterada:0)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Confirmar si 0 significa normal, alterada o ausencia de alteración. Ahora la columna es constante y no se puede contrastar.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Evitará una conclusión errónea sobre oclusión y permitirá evaluar si hubo diferencias entre abordajes.</w:t>
            </w:r>
          </w:p>
        </w:tc>
      </w:tr>
      <w:tr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Resultado Estético (1-10)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Distinguir no aplica de dato perdido; definir cuándo aplica y quién lo valoró.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Permitirá comparar resultado estético solo en pacientes evaluables y con denominador honesto.</w:t>
            </w:r>
          </w:p>
        </w:tc>
      </w:tr>
      <w:tr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Complicaciones: SI: 1 /NO: 0)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Resolver el registro ausente y confirmar que 1/0 significan siempre sí/no.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Mejorará la comparación de seguridad y evitará excluir registros innecesariamente.</w:t>
            </w:r>
          </w:p>
        </w:tc>
      </w:tr>
      <w:tr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TIPO DE COMPLICACIÓN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Separar explícitamente sin complicación de dato no registrado y normalizar categorías: parálisis, hematoma, dehiscencia, infección, otras.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Permitirá resumir el perfil de complicaciones por abordaje y no solo la variable binaria.</w:t>
            </w:r>
          </w:p>
        </w:tc>
      </w:tr>
      <w:tr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Necesidad de ortognática posteriormente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Resolver valores ? y estandarizar Sí/No.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Permitirá valorar con más precisión la necesidad posterior de cirugía ortognática.</w:t>
            </w:r>
          </w:p>
        </w:tc>
      </w:tr>
      <w:tr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Seguimiento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Añadir si es posible fecha de cirugía, fecha de última revisión y meses de seguimiento.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Aportará contexto temporal a recidiva, resultado funcional y complicaciones tardías.</w:t>
            </w:r>
          </w:p>
        </w:tc>
      </w:tr>
    </w:tbl>
    <w:p/>
    <w:p>
      <w:r>
        <w:rPr>
          <w:b/>
        </w:rPr>
        <w:t>En sencillo:</w:t>
      </w:r>
      <w:r>
        <w:t xml:space="preserve"> si el servicio corrige especialmente recidiva, tiempo de recidiva, oclusión y complicaciones, el análisis ganará valor porque podrá responder preguntas clínicas que ahora solo pueden dejarse como pendientes.</w:t>
      </w:r>
    </w:p>
    <w:p>
      <w:pPr>
        <w:sectPr>
          <w:footerReference w:type="default" r:id="rId9"/>
          <w:pgSz w:w="12240" w:h="15840"/>
          <w:pgMar w:top="964" w:right="1020" w:bottom="964" w:left="1020" w:header="720" w:footer="720" w:gutter="0"/>
          <w:cols w:space="720"/>
          <w:docGrid w:linePitch="360"/>
        </w:sectPr>
      </w:pPr>
    </w:p>
    <w:p>
      <w:pPr>
        <w:pStyle w:val="Heading1"/>
      </w:pPr>
      <w:r>
        <w:t>Resultados comparativos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2"/>
        <w:gridCol w:w="2542"/>
        <w:gridCol w:w="2542"/>
        <w:gridCol w:w="2542"/>
        <w:gridCol w:w="2542"/>
        <w:gridCol w:w="2542"/>
      </w:tblGrid>
      <w:tr>
        <w:tc>
          <w:tcPr>
            <w:tcW w:type="dxa" w:w="2835"/>
            <w:vAlign w:val="center"/>
            <w:shd w:fill="0F766E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Desenlace</w:t>
            </w:r>
          </w:p>
        </w:tc>
        <w:tc>
          <w:tcPr>
            <w:tcW w:type="dxa" w:w="907"/>
            <w:vAlign w:val="center"/>
            <w:shd w:fill="0F766E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N</w:t>
            </w:r>
          </w:p>
        </w:tc>
        <w:tc>
          <w:tcPr>
            <w:tcW w:type="dxa" w:w="1701"/>
            <w:vAlign w:val="center"/>
            <w:shd w:fill="0F766E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Resultado</w:t>
            </w:r>
          </w:p>
        </w:tc>
        <w:tc>
          <w:tcPr>
            <w:tcW w:type="dxa" w:w="2268"/>
            <w:vAlign w:val="center"/>
            <w:shd w:fill="0F766E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Efecto</w:t>
            </w:r>
          </w:p>
        </w:tc>
        <w:tc>
          <w:tcPr>
            <w:tcW w:type="dxa" w:w="1474"/>
            <w:vAlign w:val="center"/>
            <w:shd w:fill="0F766E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Prueba</w:t>
            </w:r>
          </w:p>
        </w:tc>
        <w:tc>
          <w:tcPr>
            <w:tcW w:type="dxa" w:w="794"/>
            <w:vAlign w:val="center"/>
            <w:shd w:fill="0F766E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p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Tiempo Quirúrgico (min)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18 vs 23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Mediana 41.0 vs 60.0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-19.0 (IC95% -33.0 a -7.5)</w:t>
            </w:r>
          </w:p>
        </w:tc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 de Mann-Whitney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&lt;0,001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Sangrado Postop (ml)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18 vs 23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Mediana 0.0 vs 10.0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-10.0 (IC95% -10.0 a -5.0)</w:t>
            </w:r>
          </w:p>
        </w:tc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 de Mann-Whitney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&lt;0,001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Dolor Postoperatorio (0–10)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18 vs 23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Mediana 0.0 vs 3.0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-3.0 (IC95% -4.0 a -1.0)</w:t>
            </w:r>
          </w:p>
        </w:tc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 de Mann-Whitney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0,008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Recuperación Funcional (días)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18 vs 22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Mediana 6.0 vs 7.0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-1.0 (IC95% -2.0 a 0.0)</w:t>
            </w:r>
          </w:p>
        </w:tc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 de Mann-Whitney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0,042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Lesión Nervio Facial (Sí=1/No=0)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18 vs 23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Eventos 0/18 vs 9/23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-39,1 pp (IC95% -59,2 a -4,6 pp)</w:t>
            </w:r>
          </w:p>
        </w:tc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Fisher exacta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0,002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Sangrado postoperatorio &gt;0 ml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18 vs 23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Eventos 0/18 vs 21/23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-91,3 pp (IC95% -97,6 a -55,6 pp)</w:t>
            </w:r>
          </w:p>
        </w:tc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Fisher exacta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&lt;0,001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Cicatriz Visible (Sí: 1/No: 0)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18 vs 23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Eventos 0/18 vs 23/23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-100,0 pp (IC95% -100,0 a -68,1 pp)</w:t>
            </w:r>
          </w:p>
        </w:tc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Fisher exacta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&lt;0,001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Resultado Funcional a 6m (Bueno:1 / Malo:0)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18 vs 23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Eventos 18/18 vs 22/23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4,3 pp (IC95% -16,8 a 21,0 pp)</w:t>
            </w:r>
          </w:p>
        </w:tc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Fisher exacta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1,000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Complicaciones: SI: 1 /NO: 0)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18 vs 22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Eventos 3/18 vs 10/22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-28,8 pp (IC95% -59,5 a 12,3 pp)</w:t>
            </w:r>
          </w:p>
        </w:tc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Fisher exacta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0,090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Necesidad ortognática binaria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18 vs 21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Eventos 15/18 vs 17/21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2,4 pp (IC95% -31,6 a 34,2 pp)</w:t>
            </w:r>
          </w:p>
        </w:tc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Fisher exacta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1,000</w:t>
            </w:r>
          </w:p>
        </w:tc>
      </w:tr>
    </w:tbl>
    <w:p/>
    <w:p>
      <w:pPr>
        <w:sectPr>
          <w:pgSz w:w="16838" w:h="11906" w:orient="landscape"/>
          <w:pgMar w:top="850" w:right="794" w:bottom="850" w:left="794" w:header="720" w:footer="720" w:gutter="0"/>
          <w:cols w:space="720"/>
          <w:docGrid w:linePitch="360"/>
        </w:sectPr>
      </w:pPr>
    </w:p>
    <w:p>
      <w:pPr>
        <w:pStyle w:val="Heading1"/>
      </w:pPr>
      <w:r>
        <w:t>Variables no contrastadas</w:t>
      </w:r>
    </w:p>
    <w:p>
      <w:pPr>
        <w:pStyle w:val="ListBullet"/>
      </w:pPr>
      <w:r>
        <w:t>Resultado Estético numérico: No hay exactamente dos grupos con datos analizables.</w:t>
      </w:r>
    </w:p>
    <w:p>
      <w:pPr>
        <w:pStyle w:val="ListBullet"/>
      </w:pPr>
      <w:r>
        <w:t>Oclusión (Normal: 1/Alterada:0): La variable no tiene dos niveles observados tras excluir perdidos.</w:t>
      </w:r>
    </w:p>
    <w:p>
      <w:pPr>
        <w:pStyle w:val="ListBullet"/>
      </w:pPr>
      <w:r>
        <w:t>Recidiva binaria: La variable no tiene dos niveles observados tras excluir perdidos.</w:t>
      </w:r>
    </w:p>
    <w:p>
      <w:pPr>
        <w:pStyle w:val="ListBullet"/>
      </w:pPr>
      <w:r>
        <w:t>TIPO DE COMPLICACIÓN: Categoría RxC muy dispersa; se informa descriptiva por abordaje sin contraste.</w:t>
      </w:r>
    </w:p>
    <w:p>
      <w:pPr>
        <w:pStyle w:val="Heading1"/>
      </w:pPr>
      <w:r>
        <w:t>Interpretación clínica prudente</w:t>
      </w:r>
    </w:p>
    <w:p>
      <w:r>
        <w:t>En esta muestra, el abordaje intraoral se asoció con menor tiempo quirúrgico, menor sangrado postoperatorio, menor dolor postoperatorio y una recuperación funcional ligeramente más corta que el abordaje preauricular. También se observaron menos lesiones de nervio facial y menos cicatrices visibles en el grupo intraoral.</w:t>
      </w:r>
    </w:p>
    <w:p>
      <w:r>
        <w:rPr>
          <w:b/>
        </w:rPr>
        <w:t>En sencillo:</w:t>
      </w:r>
      <w:r>
        <w:t xml:space="preserve"> los datos favorecen al abordaje intraoral en varios resultados de carga quirúrgica y postoperatoria, pero la muestra es pequeña y observacional.</w:t>
      </w:r>
    </w:p>
    <w:p>
      <w:r>
        <w:t>La cicatriz visible debe interpretarse con especial cautela porque está muy ligada a la propia naturaleza del abordaje. No debe presentarse como efecto causal aislado sin contextualizar la técnica quirúrgica.</w:t>
      </w:r>
    </w:p>
    <w:p>
      <w:pPr>
        <w:pStyle w:val="Heading1"/>
      </w:pPr>
      <w:r>
        <w:t>Métodos estadísticos</w:t>
      </w:r>
    </w:p>
    <w:p>
      <w:pPr>
        <w:pStyle w:val="ListBullet"/>
      </w:pPr>
      <w:r>
        <w:t>Variables cuantitativas u ordinales: mediana, IQR, media y desviación estándar como descriptiva.</w:t>
      </w:r>
    </w:p>
    <w:p>
      <w:pPr>
        <w:pStyle w:val="ListBullet"/>
      </w:pPr>
      <w:r>
        <w:t>Comparaciones cuantitativas entre abordajes: U de Mann-Whitney, correlación rank-biserial y diferencia de medianas con IC95% por bootstrap reproducible.</w:t>
      </w:r>
    </w:p>
    <w:p>
      <w:pPr>
        <w:pStyle w:val="ListBullet"/>
      </w:pPr>
      <w:r>
        <w:t>Variables binarias: prueba exacta de Fisher, diferencia de riesgos con IC95% aproximado Newcombe-Wilson y odds ratio como efecto secundario.</w:t>
      </w:r>
    </w:p>
    <w:p>
      <w:pPr>
        <w:pStyle w:val="ListBullet"/>
      </w:pPr>
      <w:r>
        <w:t>No se imputaron datos perdidos. Los valores ? / no aplica y textos no numéricos se documentaron y se excluyeron del análisis correspondiente.</w:t>
      </w:r>
    </w:p>
    <w:p>
      <w:pPr>
        <w:pStyle w:val="Heading1"/>
      </w:pPr>
      <w:r>
        <w:t>Limitaciones</w:t>
      </w:r>
    </w:p>
    <w:p>
      <w:pPr>
        <w:pStyle w:val="ListBullet"/>
      </w:pPr>
      <w:r>
        <w:t>Muestra pequeña y observacional.</w:t>
      </w:r>
    </w:p>
    <w:p>
      <w:pPr>
        <w:pStyle w:val="ListBullet"/>
      </w:pPr>
      <w:r>
        <w:t>Múltiples comparaciones exploratorias sin endpoint primario predefinido.</w:t>
      </w:r>
    </w:p>
    <w:p>
      <w:pPr>
        <w:pStyle w:val="ListBullet"/>
      </w:pPr>
      <w:r>
        <w:t>Recidiva y tiempo de recidiva pendientes de aclaración.</w:t>
      </w:r>
    </w:p>
    <w:p>
      <w:pPr>
        <w:pStyle w:val="ListBullet"/>
      </w:pPr>
      <w:r>
        <w:t>Algunas asociaciones pueden estar condicionadas por la indicación quirúrgica y la selección de abordaje.</w:t>
      </w:r>
    </w:p>
    <w:sectPr w:rsidR="00FC693F" w:rsidRPr="0006063C" w:rsidSect="00034616"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Informe generado de forma reproducible desde outputs agregados. Editable por el servicio.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766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3415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