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Dossier para rebatir el cartel de CSIF sobre sueldos MIR</w:t>
      </w:r>
    </w:p>
    <w:p>
      <w:pPr>
        <w:jc w:val="center"/>
      </w:pPr>
      <w:r>
        <w:t>Fecha: 6 de mayo de 2026. Documento de trabajo con datos contrastados y cálculos reproducibles.</w:t>
      </w:r>
    </w:p>
    <w:p>
      <w:pPr>
        <w:pStyle w:val="Heading1"/>
      </w:pPr>
      <w:r>
        <w:t>Resumen ejecutivo</w:t>
      </w:r>
    </w:p>
    <w:p>
      <w:pPr/>
      <w:r>
        <w:t>El cartel presenta como sueldo mensual cifras que incluyen guardias. No es una comparación válida con una jornada ordinaria.</w:t>
      </w:r>
    </w:p>
    <w:p>
      <w:pPr/>
      <w:r>
        <w:t>La hipotesis de referencia son 80 horas mensuales de guardia: aproximadamente media jornada ordinaria adicional.</w:t>
      </w:r>
    </w:p>
    <w:p>
      <w:pPr/>
      <w:r>
        <w:t>Con esa carga, el R1 medio mostrado como 2.087 euros netos/mes equivale a unas 242,5 horas mensuales y queda en torno a 8,6 euros netos/hora.</w:t>
      </w:r>
    </w:p>
    <w:p>
      <w:pPr/>
      <w:r>
        <w:t>El anteproyecto reconoce el problema al regular límites de guardias y pedir revisión retributiva para el personal en formación sanitaria especializada.</w:t>
      </w:r>
    </w:p>
    <w:p>
      <w:pPr>
        <w:pStyle w:val="Heading1"/>
      </w:pPr>
      <w:r>
        <w:t>Cifras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24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60"/>
            <w:vAlign w:val="center"/>
            <w:shd w:fill="17324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R1 media</w:t>
            </w:r>
          </w:p>
        </w:tc>
        <w:tc>
          <w:tcPr>
            <w:tcW w:type="dxa" w:w="3360"/>
            <w:vAlign w:val="center"/>
            <w:shd w:fill="17324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R5 media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Bruto mensual sin guardias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1.447 €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1.973 €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Neto mensual cartel/80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2.087 €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2.758 €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Bruto mensual cartel/80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2.806 €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3.929 €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Guardias dentro del bruto total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48.4%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49.8%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Horas mensuales reales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242.5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242.5 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Neto por hora real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8.61 €/h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11.37 €/h</w:t>
            </w:r>
          </w:p>
        </w:tc>
      </w:tr>
    </w:tbl>
    <w:p>
      <w:pPr>
        <w:pStyle w:val="Heading1"/>
      </w:pPr>
      <w:r>
        <w:t>Infografia principal</w:t>
      </w:r>
    </w:p>
    <w:p>
      <w:r>
        <w:drawing>
          <wp:inline xmlns:a="http://schemas.openxmlformats.org/drawingml/2006/main" xmlns:pic="http://schemas.openxmlformats.org/drawingml/2006/picture">
            <wp:extent cx="6217920" cy="7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cartel_vs_realidad_m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Puntos para argumentar</w:t>
      </w:r>
    </w:p>
    <w:p>
      <w:pPr>
        <w:pStyle w:val="ListBullet"/>
      </w:pPr>
      <w:r>
        <w:t>Pedir que cualquier tabla separe sueldo ordinario, guardias, complementos y neto estimado.</w:t>
      </w:r>
    </w:p>
    <w:p>
      <w:pPr>
        <w:pStyle w:val="ListBullet"/>
      </w:pPr>
      <w:r>
        <w:t>Convertir siempre a euros/hora con horas reales: jornada ordinaria mensual + guardias + tiempo formativo no registrado.</w:t>
      </w:r>
    </w:p>
    <w:p>
      <w:pPr>
        <w:pStyle w:val="ListBullet"/>
      </w:pPr>
      <w:r>
        <w:t>Recordar que las guardias son trabajo adicional en tardes/noches/festivos y no una mejora salarial comparable con una nómina ordinaria.</w:t>
      </w:r>
    </w:p>
    <w:p>
      <w:pPr>
        <w:pStyle w:val="ListBullet"/>
      </w:pPr>
      <w:r>
        <w:t>Citar el propio anteproyecto: si limita guardias en residentes y exige revisar retribuciones, no puede venderse la guardia como salario normal.</w:t>
      </w:r>
    </w:p>
    <w:p>
      <w:pPr>
        <w:pStyle w:val="Heading1"/>
      </w:pPr>
      <w:r>
        <w:t>Fuentes</w:t>
      </w:r>
    </w:p>
    <w:p>
      <w:r>
        <w:t>Ministerio de Sanidad - Nuevo Estatuto Marco: https://www.sanidad.gob.es/areas/profesionesSanitarias/nuevoEstatutoMarco.htm</w:t>
      </w:r>
    </w:p>
    <w:p>
      <w:r>
        <w:t>Anteproyecto de Ley Estatuto Marco 08/01/2026: https://www.sanidad.gob.es/areas/profesionesSanitarias/docs/APL_personal_estatutario_08_01_2026.pdf</w:t>
      </w:r>
    </w:p>
    <w:p>
      <w:r>
        <w:t>CESM - Comité de Huelga 08/04/2026: https://www.cesm.org/2026/04/08/el-comite-de-huelga-denuncia-que-el-ministerio-entorpece-la-negociacion-para-esconder-su-incapacidad-para-llegar-a-acuerdos-que-atiendan-las-reivindicaciones-del-colectivo/</w:t>
      </w:r>
    </w:p>
    <w:p>
      <w:r>
        <w:t>CESM - Convocatoria huelga 22/01/2026: https://www.cesm.org/2026/01/22/el-comite-de-huelga-convoca-un-paro-indefinido-a-partir-del-proximo-16-de-febrero-para-conseguir-un-estatuto-medico-y-facultativo/</w:t>
      </w:r>
    </w:p>
    <w:p>
      <w:r>
        <w:t>SATSE - Acuerdo con Sanidad 26/01/2026: https://www.satse.es/notas-prensa/-/v/85301/acuerdo-inicio-tramitacion-estatuto-marco</w:t>
      </w:r>
    </w:p>
    <w:p>
      <w:r>
        <w:t>SIMEG - Retribuciones MIR 2026: https://simeg.org/wp/wp-content/uploads/2026/04/Retribuciones-MIR-2026.pdf</w:t>
      </w:r>
    </w:p>
    <w:p>
      <w:r>
        <w:t>Aragon SALUD - Tablas 2026: https://www.aragon.es/documents/20127/128260043/Tablas_retributivas_personal_estatutario_SALUD_2026.pdf/e527d18c-861e-0a7d-166e-cd07bf2aad77?download=true&amp;t=1771839687505&amp;version=1.0</w:t>
      </w:r>
    </w:p>
    <w:p>
      <w:r>
        <w:t>SAS Andalucia - Retribuciones 2026: https://www.sspa.juntadeandalucia.es/servicioandaluzdesalud/profesionales/guia-laboral/retribuciones</w:t>
      </w:r>
    </w:p>
    <w:p>
      <w:r>
        <w:t>SCS Canarias - Retribuciones 2026: https://www3.gobiernodecanarias.org/sanidad/scs/contenidoGenerico.jsp?idCarpeta=c32fdf85-fc15-11dd-a72f-93771b0e33f6&amp;idDocument=b2540aca-fdab-11dd-b2aa-596c3deb1b4e</w:t>
      </w:r>
    </w:p>
    <w:p>
      <w:r>
        <w:t>SES Extremadura - Tablas 2026: https://www.sindicato-sip.es/wp-content/uploads/2026/02/Tablas-retributivas-2026-SES.pdf</w:t>
      </w:r>
    </w:p>
    <w:p>
      <w:r>
        <w:t>BOCM Madrid - Retribuciones 2026: https://www.bocm.es/boletin/CM_Orden_BOCM/2026/02/09/BOCM-20260209-6.PDF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