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3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3"/>
          <w:shd w:fill="auto" w:val="clear"/>
        </w:rPr>
        <w:t>Результаты инспекции кода на соответствие C# Coding Conventions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Инспекция проводилась в соответствии с общепринятыми стандартами оформления кода C# (Microsoft .NET Coding Conventions) с использованием инструментов анализа (Visual Studio, анализ кода, ручное ревью).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  <w:t>Сводная таблица проверки</w:t>
      </w:r>
    </w:p>
    <w:tbl>
      <w:tblPr>
        <w:tblW w:w="14315" w:type="dxa"/>
        <w:jc w:val="start"/>
        <w:tblInd w:w="-771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4138"/>
        <w:gridCol w:w="1812"/>
        <w:gridCol w:w="8365"/>
      </w:tblGrid>
      <w:tr>
        <w:trPr>
          <w:tblHeader w:val="true"/>
        </w:trPr>
        <w:tc>
          <w:tcPr>
            <w:tcW w:w="41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Правило</w:t>
            </w:r>
          </w:p>
        </w:tc>
        <w:tc>
          <w:tcPr>
            <w:tcW w:w="18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Статус</w:t>
            </w:r>
          </w:p>
        </w:tc>
        <w:tc>
          <w:tcPr>
            <w:tcW w:w="83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Примечание</w:t>
            </w:r>
          </w:p>
        </w:tc>
      </w:tr>
      <w:tr>
        <w:trPr/>
        <w:tc>
          <w:tcPr>
            <w:tcW w:w="41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Именование классов (PascalCase)</w:t>
            </w:r>
          </w:p>
        </w:tc>
        <w:tc>
          <w:tcPr>
            <w:tcW w:w="181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Соответствует</w:t>
            </w:r>
          </w:p>
        </w:tc>
        <w:tc>
          <w:tcPr>
            <w:tcW w:w="836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Transaction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DBService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MainWindow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TransactionsViewModel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StatisticsViewModel</w:t>
            </w:r>
          </w:p>
        </w:tc>
      </w:tr>
      <w:tr>
        <w:trPr/>
        <w:tc>
          <w:tcPr>
            <w:tcW w:w="41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Именование интерфейсов (I + PascalCase)</w:t>
            </w:r>
          </w:p>
        </w:tc>
        <w:tc>
          <w:tcPr>
            <w:tcW w:w="181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Соответствует</w:t>
            </w:r>
          </w:p>
        </w:tc>
        <w:tc>
          <w:tcPr>
            <w:tcW w:w="836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ITransaction</w:t>
            </w:r>
          </w:p>
        </w:tc>
      </w:tr>
      <w:tr>
        <w:trPr/>
        <w:tc>
          <w:tcPr>
            <w:tcW w:w="41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Именование методов (PascalCase)</w:t>
            </w:r>
          </w:p>
        </w:tc>
        <w:tc>
          <w:tcPr>
            <w:tcW w:w="181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Соответствует</w:t>
            </w:r>
          </w:p>
        </w:tc>
        <w:tc>
          <w:tcPr>
            <w:tcW w:w="836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AddTransaction()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UpdateTransaction()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LoadTransactions()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Recalculate()</w:t>
            </w:r>
          </w:p>
        </w:tc>
      </w:tr>
      <w:tr>
        <w:trPr/>
        <w:tc>
          <w:tcPr>
            <w:tcW w:w="41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Именование публичных свойств (PascalCase)</w:t>
            </w:r>
          </w:p>
        </w:tc>
        <w:tc>
          <w:tcPr>
            <w:tcW w:w="181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Соответствует</w:t>
            </w:r>
          </w:p>
        </w:tc>
        <w:tc>
          <w:tcPr>
            <w:tcW w:w="836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Transactions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SelectedTransaction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TotalSum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IncomeSum</w:t>
            </w:r>
          </w:p>
        </w:tc>
      </w:tr>
      <w:tr>
        <w:trPr/>
        <w:tc>
          <w:tcPr>
            <w:tcW w:w="41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Именование приватных полей (_camelCase)</w:t>
            </w:r>
          </w:p>
        </w:tc>
        <w:tc>
          <w:tcPr>
            <w:tcW w:w="181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Частично</w:t>
            </w:r>
          </w:p>
        </w:tc>
        <w:tc>
          <w:tcPr>
            <w:tcW w:w="836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Поля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_transactions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_selectedTransaction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_startDate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– соответствуют. Но в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DBService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поля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docPath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folder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file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– отсутствует нижнее подчёркивание (исправлено в последней версии).</w:t>
            </w:r>
          </w:p>
        </w:tc>
      </w:tr>
      <w:tr>
        <w:trPr/>
        <w:tc>
          <w:tcPr>
            <w:tcW w:w="41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Именование локальных переменных (camelCase)</w:t>
            </w:r>
          </w:p>
        </w:tc>
        <w:tc>
          <w:tcPr>
            <w:tcW w:w="181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Соответствует</w:t>
            </w:r>
          </w:p>
        </w:tc>
        <w:tc>
          <w:tcPr>
            <w:tcW w:w="836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dialog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selected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newtransaction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createQuery</w:t>
            </w:r>
          </w:p>
        </w:tc>
      </w:tr>
      <w:tr>
        <w:trPr/>
        <w:tc>
          <w:tcPr>
            <w:tcW w:w="41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Использование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var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(явный тип когда очевиден)</w:t>
            </w:r>
          </w:p>
        </w:tc>
        <w:tc>
          <w:tcPr>
            <w:tcW w:w="181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Соответствует</w:t>
            </w:r>
          </w:p>
        </w:tc>
        <w:tc>
          <w:tcPr>
            <w:tcW w:w="836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var connection = new SqliteConnection(...)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var dialog = new AddWindow()</w:t>
            </w:r>
          </w:p>
        </w:tc>
      </w:tr>
      <w:tr>
        <w:trPr/>
        <w:tc>
          <w:tcPr>
            <w:tcW w:w="41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Фигурные скобки для всех блоков</w:t>
            </w:r>
          </w:p>
        </w:tc>
        <w:tc>
          <w:tcPr>
            <w:tcW w:w="181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Соответствует</w:t>
            </w:r>
          </w:p>
        </w:tc>
        <w:tc>
          <w:tcPr>
            <w:tcW w:w="836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Все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if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foreach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using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содержат фигурные скобки (даже однострочные)</w:t>
            </w:r>
          </w:p>
        </w:tc>
      </w:tr>
      <w:tr>
        <w:trPr/>
        <w:tc>
          <w:tcPr>
            <w:tcW w:w="41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Модификаторы доступа (явные)</w:t>
            </w:r>
          </w:p>
        </w:tc>
        <w:tc>
          <w:tcPr>
            <w:tcW w:w="181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Соответствует</w:t>
            </w:r>
          </w:p>
        </w:tc>
        <w:tc>
          <w:tcPr>
            <w:tcW w:w="836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Все классы и члены имеют модификаторы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public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private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internal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protected</w:t>
            </w:r>
          </w:p>
        </w:tc>
      </w:tr>
      <w:tr>
        <w:trPr/>
        <w:tc>
          <w:tcPr>
            <w:tcW w:w="41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Использование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this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(необязательно)</w:t>
            </w:r>
          </w:p>
        </w:tc>
        <w:tc>
          <w:tcPr>
            <w:tcW w:w="181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Соответствует</w:t>
            </w:r>
          </w:p>
        </w:tc>
        <w:tc>
          <w:tcPr>
            <w:tcW w:w="836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this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не используется, кроме случаев необходимости (принято в проекте)</w:t>
            </w:r>
          </w:p>
        </w:tc>
      </w:tr>
      <w:tr>
        <w:trPr/>
        <w:tc>
          <w:tcPr>
            <w:tcW w:w="41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Порядок членов класса (поля, конструктор, свойства, методы)</w:t>
            </w:r>
          </w:p>
        </w:tc>
        <w:tc>
          <w:tcPr>
            <w:tcW w:w="181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Соответствует</w:t>
            </w:r>
          </w:p>
        </w:tc>
        <w:tc>
          <w:tcPr>
            <w:tcW w:w="836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В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StatisticsViewModel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и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TransactionsViewModel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соблюдён разумный порядок</w:t>
            </w:r>
          </w:p>
        </w:tc>
      </w:tr>
      <w:tr>
        <w:trPr/>
        <w:tc>
          <w:tcPr>
            <w:tcW w:w="41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Обработка исключений (конкретные типы)</w:t>
            </w:r>
          </w:p>
        </w:tc>
        <w:tc>
          <w:tcPr>
            <w:tcW w:w="181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Соответствует</w:t>
            </w:r>
          </w:p>
        </w:tc>
        <w:tc>
          <w:tcPr>
            <w:tcW w:w="836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catch (SqliteException ex)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и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catch (Exception ex)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– раздельно, с выводом сообщения</w:t>
            </w:r>
          </w:p>
        </w:tc>
      </w:tr>
      <w:tr>
        <w:trPr/>
        <w:tc>
          <w:tcPr>
            <w:tcW w:w="41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Асинхронные методы (суффикс Async)</w:t>
            </w:r>
          </w:p>
        </w:tc>
        <w:tc>
          <w:tcPr>
            <w:tcW w:w="181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Не применимо</w:t>
            </w:r>
          </w:p>
        </w:tc>
        <w:tc>
          <w:tcPr>
            <w:tcW w:w="836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Методы синхронные (работа с БД без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async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), что допустимо для учебного проекта</w:t>
            </w:r>
          </w:p>
        </w:tc>
      </w:tr>
      <w:tr>
        <w:trPr/>
        <w:tc>
          <w:tcPr>
            <w:tcW w:w="41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Комментарии XML для публичных API</w:t>
            </w:r>
          </w:p>
        </w:tc>
        <w:tc>
          <w:tcPr>
            <w:tcW w:w="181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Частично</w:t>
            </w:r>
          </w:p>
        </w:tc>
        <w:tc>
          <w:tcPr>
            <w:tcW w:w="836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Присутствуют в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ITransaction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и отдельных методах. Но в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DBService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и некоторых ViewModel комментарии отсутствуют. Для завершённости следует добавить.</w:t>
            </w:r>
          </w:p>
        </w:tc>
      </w:tr>
      <w:tr>
        <w:trPr/>
        <w:tc>
          <w:tcPr>
            <w:tcW w:w="41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Использование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readonly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для неизменяемых полей</w:t>
            </w:r>
          </w:p>
        </w:tc>
        <w:tc>
          <w:tcPr>
            <w:tcW w:w="181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Частично</w:t>
            </w:r>
          </w:p>
        </w:tc>
        <w:tc>
          <w:tcPr>
            <w:tcW w:w="836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В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DBService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поля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connectionString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tablename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можно пометить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readonly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. В остальных классах – соблюдается.</w:t>
            </w:r>
          </w:p>
        </w:tc>
      </w:tr>
      <w:tr>
        <w:trPr/>
        <w:tc>
          <w:tcPr>
            <w:tcW w:w="41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Отсутствие магических чисел/строк</w:t>
            </w:r>
          </w:p>
        </w:tc>
        <w:tc>
          <w:tcPr>
            <w:tcW w:w="181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Соответствует</w:t>
            </w:r>
          </w:p>
        </w:tc>
        <w:tc>
          <w:tcPr>
            <w:tcW w:w="836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Конфигурационные строки вынесены в константы (имена таблиц, пути)</w:t>
            </w:r>
          </w:p>
        </w:tc>
      </w:tr>
      <w:tr>
        <w:trPr/>
        <w:tc>
          <w:tcPr>
            <w:tcW w:w="41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Nullable контекст (включён)</w:t>
            </w:r>
          </w:p>
        </w:tc>
        <w:tc>
          <w:tcPr>
            <w:tcW w:w="181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Соответствует</w:t>
            </w:r>
          </w:p>
        </w:tc>
        <w:tc>
          <w:tcPr>
            <w:tcW w:w="836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В проекте используется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#nullable enable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 свойства и параметры аннотированы (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string?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Transaction?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)</w:t>
            </w:r>
          </w:p>
        </w:tc>
      </w:tr>
      <w:tr>
        <w:trPr/>
        <w:tc>
          <w:tcPr>
            <w:tcW w:w="41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Инициализация свойств, не допускающих null</w:t>
            </w:r>
          </w:p>
        </w:tc>
        <w:tc>
          <w:tcPr>
            <w:tcW w:w="181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Частично</w:t>
            </w:r>
          </w:p>
        </w:tc>
        <w:tc>
          <w:tcPr>
            <w:tcW w:w="836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В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AddWindow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и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EditWindow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свойство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ResultTransaction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объявлено как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Transaction?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(допускает null) – корректно.</w:t>
            </w:r>
          </w:p>
        </w:tc>
      </w:tr>
      <w:tr>
        <w:trPr/>
        <w:tc>
          <w:tcPr>
            <w:tcW w:w="41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Использование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nameof</w:t>
            </w:r>
          </w:p>
        </w:tc>
        <w:tc>
          <w:tcPr>
            <w:tcW w:w="181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Соответствует</w:t>
            </w:r>
          </w:p>
        </w:tc>
        <w:tc>
          <w:tcPr>
            <w:tcW w:w="836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В вызовах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OnPropertyChanged(nameof(Property))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в некоторых ViewModel</w:t>
            </w:r>
          </w:p>
        </w:tc>
      </w:tr>
      <w:tr>
        <w:trPr/>
        <w:tc>
          <w:tcPr>
            <w:tcW w:w="413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Проверка аргументов на null</w:t>
            </w:r>
          </w:p>
        </w:tc>
        <w:tc>
          <w:tcPr>
            <w:tcW w:w="181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Соответствует</w:t>
            </w:r>
          </w:p>
        </w:tc>
        <w:tc>
          <w:tcPr>
            <w:tcW w:w="836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В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AddTransaction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UpdateTransaction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, </w:t>
            </w:r>
            <w:r>
              <w:rPr>
                <w:rStyle w:val="Style12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0"/>
                <w:shd w:fill="auto" w:val="clear"/>
              </w:rPr>
              <w:t>DeleteTransaction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3"/>
                <w:shd w:fill="auto" w:val="clear"/>
              </w:rPr>
              <w:t> проверки присутствуют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0"/>
          <w:shd w:fill="auto" w:val="clear"/>
        </w:rPr>
        <w:t>Общая оценка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Код в целом соответствует стандартам C# Coding Conventions. Выявленные незначительные отклонения (отсутствие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readonly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для полей, неполная XML-документация) не являются критическими и могут быть устранены при финальной доработке. Рекомендуется: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Добавить XML-комментарии для всех публичных методов и свойств в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DBService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и ViewModel.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Поля, которые не изменяются после инициализации, пометить как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readonly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Привести к единому стилю именование приватных полей (везде использовать 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_camelCase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).</w:t>
      </w:r>
    </w:p>
    <w:p>
      <w:pPr>
        <w:pStyle w:val="BodyText"/>
        <w:widowControl/>
        <w:bidi w:val="0"/>
        <w:spacing w:before="24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Заключение: Проект приемлем для сдачи в рамках учебной практики и соответствует требованиям задания к качеству кода.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highlight w:val="none"/>
          <w:shd w:fill="auto" w:val="clear"/>
        </w:rPr>
      </w:pPr>
      <w:r>
        <w:rPr>
          <w:rFonts w:ascii="Times New Roman" w:hAnsi="Times New Roman"/>
          <w:color w:val="000000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LibreOffice/25.8.5.2$Windows_X86_64 LibreOffice_project/9c8b85f387cc00a89945a79c9e6239f32e450ac2</Application>
  <AppVersion>15.0000</AppVersion>
  <Pages>2</Pages>
  <Words>399</Words>
  <Characters>3174</Characters>
  <CharactersWithSpaces>3503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2026-05-08T06:21:09Z</dcterms:created>
  <dc:creator/>
  <dc:description/>
  <dc:language>ru-RU</dc:language>
  <cp:lastModifiedBy/>
  <dcterms:modified xsi:type="dcterms:W3CDTF">2026-05-08T06:22:40Z</dcterms:modified>
  <cp:revision>1</cp:revision>
  <dc:subject/>
  <dc:title/>
</cp:coreProperties>
</file>