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xoxavhs7gqj" w:id="0"/>
      <w:bookmarkEnd w:id="0"/>
      <w:r w:rsidDel="00000000" w:rsidR="00000000" w:rsidRPr="00000000">
        <w:rPr>
          <w:rFonts w:ascii="Times New Roman" w:cs="Times New Roman" w:eastAsia="Times New Roman" w:hAnsi="Times New Roman"/>
          <w:b w:val="1"/>
          <w:bCs w:val="1"/>
          <w:color w:val="000000"/>
          <w:sz w:val="26"/>
          <w:szCs w:val="26"/>
          <w:rtl w:val="0"/>
        </w:rPr>
        <w:t xml:space="preserve">Why Africa’s Creative Economy Evidence Matters for South Sudan</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 Sudan faces a complex convergence of challenges: a predominantly young population, limited formal employment opportunities, fragile institutions, and deep social fractures resulting from prolonged conflict. Yet across communities, cultural expression, through music, storytelling, sport, fashion, and other creative practices, continues to function as a vital source of identity, resilience, and informal livelihood. Despite this, culture and the creative economy remain largely absent from development planning, investment frameworks, and recovery strategies.</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within this context that UNESCO’s </w:t>
      </w:r>
      <w:r w:rsidDel="00000000" w:rsidR="00000000" w:rsidRPr="00000000">
        <w:rPr>
          <w:rFonts w:ascii="Times New Roman" w:cs="Times New Roman" w:eastAsia="Times New Roman" w:hAnsi="Times New Roman"/>
          <w:i w:val="1"/>
          <w:iCs w:val="1"/>
          <w:rtl w:val="0"/>
        </w:rPr>
        <w:t xml:space="preserve">Re|Shaping Policies for Creativity: Africa Update (2022–2025)</w:t>
      </w:r>
      <w:r w:rsidDel="00000000" w:rsidR="00000000" w:rsidRPr="00000000">
        <w:rPr>
          <w:rFonts w:ascii="Times New Roman" w:cs="Times New Roman" w:eastAsia="Times New Roman" w:hAnsi="Times New Roman"/>
          <w:rtl w:val="0"/>
        </w:rPr>
        <w:t xml:space="preserve"> becomes particularly relevant for South Sudan. The report provides continent-wide evidence that cultural and creative industries (CCIs) are already generating employment, sustaining livelihoods, and strengthening social cohesion, especially among young people, often in the absence of strong formal markets.</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Africa Update identifies film, music, publishing, and fashion as key creative sectors with strong employment potential. Across Africa, these sectors are predominantly informal, decentralised, and driven by small-scale producers. Music, in particular, emerges as a low-barrier sector closely linked to community life and collective memory. For South Sudan, where music has long played a role in reconciliation, oral history, and social connection, recognising music and related creative practices as economic activity is a critical starting point for broader creative economy development.</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report also underscores the importance of aligning national frameworks with the 2005 Convention on the Protection and Promotion of the Diversity of Cultural Expressions, particularly to ensure fair remuneration for creators and more equitable participation in the digital economy. Weak governance and limited regulatory capacity continue to undermine artists’ livelihoods across Africa, challenges that are even more pronounced in post-conflict settings such as South Sudan.</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 Africa Update highlights the value of gender-responsive approaches, citing targeted initiatives that expand access for women cultural managers, artists, and filmmakers. Comparable barriers affect women in South Sudan’s creative sectors, reinforcing the need for intentional, inclusive programme design.</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Ghines Foundation, we use this continental evidence to inform locally grounded action in South Sudan. Our work aligns with priorities articulated by UNCTAD and UNDP, positioning culture and the creative economy as essential to youth livelihoods, social healing, and inclusive recovery.</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Read the full report</w:t>
      </w:r>
      <w:hyperlink r:id="rId6">
        <w:r w:rsidDel="00000000" w:rsidR="00000000" w:rsidRPr="00000000">
          <w:rPr>
            <w:rFonts w:ascii="Times New Roman" w:cs="Times New Roman" w:eastAsia="Times New Roman" w:hAnsi="Times New Roman"/>
            <w:b w:val="1"/>
            <w:bCs w:val="1"/>
            <w:color w:val="1155cc"/>
            <w:u w:val="single"/>
            <w:rtl w:val="0"/>
          </w:rPr>
          <w:t xml:space="preserve"> HERE. </w:t>
        </w:r>
      </w:hyperlink>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Our Partners</w:t>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Save Africa Now (SAN)</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Africa Now (SAN) is a non-profit organisation based in the United States and Greece, working to support vulnerable children and communities in East Africa. Founded by Vasiliki Kouka, SAN is grounded in long-term engagement, community relationships, and a commitment to dignity-driven development. SAN works across nutrition, health, education, protection, and child wellbeing, integrating essential services with psychosocial, cultural, and community-based approaches. Its work prioritises sustainable, locally grounded solutions that strengthen families and community structures rather than short-term interventions. </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ultureactioneurope.org/wp-content/uploads/2022/02/380475en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