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</w:t>
      </w:r>
      <w:r>
        <w:t xml:space="preserve"> </w:t>
      </w:r>
      <w:r>
        <w:t xml:space="preserve">Documentation:</w:t>
      </w:r>
      <w:r>
        <w:t xml:space="preserve"> </w:t>
      </w:r>
      <w:r>
        <w:t xml:space="preserve">Fed</w:t>
      </w:r>
      <w:r>
        <w:t xml:space="preserve"> </w:t>
      </w:r>
      <w:r>
        <w:t xml:space="preserve">Funds</w:t>
      </w:r>
      <w:r>
        <w:t xml:space="preserve"> </w:t>
      </w:r>
      <w:r>
        <w:t xml:space="preserve">Fixed–Float</w:t>
      </w:r>
      <w:r>
        <w:t xml:space="preserve"> </w:t>
      </w:r>
      <w:r>
        <w:t xml:space="preserve">Swap</w:t>
      </w:r>
      <w:r>
        <w:t xml:space="preserve"> </w:t>
      </w:r>
      <w:r>
        <w:t xml:space="preserve">Pricer</w:t>
      </w:r>
    </w:p>
    <w:p>
      <w:pPr>
        <w:pStyle w:val="Subtitle"/>
      </w:pPr>
      <w:r>
        <w:t xml:space="preserve">USD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Swap</w:t>
      </w:r>
      <w:r>
        <w:t xml:space="preserve"> </w:t>
      </w:r>
      <w:r>
        <w:t xml:space="preserve">Daily</w:t>
      </w:r>
      <w:r>
        <w:t xml:space="preserve"> </w:t>
      </w:r>
      <w:r>
        <w:t xml:space="preserve">Mark-to-Market</w:t>
      </w:r>
      <w:r>
        <w:t xml:space="preserve"> </w:t>
      </w:r>
      <w:r>
        <w:t xml:space="preserve">Valuation</w:t>
      </w:r>
      <w:r>
        <w:t xml:space="preserve"> </w:t>
      </w:r>
      <w:r>
        <w:t xml:space="preserve">Model</w:t>
      </w:r>
    </w:p>
    <w:p>
      <w:pPr>
        <w:pStyle w:val="Date"/>
      </w:pPr>
      <w:r>
        <w:t xml:space="preserve">Valuation</w:t>
      </w:r>
      <w:r>
        <w:t xml:space="preserve"> </w:t>
      </w:r>
      <w:r>
        <w:t xml:space="preserve">Model</w:t>
      </w:r>
      <w:r>
        <w:t xml:space="preserve"> </w:t>
      </w:r>
      <w:r>
        <w:t xml:space="preserve">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able-of-contents"/>
    <w:p>
      <w:pPr>
        <w:pStyle w:val="Heading1"/>
      </w:pPr>
      <w:r>
        <w:t xml:space="preserve">1. Table of Contents</w:t>
      </w:r>
    </w:p>
    <w:p>
      <w:pPr>
        <w:pStyle w:val="FirstParagraph"/>
      </w:pPr>
      <w:r>
        <w:rPr>
          <w:iCs/>
          <w:i/>
        </w:rPr>
        <w:t xml:space="preserve">The table of contents is generated automatically by the document</w:t>
      </w:r>
      <w:r>
        <w:rPr>
          <w:iCs/>
          <w:i/>
        </w:rPr>
        <w:t xml:space="preserve"> </w:t>
      </w:r>
      <w:r>
        <w:rPr>
          <w:iCs/>
          <w:i/>
        </w:rPr>
        <w:t xml:space="preserve">converter (Pandoc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--toc</w:t>
      </w:r>
      <w:r>
        <w:rPr>
          <w:iCs/>
          <w:i/>
        </w:rPr>
        <w:t xml:space="preserve">) and appears here in the Word version. It is</w:t>
      </w:r>
      <w:r>
        <w:rPr>
          <w:iCs/>
          <w:i/>
        </w:rPr>
        <w:t xml:space="preserve"> </w:t>
      </w:r>
      <w:r>
        <w:rPr>
          <w:iCs/>
          <w:i/>
        </w:rPr>
        <w:t xml:space="preserve">kept in sync with the numbered section headings below.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2. Executive Summary</w:t>
      </w:r>
    </w:p>
    <w:p>
      <w:pPr>
        <w:pStyle w:val="FirstParagraph"/>
      </w:pPr>
      <w:r>
        <w:t xml:space="preserve">This document describes the</w:t>
      </w:r>
      <w:r>
        <w:t xml:space="preserve"> </w:t>
      </w:r>
      <w:r>
        <w:rPr>
          <w:bCs/>
          <w:b/>
        </w:rPr>
        <w:t xml:space="preserve">Fed Funds Fixed–Float Swap Pricer</w:t>
      </w:r>
      <w:r>
        <w:t xml:space="preserve">, a daily</w:t>
      </w:r>
      <w:r>
        <w:t xml:space="preserve"> </w:t>
      </w:r>
      <w:r>
        <w:t xml:space="preserve">mark-to-market (MTM) valuation model for a portfolio of approximately thirty</w:t>
      </w:r>
      <w:r>
        <w:t xml:space="preserve"> </w:t>
      </w:r>
      <w:r>
        <w:t xml:space="preserve">USD interest rate swaps in which the firm pays or receives a fixed coupon</w:t>
      </w:r>
      <w:r>
        <w:t xml:space="preserve"> </w:t>
      </w:r>
      <w:r>
        <w:t xml:space="preserve">against a floating leg referencing the Effective Federal Funds Rate (EFFR),</w:t>
      </w:r>
      <w:r>
        <w:t xml:space="preserve"> </w:t>
      </w:r>
      <w:r>
        <w:t xml:space="preserve">compounded daily in arrears.</w:t>
      </w:r>
    </w:p>
    <w:p>
      <w:pPr>
        <w:pStyle w:val="BodyText"/>
      </w:pPr>
      <w:r>
        <w:t xml:space="preserve">The model produces, for each trade and for each valuation date, the swap’s</w:t>
      </w:r>
      <w:r>
        <w:t xml:space="preserve"> </w:t>
      </w:r>
      <w:r>
        <w:rPr>
          <w:bCs/>
          <w:b/>
        </w:rPr>
        <w:t xml:space="preserve">clean value, accrued interest, dirty value (net present value,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NPV</w:t>
      </w:r>
      <w:r>
        <w:rPr>
          <w:bCs/>
          <w:b/>
        </w:rPr>
        <w:t xml:space="preserve">”</w:t>
      </w:r>
      <w:r>
        <w:rPr>
          <w:bCs/>
          <w:b/>
        </w:rP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DV01</w:t>
      </w:r>
      <w:r>
        <w:t xml:space="preserve"> </w:t>
      </w:r>
      <w:r>
        <w:t xml:space="preserve">(the sensitivity of value to a one-basis-point parallel shift in</w:t>
      </w:r>
      <w:r>
        <w:t xml:space="preserve"> </w:t>
      </w:r>
      <w:r>
        <w:t xml:space="preserve">interest rates), together with full supporting cash-flow detail. Valuation uses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dual-curve</w:t>
      </w:r>
      <w:r>
        <w:t xml:space="preserve"> </w:t>
      </w:r>
      <w:r>
        <w:t xml:space="preserve">framework: a SOFR Overnight Index Swap (OIS) zero curve is used</w:t>
      </w:r>
      <w:r>
        <w:t xml:space="preserve"> </w:t>
      </w:r>
      <w:r>
        <w:t xml:space="preserve">for discounting, while a separate Fed Funds zero curve is used to project future</w:t>
      </w:r>
      <w:r>
        <w:t xml:space="preserve"> </w:t>
      </w:r>
      <w:r>
        <w:t xml:space="preserve">floating-rate fixings. Where a swap is designated as a hedge of a fixed-rate</w:t>
      </w:r>
      <w:r>
        <w:t xml:space="preserve"> </w:t>
      </w:r>
      <w:r>
        <w:t xml:space="preserve">debt instrument, the model also values that underlying debt in-process and</w:t>
      </w:r>
      <w:r>
        <w:t xml:space="preserve"> </w:t>
      </w:r>
      <w:r>
        <w:t xml:space="preserve">reports its mark-to-market.</w:t>
      </w:r>
    </w:p>
    <w:p>
      <w:pPr>
        <w:pStyle w:val="BodyText"/>
      </w:pPr>
      <w:r>
        <w:t xml:space="preserve">The model’s outputs feed two production deliverables — the</w:t>
      </w:r>
      <w:r>
        <w:t xml:space="preserve"> </w:t>
      </w:r>
      <w:r>
        <w:rPr>
          <w:bCs/>
          <w:b/>
        </w:rPr>
        <w:t xml:space="preserve">IRS Valuation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IRS Netting</w:t>
      </w:r>
      <w:r>
        <w:t xml:space="preserve"> </w:t>
      </w:r>
      <w:r>
        <w:t xml:space="preserve">feeds — in the precise column format required by the downstream</w:t>
      </w:r>
      <w:r>
        <w:t xml:space="preserve"> </w:t>
      </w:r>
      <w:r>
        <w:t xml:space="preserve">accounting and reporting process. Modeling conventions (day counts, business-day</w:t>
      </w:r>
      <w:r>
        <w:t xml:space="preserve"> </w:t>
      </w:r>
      <w:r>
        <w:t xml:space="preserve">adjustments, schedule generation, compounding, and accrual) are configured</w:t>
      </w:r>
      <w:r>
        <w:t xml:space="preserve"> </w:t>
      </w:r>
      <w:r>
        <w:t xml:space="preserve">per-leg to mirror Bloomberg SWPM, and valuation results reconcile to Bloomberg</w:t>
      </w:r>
      <w:r>
        <w:t xml:space="preserve"> </w:t>
      </w:r>
      <w:r>
        <w:t xml:space="preserve">and to Chatham Financial benchmarks.</w:t>
      </w:r>
    </w:p>
    <w:p>
      <w:pPr>
        <w:pStyle w:val="BodyText"/>
      </w:pPr>
      <w:r>
        <w:t xml:space="preserve">The model is implemented in Python and is designed for daily production use, with</w:t>
      </w:r>
      <w:r>
        <w:t xml:space="preserve"> </w:t>
      </w:r>
      <w:r>
        <w:t xml:space="preserve">a full audit trail (run manifest, input hashing, and per-trade error capture) and</w:t>
      </w:r>
      <w:r>
        <w:t xml:space="preserve"> </w:t>
      </w:r>
      <w:r>
        <w:t xml:space="preserve">a regression (</w:t>
      </w:r>
      <w:r>
        <w:t xml:space="preserve">“</w:t>
      </w:r>
      <w:r>
        <w:t xml:space="preserve">golden-master</w:t>
      </w:r>
      <w:r>
        <w:t xml:space="preserve">”</w:t>
      </w:r>
      <w:r>
        <w:t xml:space="preserve">) test harness to detect unintended changes in</w:t>
      </w:r>
      <w:r>
        <w:t xml:space="preserve"> </w:t>
      </w:r>
      <w:r>
        <w:t xml:space="preserve">valuation behavior.</w:t>
      </w:r>
    </w:p>
    <w:p>
      <w:r>
        <w:pict>
          <v:rect style="width:0;height:1.5pt" o:hralign="center" o:hrstd="t" o:hr="t"/>
        </w:pict>
      </w:r>
    </w:p>
    <w:bookmarkEnd w:id="21"/>
    <w:bookmarkStart w:id="25" w:name="introduction"/>
    <w:p>
      <w:pPr>
        <w:pStyle w:val="Heading1"/>
      </w:pPr>
      <w:r>
        <w:t xml:space="preserve">3. Introduction</w:t>
      </w:r>
    </w:p>
    <w:bookmarkStart w:id="22" w:name="purpose"/>
    <w:p>
      <w:pPr>
        <w:pStyle w:val="Heading2"/>
      </w:pPr>
      <w:r>
        <w:t xml:space="preserve">3.1 Purpose</w:t>
      </w:r>
    </w:p>
    <w:p>
      <w:pPr>
        <w:pStyle w:val="FirstParagraph"/>
      </w:pPr>
      <w:r>
        <w:t xml:space="preserve">The model exists to produce a daily, defensible mark-to-market valuation of the</w:t>
      </w:r>
      <w:r>
        <w:t xml:space="preserve"> </w:t>
      </w:r>
      <w:r>
        <w:t xml:space="preserve">firm’s portfolio of USD fixed-versus-floating interest rate swaps, for accounting</w:t>
      </w:r>
      <w:r>
        <w:t xml:space="preserve"> </w:t>
      </w:r>
      <w:r>
        <w:t xml:space="preserve">and risk-reporting purposes. It replaces and consolidates manual or</w:t>
      </w:r>
      <w:r>
        <w:t xml:space="preserve"> </w:t>
      </w:r>
      <w:r>
        <w:t xml:space="preserve">spreadsheet-based valuation steps with a single, reproducible, version-controlled</w:t>
      </w:r>
      <w:r>
        <w:t xml:space="preserve"> </w:t>
      </w:r>
      <w:r>
        <w:t xml:space="preserve">calculation engine.</w:t>
      </w:r>
    </w:p>
    <w:bookmarkEnd w:id="22"/>
    <w:bookmarkStart w:id="23" w:name="scope"/>
    <w:p>
      <w:pPr>
        <w:pStyle w:val="Heading2"/>
      </w:pPr>
      <w:r>
        <w:t xml:space="preserve">3.2 Scope</w:t>
      </w:r>
    </w:p>
    <w:p>
      <w:pPr>
        <w:pStyle w:val="FirstParagraph"/>
      </w:pPr>
      <w:r>
        <w:t xml:space="preserve">The model covers:</w:t>
      </w:r>
    </w:p>
    <w:p>
      <w:pPr>
        <w:numPr>
          <w:ilvl w:val="0"/>
          <w:numId w:val="1001"/>
        </w:numPr>
        <w:pStyle w:val="Compact"/>
      </w:pPr>
      <w:r>
        <w:t xml:space="preserve">USD single-currency fixed-vs-float interest rate swaps.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floating leg</w:t>
      </w:r>
      <w:r>
        <w:t xml:space="preserve"> </w:t>
      </w:r>
      <w:r>
        <w:t xml:space="preserve">referencing EFFR (overnight Fed Funds), with daily fixings</w:t>
      </w:r>
      <w:r>
        <w:t xml:space="preserve"> </w:t>
      </w:r>
      <w:r>
        <w:t xml:space="preserve">compounded in arrears over each accrual period.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fixed leg</w:t>
      </w:r>
      <w:r>
        <w:t xml:space="preserve"> </w:t>
      </w:r>
      <w:r>
        <w:t xml:space="preserve">with per-trade payment frequency and day-count convention.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Dual-curve valuation:</w:t>
      </w:r>
      <w:r>
        <w:t xml:space="preserve"> </w:t>
      </w:r>
      <w:r>
        <w:t xml:space="preserve">SOFR OIS discounting with Fed Funds projection.</w:t>
      </w:r>
    </w:p>
    <w:p>
      <w:pPr>
        <w:numPr>
          <w:ilvl w:val="0"/>
          <w:numId w:val="1001"/>
        </w:numPr>
        <w:pStyle w:val="Compact"/>
      </w:pPr>
      <w:r>
        <w:t xml:space="preserve">Per-trade computation of clean / accrued / dirty value, DV01, par rate, and</w:t>
      </w:r>
      <w:r>
        <w:t xml:space="preserve"> </w:t>
      </w:r>
      <w:r>
        <w:t xml:space="preserve">per-leg present values.</w:t>
      </w:r>
    </w:p>
    <w:p>
      <w:pPr>
        <w:numPr>
          <w:ilvl w:val="0"/>
          <w:numId w:val="1001"/>
        </w:numPr>
        <w:pStyle w:val="Compact"/>
      </w:pPr>
      <w:r>
        <w:t xml:space="preserve">In-process valuation of hedged fixed-rate</w:t>
      </w:r>
      <w:r>
        <w:t xml:space="preserve"> </w:t>
      </w:r>
      <w:r>
        <w:rPr>
          <w:bCs/>
          <w:b/>
        </w:rPr>
        <w:t xml:space="preserve">debt</w:t>
      </w:r>
      <w:r>
        <w:t xml:space="preserve"> </w:t>
      </w:r>
      <w:r>
        <w:t xml:space="preserve">for trades flagged as long</w:t>
      </w:r>
      <w:r>
        <w:t xml:space="preserve"> </w:t>
      </w:r>
      <w:r>
        <w:t xml:space="preserve">hedges, used to report Hedged Debt MTM.</w:t>
      </w:r>
    </w:p>
    <w:p>
      <w:pPr>
        <w:numPr>
          <w:ilvl w:val="0"/>
          <w:numId w:val="1001"/>
        </w:numPr>
        <w:pStyle w:val="Compact"/>
      </w:pPr>
      <w:r>
        <w:t xml:space="preserve">Production output in the</w:t>
      </w:r>
      <w:r>
        <w:t xml:space="preserve"> </w:t>
      </w:r>
      <w:r>
        <w:rPr>
          <w:bCs/>
          <w:b/>
        </w:rPr>
        <w:t xml:space="preserve">IRS Valuation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IRS Netting</w:t>
      </w:r>
      <w:r>
        <w:t xml:space="preserve"> </w:t>
      </w:r>
      <w:r>
        <w:t xml:space="preserve">feed formats,</w:t>
      </w:r>
      <w:r>
        <w:t xml:space="preserve"> </w:t>
      </w:r>
      <w:r>
        <w:t xml:space="preserve">plus optional debug and reconciliation artifacts.</w:t>
      </w:r>
    </w:p>
    <w:p>
      <w:pPr>
        <w:pStyle w:val="FirstParagraph"/>
      </w:pPr>
      <w:r>
        <w:t xml:space="preserve">The model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cover: non-USD or cross-currency swaps; basis swaps;</w:t>
      </w:r>
      <w:r>
        <w:t xml:space="preserve"> </w:t>
      </w:r>
      <w:r>
        <w:t xml:space="preserve">optionality (caps, floors, swaptions); credit valuation adjustments (CVA/DVA/FVA);</w:t>
      </w:r>
      <w:r>
        <w:t xml:space="preserve"> </w:t>
      </w:r>
      <w:r>
        <w:t xml:space="preserve">or curve construction/bootstrapping (zero curves are supplied as inputs, not</w:t>
      </w:r>
      <w:r>
        <w:t xml:space="preserve"> </w:t>
      </w:r>
      <w:r>
        <w:t xml:space="preserve">solved by this model).</w:t>
      </w:r>
    </w:p>
    <w:bookmarkEnd w:id="23"/>
    <w:bookmarkStart w:id="24" w:name="intended-use-and-users"/>
    <w:p>
      <w:pPr>
        <w:pStyle w:val="Heading2"/>
      </w:pPr>
      <w:r>
        <w:t xml:space="preserve">3.3 Intended Use and Users</w:t>
      </w:r>
    </w:p>
    <w:p>
      <w:pPr>
        <w:pStyle w:val="FirstParagraph"/>
      </w:pPr>
      <w:r>
        <w:t xml:space="preserve">The model is intended for daily production valuation runs and for ad-hoc</w:t>
      </w:r>
      <w:r>
        <w:t xml:space="preserve"> </w:t>
      </w:r>
      <w:r>
        <w:t xml:space="preserve">reconciliation and analysis. Primary users are the valuation, accounting, and</w:t>
      </w:r>
      <w:r>
        <w:t xml:space="preserve"> </w:t>
      </w:r>
      <w:r>
        <w:t xml:space="preserve">risk functions that consume the production feeds and the supporting cash-flow</w:t>
      </w:r>
      <w:r>
        <w:t xml:space="preserve"> </w:t>
      </w:r>
      <w:r>
        <w:t xml:space="preserve">detail.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model-theory"/>
    <w:p>
      <w:pPr>
        <w:pStyle w:val="Heading1"/>
      </w:pPr>
      <w:r>
        <w:t xml:space="preserve">4. Model Theory</w:t>
      </w:r>
    </w:p>
    <w:bookmarkStart w:id="26" w:name="model-output"/>
    <w:p>
      <w:pPr>
        <w:pStyle w:val="Heading2"/>
      </w:pPr>
      <w:r>
        <w:t xml:space="preserve">4.1 Model Output</w:t>
      </w:r>
    </w:p>
    <w:p>
      <w:pPr>
        <w:pStyle w:val="FirstParagraph"/>
      </w:pPr>
      <w:r>
        <w:t xml:space="preserve">For each trade and valuation date</w:t>
      </w:r>
      <w:r>
        <w:t xml:space="preserve"> </w:t>
      </w:r>
      <m:oMath>
        <m:sSub>
          <m:e>
            <m:r>
              <m:t>t</m:t>
            </m:r>
          </m:e>
          <m:sub>
            <m:r>
              <m:t>v</m:t>
            </m:r>
          </m:sub>
        </m:sSub>
      </m:oMath>
      <w:r>
        <w:t xml:space="preserve">, the model computes the following primary</w:t>
      </w:r>
      <w:r>
        <w:t xml:space="preserve"> </w:t>
      </w:r>
      <w:r>
        <w:t xml:space="preserve">outputs: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 value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e</m:t>
                  </m:r>
                  <m:r>
                    <m:t>a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Mark-to-market value excluding accrued interest.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Accrued interest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Interest accumulated in the current period(s) but not yet paid, netted across legs.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Dirty value / NPV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r</m:t>
                  </m:r>
                  <m:r>
                    <m:t>t</m:t>
                  </m:r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Present value of all remaining cash flows; the swap’s full mark-to-market.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DV01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Change in value for a +1bp parallel shift of the rate environment.</w:t>
            </w:r>
          </w:p>
        </w:tc>
      </w:tr>
    </w:tbl>
    <w:p>
      <w:pPr>
        <w:pStyle w:val="BodyText"/>
      </w:pPr>
      <w:r>
        <w:t xml:space="preserve">These satisfy the identity, exactly, at every valuation date: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r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l</m:t>
              </m:r>
              <m:r>
                <m:t>e</m:t>
              </m:r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positive dirty value denotes a net asset (the firm is owed value); a negative</w:t>
      </w:r>
      <w:r>
        <w:t xml:space="preserve"> </w:t>
      </w:r>
      <w:r>
        <w:t xml:space="preserve">dirty value denotes a net liability.</w:t>
      </w:r>
    </w:p>
    <w:p>
      <w:pPr>
        <w:pStyle w:val="BodyText"/>
      </w:pPr>
      <w:r>
        <w:t xml:space="preserve">The model also reports the following secondary/analytical outputs:</w:t>
      </w:r>
    </w:p>
    <w:p>
      <w:pPr>
        <w:numPr>
          <w:ilvl w:val="0"/>
          <w:numId w:val="1002"/>
        </w:numPr>
        <w:pStyle w:val="Compact"/>
      </w:pPr>
      <m:oMath>
        <m:r>
          <m:t>P</m:t>
        </m:r>
        <m:sSub>
          <m:e>
            <m:r>
              <m:t>V</m:t>
            </m:r>
          </m:e>
          <m:sub>
            <m:r>
              <m:t>f</m:t>
            </m:r>
            <m:r>
              <m:t>i</m:t>
            </m:r>
            <m:r>
              <m:t>x</m:t>
            </m:r>
            <m:r>
              <m:t>e</m:t>
            </m:r>
            <m:r>
              <m:t>d</m:t>
            </m:r>
          </m:sub>
        </m:sSub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P</m:t>
        </m:r>
        <m:sSub>
          <m:e>
            <m:r>
              <m:t>V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  <m:r>
              <m:t>i</m:t>
            </m:r>
            <m:r>
              <m:t>n</m:t>
            </m:r>
            <m:r>
              <m:t>g</m:t>
            </m:r>
          </m:sub>
        </m:sSub>
      </m:oMath>
      <w:r>
        <w:t xml:space="preserve"> </w:t>
      </w:r>
      <w:r>
        <w:t xml:space="preserve">— the present value of each leg individually,</w:t>
      </w:r>
      <w:r>
        <w:t xml:space="preserve"> </w:t>
      </w:r>
      <w:r>
        <w:t xml:space="preserve">before netting.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 rate</w:t>
      </w:r>
      <w:r>
        <w:t xml:space="preserve"> </w:t>
      </w:r>
      <w:r>
        <w:t xml:space="preserve">— the fixed rate that would set the swap’s NPV to zero under</w:t>
      </w:r>
      <w:r>
        <w:t xml:space="preserve"> </w:t>
      </w:r>
      <w:r>
        <w:t xml:space="preserve">current market conditions.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Rate difference (bp)</w:t>
      </w:r>
      <w:r>
        <w:t xml:space="preserve"> </w:t>
      </w:r>
      <w:r>
        <w:t xml:space="preserve">— the contract fixed rate less the par rate, in basis</w:t>
      </w:r>
      <w:r>
        <w:t xml:space="preserve"> </w:t>
      </w:r>
      <w:r>
        <w:t xml:space="preserve">points.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Hedged Debt MTM</w:t>
      </w:r>
      <w:r>
        <w:t xml:space="preserve"> </w:t>
      </w:r>
      <w:r>
        <w:t xml:space="preserve">— for hedge trades, the mark-to-market of the underlying</w:t>
      </w:r>
      <w:r>
        <w:t xml:space="preserve"> </w:t>
      </w:r>
      <w:r>
        <w:t xml:space="preserve">debt (see Section 4.2.6).</w:t>
      </w:r>
    </w:p>
    <w:p>
      <w:pPr>
        <w:pStyle w:val="FirstParagraph"/>
      </w:pPr>
      <w:r>
        <w:t xml:space="preserve">The production outputs are delivered as two CSV feeds (IRS Valuation, 49 columns;</w:t>
      </w:r>
      <w:r>
        <w:t xml:space="preserve"> </w:t>
      </w:r>
      <w:r>
        <w:t xml:space="preserve">IRS Netting, 21 columns), whose complete field-by-field derivation is documented</w:t>
      </w:r>
      <w:r>
        <w:t xml:space="preserve"> </w:t>
      </w:r>
      <w:r>
        <w:t xml:space="preserve">in the accompanying attachments</w:t>
      </w:r>
      <w:r>
        <w:t xml:space="preserve"> </w:t>
      </w:r>
      <w:r>
        <w:rPr>
          <w:iCs/>
          <w:i/>
        </w:rPr>
        <w:t xml:space="preserve">IRS_Valuation_Output_Map.xlsx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IRS_Netting_Output_Map.xlsx</w:t>
      </w:r>
      <w:r>
        <w:t xml:space="preserve">.</w:t>
      </w:r>
    </w:p>
    <w:bookmarkEnd w:id="26"/>
    <w:bookmarkStart w:id="33" w:name="model-methodology"/>
    <w:p>
      <w:pPr>
        <w:pStyle w:val="Heading2"/>
      </w:pPr>
      <w:r>
        <w:t xml:space="preserve">4.2 Model Methodology</w:t>
      </w:r>
    </w:p>
    <w:bookmarkStart w:id="27" w:name="valuation-framework"/>
    <w:p>
      <w:pPr>
        <w:pStyle w:val="Heading3"/>
      </w:pPr>
      <w:r>
        <w:t xml:space="preserve">4.2.1 Valuation Framework</w:t>
      </w:r>
    </w:p>
    <w:p>
      <w:pPr>
        <w:pStyle w:val="FirstParagraph"/>
      </w:pPr>
      <w:r>
        <w:t xml:space="preserve">Valuation is performed under a</w:t>
      </w:r>
      <w:r>
        <w:t xml:space="preserve"> </w:t>
      </w:r>
      <w:r>
        <w:rPr>
          <w:bCs/>
          <w:b/>
        </w:rPr>
        <w:t xml:space="preserve">dual-curve</w:t>
      </w:r>
      <w:r>
        <w:t xml:space="preserve"> </w:t>
      </w:r>
      <w:r>
        <w:t xml:space="preserve">framework. Future cash flows are</w:t>
      </w:r>
      <w:r>
        <w:t xml:space="preserve"> </w:t>
      </w:r>
      <w:r>
        <w:t xml:space="preserve">discounted on the</w:t>
      </w:r>
      <w:r>
        <w:t xml:space="preserve"> </w:t>
      </w:r>
      <w:r>
        <w:rPr>
          <w:bCs/>
          <w:b/>
        </w:rPr>
        <w:t xml:space="preserve">SOFR OIS</w:t>
      </w:r>
      <w:r>
        <w:t xml:space="preserve"> </w:t>
      </w:r>
      <w:r>
        <w:t xml:space="preserve">zero curve, while floating-rate fixings are</w:t>
      </w:r>
      <w:r>
        <w:t xml:space="preserve"> </w:t>
      </w:r>
      <w:r>
        <w:t xml:space="preserve">projected from a separate</w:t>
      </w:r>
      <w:r>
        <w:t xml:space="preserve"> </w:t>
      </w:r>
      <w:r>
        <w:rPr>
          <w:bCs/>
          <w:b/>
        </w:rPr>
        <w:t xml:space="preserve">Fed Funds</w:t>
      </w:r>
      <w:r>
        <w:t xml:space="preserve"> </w:t>
      </w:r>
      <w:r>
        <w:t xml:space="preserve">zero curve. Each curve is supplied as a</w:t>
      </w:r>
      <w:r>
        <w:t xml:space="preserve"> </w:t>
      </w:r>
      <w:r>
        <w:t xml:space="preserve">set of continuously-compounded ACT/360 zero rates at standard tenor pillars;</w:t>
      </w:r>
      <w:r>
        <w:t xml:space="preserve"> </w:t>
      </w:r>
      <w:r>
        <w:t xml:space="preserve">discount factors at intermediate dates are obtained by</w:t>
      </w:r>
      <w:r>
        <w:t xml:space="preserve"> </w:t>
      </w:r>
      <w:r>
        <w:rPr>
          <w:bCs/>
          <w:b/>
        </w:rPr>
        <w:t xml:space="preserve">log-linear</w:t>
      </w:r>
      <w:r>
        <w:rPr>
          <w:bCs/>
          <w:b/>
        </w:rPr>
        <w:t xml:space="preserve"> </w:t>
      </w:r>
      <w:r>
        <w:rPr>
          <w:bCs/>
          <w:b/>
        </w:rPr>
        <w:t xml:space="preserve">interpolation of discount factors on a calendar-day axis</w:t>
      </w:r>
      <w:r>
        <w:t xml:space="preserve">, applied identically</w:t>
      </w:r>
      <w:r>
        <w:t xml:space="preserve"> </w:t>
      </w:r>
      <w:r>
        <w:t xml:space="preserve">to both curves.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denote a SOFR discount factor and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 Fed Funds</w:t>
      </w:r>
      <w:r>
        <w:t xml:space="preserve"> </w:t>
      </w:r>
      <w:r>
        <w:t xml:space="preserve">discount factor.</w:t>
      </w:r>
    </w:p>
    <w:bookmarkEnd w:id="27"/>
    <w:bookmarkStart w:id="28" w:name="fixed-leg"/>
    <w:p>
      <w:pPr>
        <w:pStyle w:val="Heading3"/>
      </w:pPr>
      <w:r>
        <w:t xml:space="preserve">4.2.2 Fixed Leg</w:t>
      </w:r>
    </w:p>
    <w:p>
      <w:pPr>
        <w:pStyle w:val="FirstParagraph"/>
      </w:pPr>
      <w:r>
        <w:t xml:space="preserve">For each fixed-leg accrual period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day-count fraction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(computed</w:t>
      </w:r>
      <w:r>
        <w:t xml:space="preserve"> </w:t>
      </w:r>
      <w:r>
        <w:t xml:space="preserve">under the leg’s day-count convention), notional</w:t>
      </w:r>
      <w:r>
        <w:t xml:space="preserve"> </w:t>
      </w:r>
      <m:oMath>
        <m:r>
          <m:t>N</m:t>
        </m:r>
      </m:oMath>
      <w:r>
        <w:t xml:space="preserve">, and fixed rate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  <m:r>
              <m:t>i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coupon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f</m:t>
              </m:r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τ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present value of the fixed leg, summed over all periods whose payment</w:t>
      </w:r>
      <w:r>
        <w:t xml:space="preserve"> </w:t>
      </w:r>
      <w:r>
        <w:t xml:space="preserve">date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falls after the valuation date,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V</m:t>
              </m:r>
            </m:e>
            <m:sub>
              <m:r>
                <m:t>f</m:t>
              </m:r>
              <m:r>
                <m:t>i</m:t>
              </m:r>
              <m:r>
                <m:t>x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k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v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t>D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28"/>
    <w:bookmarkStart w:id="29" w:name="floating-leg-ois-compounding"/>
    <w:p>
      <w:pPr>
        <w:pStyle w:val="Heading3"/>
      </w:pPr>
      <w:r>
        <w:t xml:space="preserve">4.2.3 Floating Leg: OIS Compounding</w:t>
      </w:r>
    </w:p>
    <w:p>
      <w:pPr>
        <w:pStyle w:val="FirstParagraph"/>
      </w:pPr>
      <w:r>
        <w:t xml:space="preserve">The floating leg accrues by compounding the overnight Fed Funds rate daily over</w:t>
      </w:r>
      <w:r>
        <w:t xml:space="preserve"> </w:t>
      </w:r>
      <w:r>
        <w:t xml:space="preserve">each accrual period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e</m:t>
                </m:r>
              </m:sub>
            </m:sSub>
          </m:e>
        </m:d>
      </m:oMath>
      <w:r>
        <w:t xml:space="preserve"> </w:t>
      </w:r>
      <w:r>
        <w:t xml:space="preserve">(compounding in arrears). For each accrual day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the model applies an overnight rate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calendar days (a Friday</w:t>
      </w:r>
      <w:r>
        <w:t xml:space="preserve"> </w:t>
      </w:r>
      <w:r>
        <w:t xml:space="preserve">fixing typically carries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over the weekend; weekends and holidays are</w:t>
      </w:r>
      <w:r>
        <w:t xml:space="preserve"> </w:t>
      </w:r>
      <w:r>
        <w:t xml:space="preserve">not skipped but carry the preceding business day’s rate). The compounded period</w:t>
      </w:r>
      <w:r>
        <w:t xml:space="preserve"> </w:t>
      </w:r>
      <w:r>
        <w:t xml:space="preserve">rate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∏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v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h</m:t>
                          </m:r>
                          <m:r>
                            <m:t>i</m:t>
                          </m:r>
                          <m:r>
                            <m:t>s</m:t>
                          </m:r>
                          <m:r>
                            <m:t>t</m:t>
                          </m:r>
                        </m:sup>
                      </m:sSubSup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360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v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f</m:t>
                          </m:r>
                          <m:r>
                            <m:t>w</m:t>
                          </m:r>
                          <m:r>
                            <m:t>d</m:t>
                          </m:r>
                        </m:sup>
                      </m:sSubSup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360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360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fixing date for accrual day</w:t>
      </w:r>
      <w:r>
        <w:t xml:space="preserve"> </w:t>
      </w:r>
      <m:oMath>
        <m:r>
          <m:t>i</m:t>
        </m:r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the valuation date;</w:t>
      </w:r>
    </w:p>
    <w:p>
      <w:pPr>
        <w:numPr>
          <w:ilvl w:val="0"/>
          <w:numId w:val="1003"/>
        </w:numPr>
        <w:pStyle w:val="Compact"/>
      </w:pP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t>h</m:t>
            </m:r>
            <m:r>
              <m:t>i</m:t>
            </m:r>
            <m:r>
              <m:t>s</m:t>
            </m:r>
            <m:r>
              <m:t>t</m:t>
            </m:r>
          </m:sup>
        </m:sSubSup>
      </m:oMath>
      <w:r>
        <w:t xml:space="preserve"> </w:t>
      </w:r>
      <w:r>
        <w:t xml:space="preserve">is the realized EFFR fixing (from the historical fixings file) for</w:t>
      </w:r>
      <w:r>
        <w:t xml:space="preserve"> </w:t>
      </w:r>
      <w:r>
        <w:t xml:space="preserve">dates before</w:t>
      </w:r>
      <w:r>
        <w:t xml:space="preserve"> </w:t>
      </w:r>
      <m:oMath>
        <m:sSub>
          <m:e>
            <m:r>
              <m:t>t</m:t>
            </m:r>
          </m:e>
          <m:sub>
            <m:r>
              <m:t>v</m:t>
            </m:r>
          </m:sub>
        </m:sSub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t>f</m:t>
            </m:r>
            <m:r>
              <m:t>w</m:t>
            </m:r>
            <m:r>
              <m:t>d</m:t>
            </m:r>
          </m:sup>
        </m:sSubSup>
      </m:oMath>
      <w:r>
        <w:t xml:space="preserve"> </w:t>
      </w:r>
      <w:r>
        <w:t xml:space="preserve">is the curve-implied simple ACT/360 forward rate for dates on or</w:t>
      </w:r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t</m:t>
            </m:r>
          </m:e>
          <m:sub>
            <m:r>
              <m:t>v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f</m:t>
              </m:r>
              <m:r>
                <m:t>w</m:t>
              </m:r>
              <m:r>
                <m:t>d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F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m:t>D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F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360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;</m:t>
          </m:r>
        </m:oMath>
      </m:oMathPara>
    </w:p>
    <w:p>
      <w:pPr>
        <w:numPr>
          <w:ilvl w:val="0"/>
          <w:numId w:val="1003"/>
        </w:numPr>
        <w:pStyle w:val="Compact"/>
      </w:pPr>
      <m:oMath>
        <m:r>
          <m:t>D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total number of calendar days in the period.</w:t>
      </w:r>
    </w:p>
    <w:p>
      <w:pPr>
        <w:pStyle w:val="FirstParagraph"/>
      </w:pPr>
      <w:r>
        <w:t xml:space="preserve">The product is always evaluated day-by-day (no endpoint discount-factor</w:t>
      </w:r>
      <w:r>
        <w:t xml:space="preserve"> </w:t>
      </w:r>
      <w:r>
        <w:t xml:space="preserve">shortcut), so historical and projected sub-periods are treated consistently. The</w:t>
      </w:r>
      <w:r>
        <w:t xml:space="preserve"> </w:t>
      </w:r>
      <w:r>
        <w:t xml:space="preserve">period floating coupon is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c</m:t>
                </m:r>
                <m:r>
                  <m:t>o</m:t>
                </m:r>
                <m:r>
                  <m:t>m</m:t>
                </m:r>
                <m:r>
                  <m:t>p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</m:e>
        </m:d>
        <m:r>
          <m:rPr>
            <m:sty m:val="p"/>
          </m:rPr>
          <m:t>⋅</m:t>
        </m:r>
        <m:r>
          <m:t>τ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optional floating spread, and the leg PV discounts each period coupon on the SOFR</w:t>
      </w:r>
      <w:r>
        <w:t xml:space="preserve"> </w:t>
      </w:r>
      <w:r>
        <w:t xml:space="preserve">curve at its payment date. A</w:t>
      </w:r>
      <w:r>
        <w:t xml:space="preserve"> </w:t>
      </w:r>
      <w:r>
        <w:rPr>
          <w:bCs/>
          <w:b/>
        </w:rPr>
        <w:t xml:space="preserve">lockout</w:t>
      </w:r>
      <w:r>
        <w:t xml:space="preserve"> </w:t>
      </w:r>
      <w:r>
        <w:t xml:space="preserve">feature, if specified, freezes the last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applied rates at the value of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-th-to-last fixing.</w:t>
      </w:r>
    </w:p>
    <w:bookmarkEnd w:id="29"/>
    <w:bookmarkStart w:id="30" w:name="swap-value-accrued-and-clean"/>
    <w:p>
      <w:pPr>
        <w:pStyle w:val="Heading3"/>
      </w:pPr>
      <w:r>
        <w:t xml:space="preserve">4.2.4 Swap Value, Accrued, and Clean</w:t>
      </w:r>
    </w:p>
    <w:p>
      <w:pPr>
        <w:pStyle w:val="FirstParagraph"/>
      </w:pPr>
      <w:r>
        <w:t xml:space="preserve">The dirty value is the netted present value of the two legs, signed by the</w:t>
      </w:r>
      <w:r>
        <w:t xml:space="preserve"> </w:t>
      </w:r>
      <w:r>
        <w:t xml:space="preserve">trade’s pay/receive direction: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r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f</m:t>
                        </m:r>
                        <m:r>
                          <m:t>l</m:t>
                        </m:r>
                        <m:r>
                          <m:t>o</m:t>
                        </m:r>
                        <m:r>
                          <m:t>a</m:t>
                        </m:r>
                        <m:r>
                          <m:t>t</m:t>
                        </m:r>
                        <m:r>
                          <m:t>i</m:t>
                        </m:r>
                        <m:r>
                          <m:t>n</m:t>
                        </m:r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f</m:t>
                        </m:r>
                        <m:r>
                          <m:t>i</m:t>
                        </m:r>
                        <m:r>
                          <m:t>x</m:t>
                        </m:r>
                        <m:r>
                          <m:t>e</m:t>
                        </m:r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the firm pays fixed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P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f</m:t>
                        </m:r>
                        <m:r>
                          <m:t>i</m:t>
                        </m:r>
                        <m:r>
                          <m:t>x</m:t>
                        </m:r>
                        <m:r>
                          <m:t>e</m:t>
                        </m:r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f</m:t>
                        </m:r>
                        <m:r>
                          <m:t>l</m:t>
                        </m:r>
                        <m:r>
                          <m:t>o</m:t>
                        </m:r>
                        <m:r>
                          <m:t>a</m:t>
                        </m:r>
                        <m:r>
                          <m:t>t</m:t>
                        </m:r>
                        <m:r>
                          <m:t>i</m:t>
                        </m:r>
                        <m:r>
                          <m:t>n</m:t>
                        </m:r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the firm receives fixed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Accrued interest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netted sum of each leg’s accrual from the current</w:t>
      </w:r>
      <w:r>
        <w:t xml:space="preserve"> </w:t>
      </w:r>
      <w:r>
        <w:t xml:space="preserve">period start through the valuation date. The model uses an</w:t>
      </w:r>
      <w:r>
        <w:t xml:space="preserve"> </w:t>
      </w:r>
      <w:r>
        <w:rPr>
          <w:bCs/>
          <w:b/>
        </w:rPr>
        <w:t xml:space="preserve">inclusive</w:t>
      </w:r>
      <w:r>
        <w:t xml:space="preserve"> </w:t>
      </w:r>
      <w:r>
        <w:t xml:space="preserve">day-count for accrual — both the accrual start and the valuation date are</w:t>
      </w:r>
      <w:r>
        <w:t xml:space="preserve"> </w:t>
      </w:r>
      <w:r>
        <w:t xml:space="preserve">counted — so that compounding/day-count runs to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e</m:t>
                </m:r>
              </m:sub>
            </m:sSub>
          </m:e>
        </m:d>
      </m:oMath>
      <w:r>
        <w:t xml:space="preserve"> </w:t>
      </w:r>
      <w:r>
        <w:t xml:space="preserve">inclusive. This</w:t>
      </w:r>
      <w:r>
        <w:t xml:space="preserve"> </w:t>
      </w:r>
      <w:r>
        <w:t xml:space="preserve">deviates intentionally from Bloomberg SWPM’s end-exclusive convention (a window</w:t>
      </w:r>
      <w:r>
        <w:t xml:space="preserve"> </w:t>
      </w:r>
      <w:r>
        <w:t xml:space="preserve">is one day longer here) and is the convention that reconciles to Chatham</w:t>
      </w:r>
      <w:r>
        <w:t xml:space="preserve"> </w:t>
      </w:r>
      <w:r>
        <w:t xml:space="preserve">Financial. The clean value follows from the identity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l</m:t>
            </m:r>
            <m:r>
              <m:t>e</m:t>
            </m:r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r</m:t>
            </m:r>
            <m:r>
              <m:t>t</m:t>
            </m:r>
            <m:r>
              <m:t>y</m:t>
            </m:r>
          </m:sub>
        </m:sSub>
        <m:r>
          <m:rPr>
            <m:sty m:val="p"/>
          </m:rPr>
          <m:t>−</m:t>
        </m:r>
        <m:r>
          <m:t>A</m:t>
        </m:r>
      </m:oMath>
      <w:r>
        <w:t xml:space="preserve">.</w:t>
      </w:r>
    </w:p>
    <w:bookmarkEnd w:id="30"/>
    <w:bookmarkStart w:id="31" w:name="dv01"/>
    <w:p>
      <w:pPr>
        <w:pStyle w:val="Heading3"/>
      </w:pPr>
      <w:r>
        <w:t xml:space="preserve">4.2.5 DV01</w:t>
      </w:r>
    </w:p>
    <w:p>
      <w:pPr>
        <w:pStyle w:val="FirstParagraph"/>
      </w:pPr>
      <w:r>
        <w:t xml:space="preserve">DV01 is computed by</w:t>
      </w:r>
      <w:r>
        <w:t xml:space="preserve"> </w:t>
      </w:r>
      <w:r>
        <w:rPr>
          <w:bCs/>
          <w:b/>
        </w:rPr>
        <w:t xml:space="preserve">full revaluation (bump-and-reprice)</w:t>
      </w:r>
      <w:r>
        <w:t xml:space="preserve">, not a closed-form</w:t>
      </w:r>
      <w:r>
        <w:t xml:space="preserve"> </w:t>
      </w:r>
      <w:r>
        <w:t xml:space="preserve">sensitivity. A single +1bp parallel shift (</w:t>
      </w:r>
      <m:oMath>
        <m:r>
          <m:t>Δ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 is applied</w:t>
      </w:r>
      <w:r>
        <w:t xml:space="preserve"> </w:t>
      </w:r>
      <w:r>
        <w:t xml:space="preserve">simultaneously to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the SOFR discount curve and the Fed Funds projection</w:t>
      </w:r>
      <w:r>
        <w:t xml:space="preserve"> </w:t>
      </w:r>
      <w:r>
        <w:t xml:space="preserve">curve, and the swap is repriced: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>
              <m:sty m:val="p"/>
            </m:rPr>
            <m:t>V</m:t>
          </m:r>
          <m:r>
            <m:rPr>
              <m:sty m:val="p"/>
            </m:rPr>
            <m:t>01</m:t>
          </m:r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r</m:t>
              </m:r>
              <m:r>
                <m:t>t</m:t>
              </m:r>
              <m:r>
                <m:t>y</m:t>
              </m:r>
            </m:sub>
            <m:sup>
              <m:r>
                <m:t> </m:t>
              </m:r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r</m:t>
              </m:r>
              <m:r>
                <m:t>t</m:t>
              </m:r>
              <m:r>
                <m:t>y</m:t>
              </m:r>
            </m:sub>
            <m:sup>
              <m:r>
                <m:t> </m:t>
              </m:r>
              <m:r>
                <m:t>b</m:t>
              </m:r>
              <m:r>
                <m:t>u</m:t>
              </m:r>
              <m:r>
                <m:t>m</m:t>
              </m:r>
              <m:r>
                <m:t>p</m:t>
              </m:r>
              <m:r>
                <m:t>e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nor/>
                      <m:sty m:val="p"/>
                    </m:rPr>
                    <m:t>bp</m:t>
                  </m:r>
                </m:e>
              </m:d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positive DV01 means the position loses value when rates rise</w:t>
      </w:r>
      <w:r>
        <w:t xml:space="preserve">. Realized</w:t>
      </w:r>
      <w:r>
        <w:t xml:space="preserve"> </w:t>
      </w:r>
      <w:r>
        <w:t xml:space="preserve">historical fixings are held fixed across the bump — only projected future rates</w:t>
      </w:r>
      <w:r>
        <w:t xml:space="preserve"> </w:t>
      </w:r>
      <w:r>
        <w:t xml:space="preserve">and discount factors move. Matured trades carry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V</m:t>
        </m:r>
        <m:r>
          <m:rPr>
            <m:sty m:val="p"/>
          </m:rPr>
          <m:t>01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1"/>
    <w:bookmarkStart w:id="32" w:name="par-rate-and-hedged-debt"/>
    <w:p>
      <w:pPr>
        <w:pStyle w:val="Heading3"/>
      </w:pPr>
      <w:r>
        <w:t xml:space="preserve">4.2.6 Par Rate and Hedged Debt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par rate</w:t>
      </w:r>
      <w:r>
        <w:t xml:space="preserve"> </w:t>
      </w:r>
      <w:r>
        <w:t xml:space="preserve">is the fixed rate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solves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r</m:t>
            </m:r>
            <m:r>
              <m:t>t</m:t>
            </m:r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current market data; the reported rate difference 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f</m:t>
                </m:r>
                <m:r>
                  <m:t>i</m:t>
                </m:r>
                <m:r>
                  <m:t>x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expressed in basis points.</w:t>
      </w:r>
    </w:p>
    <w:p>
      <w:pPr>
        <w:pStyle w:val="BodyText"/>
      </w:pPr>
      <w:r>
        <w:t xml:space="preserve">For trades designated as a</w:t>
      </w:r>
      <w:r>
        <w:t xml:space="preserve"> </w:t>
      </w:r>
      <w:r>
        <w:rPr>
          <w:bCs/>
          <w:b/>
        </w:rPr>
        <w:t xml:space="preserve">long hedge (LH)</w:t>
      </w:r>
      <w:r>
        <w:t xml:space="preserve">, the model values the hedged</w:t>
      </w:r>
      <w:r>
        <w:t xml:space="preserve"> </w:t>
      </w:r>
      <w:r>
        <w:t xml:space="preserve">fixed-rate</w:t>
      </w:r>
      <w:r>
        <w:t xml:space="preserve"> </w:t>
      </w:r>
      <w:r>
        <w:rPr>
          <w:bCs/>
          <w:b/>
        </w:rPr>
        <w:t xml:space="preserve">debt</w:t>
      </w:r>
      <w:r>
        <w:t xml:space="preserve"> </w:t>
      </w:r>
      <w:r>
        <w:t xml:space="preserve">in-process using the same fixed-leg cash-flow model</w:t>
      </w:r>
      <w:r>
        <w:t xml:space="preserve"> </w:t>
      </w:r>
      <w:r>
        <w:t xml:space="preserve">(principal exchanged at maturity), discounted on the</w:t>
      </w:r>
      <w:r>
        <w:t xml:space="preserve"> </w:t>
      </w:r>
      <w:r>
        <w:rPr>
          <w:bCs/>
          <w:b/>
        </w:rPr>
        <w:t xml:space="preserve">Fed Funds curve plus a</w:t>
      </w:r>
      <w:r>
        <w:rPr>
          <w:bCs/>
          <w:b/>
        </w:rPr>
        <w:t xml:space="preserve"> </w:t>
      </w:r>
      <w:r>
        <w:rPr>
          <w:bCs/>
          <w:b/>
        </w:rPr>
        <w:t xml:space="preserve">credit/discount spread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debt_discount_spread</w:t>
      </w:r>
      <w:r>
        <w:t xml:space="preserve">), and signed from the obligor’s</w:t>
      </w:r>
      <w:r>
        <w:t xml:space="preserve"> </w:t>
      </w:r>
      <w:r>
        <w:t xml:space="preserve">perspective (so the debt value is a liability). The reported</w:t>
      </w:r>
      <w:r>
        <w:t xml:space="preserve"> </w:t>
      </w:r>
      <w:r>
        <w:rPr>
          <w:bCs/>
          <w:b/>
        </w:rPr>
        <w:t xml:space="preserve">Hedged Debt MTM</w:t>
      </w:r>
      <w:r>
        <w:t xml:space="preserve"> </w:t>
      </w:r>
      <w:r>
        <w:t xml:space="preserve">is the debt’s clean value plus its outstanding notional. For a</w:t>
      </w:r>
      <w:r>
        <w:t xml:space="preserve"> </w:t>
      </w:r>
      <w:r>
        <w:rPr>
          <w:bCs/>
          <w:b/>
        </w:rPr>
        <w:t xml:space="preserve">short hedge</w:t>
      </w:r>
      <w:r>
        <w:rPr>
          <w:bCs/>
          <w:b/>
        </w:rPr>
        <w:t xml:space="preserve"> </w:t>
      </w:r>
      <w:r>
        <w:rPr>
          <w:bCs/>
          <w:b/>
        </w:rPr>
        <w:t xml:space="preserve">(SC)</w:t>
      </w:r>
      <w:r>
        <w:t xml:space="preserve">, the Hedged Debt MTM is the negative of the swap’s clean value.</w:t>
      </w:r>
    </w:p>
    <w:bookmarkEnd w:id="32"/>
    <w:bookmarkEnd w:id="33"/>
    <w:bookmarkStart w:id="34" w:name="rationale-for-key-modeling-choices"/>
    <w:p>
      <w:pPr>
        <w:pStyle w:val="Heading2"/>
      </w:pPr>
      <w:r>
        <w:t xml:space="preserve">4.3 Rationale for Key Modeling Choices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Discount vs. projection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discounts; Fed Funds projects (no separate basis curve).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Reflects the post-LIBOR collateral-discounting standard while preserving the Fed Funds index economics of the floating leg; avoids over-parameterization where no basis is observed.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Curve interpolation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Log-linear on discount factors, calendar-day axis, identical for both curves.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Produces smooth, positive, arbitrage-consistent discount factors between pillars; applying one rule to both curves keeps discounting and projection mutually consistent.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OIS compounding via daily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period is compounded day-by-day from individual fixings/forwards; no endpoint-DF shortcut.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Treats historical and projected sub-periods identically and matches the contractual daily-compounding mechanism exactly, including weekend/holiday day-weighting and lockout.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historical fixing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per-trade failure (trade recorded as an error; portfolio run continues).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fallbacks (carry-forward, substitution, period-skip) can hide real gaps and produce plausible-looking but wrong values; a visible error is safer than a wrong number. Any softer policy must be an explicit opt-in.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Inclusive accrual day-count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accrual start and valuation date counted (one day longer than Bloomberg SWPM).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 to reconcile to Chatham Financial, the governing benchmark for accrued interest; the deviation from Bloomberg is documented and intentional.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DV01 by full revaluation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+1bp parallel dual-curve bump-and-reprice (forward difference).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and convention-agnostic; for linear OIS swaps the one-sided bias at 1bp is negligible, and the method needs no separate analytic sensitivity to maintain.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Per-leg, Bloomberg-matched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conventions (roll, adjust, calendars, day count, frequency, delay) configured per leg with Bloomberg SWPM vocabulary and defaults.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each trade reproduce its Bloomberg/confirmation terms exactly; omitting optional fields reproduces standard OIS conventions.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In-process hedged-debt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 debt valued from inline trade fields each run rather than from an external feed.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debt marks synchronized with the swap valuation and removes dependence on a fragile external file hand-off.</w:t>
            </w:r>
          </w:p>
        </w:tc>
      </w:tr>
    </w:tbl>
    <w:bookmarkEnd w:id="34"/>
    <w:bookmarkStart w:id="35" w:name="hedge-effectiveness-testing"/>
    <w:p>
      <w:pPr>
        <w:pStyle w:val="Heading2"/>
      </w:pPr>
      <w:r>
        <w:t xml:space="preserve">4.4 Hedge Effectiveness Testing</w:t>
      </w:r>
    </w:p>
    <w:p>
      <w:pPr>
        <w:pStyle w:val="FirstParagraph"/>
      </w:pPr>
      <w:r>
        <w:rPr>
          <w:iCs/>
          <w:i/>
        </w:rPr>
        <w:t xml:space="preserve">[To be completed manually.]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model-data"/>
    <w:p>
      <w:pPr>
        <w:pStyle w:val="Heading1"/>
      </w:pPr>
      <w:r>
        <w:t xml:space="preserve">5. Model Data</w:t>
      </w:r>
    </w:p>
    <w:p>
      <w:pPr>
        <w:pStyle w:val="FirstParagraph"/>
      </w:pPr>
      <w:r>
        <w:rPr>
          <w:iCs/>
          <w:i/>
        </w:rPr>
        <w:t xml:space="preserve">Key data sources are listed below as headings. Detailed descriptions to be</w:t>
      </w:r>
      <w:r>
        <w:rPr>
          <w:iCs/>
          <w:i/>
        </w:rPr>
        <w:t xml:space="preserve"> </w:t>
      </w:r>
      <w:r>
        <w:rPr>
          <w:iCs/>
          <w:i/>
        </w:rPr>
        <w:t xml:space="preserve">completed manually.</w:t>
      </w:r>
    </w:p>
    <w:bookmarkStart w:id="37" w:name="market-curve-data"/>
    <w:p>
      <w:pPr>
        <w:pStyle w:val="Heading2"/>
      </w:pPr>
      <w:r>
        <w:t xml:space="preserve">5.1 Market Curve Data</w:t>
      </w:r>
    </w:p>
    <w:p>
      <w:pPr>
        <w:pStyle w:val="FirstParagraph"/>
      </w:pPr>
      <w:r>
        <w:t xml:space="preserve">Daily vendor export (</w:t>
      </w:r>
      <w:r>
        <w:rPr>
          <w:rStyle w:val="VerbatimChar"/>
        </w:rPr>
        <w:t xml:space="preserve">market_environment_YYYY-MM-DD.csv</w:t>
      </w:r>
      <w:r>
        <w:t xml:space="preserve">) filtered to USD SOFR</w:t>
      </w:r>
      <w:r>
        <w:t xml:space="preserve"> </w:t>
      </w:r>
      <w:r>
        <w:t xml:space="preserve">and Fed Funds overnight zero-rate pillars; alternative dated-pillar and</w:t>
      </w:r>
      <w:r>
        <w:t xml:space="preserve"> </w:t>
      </w:r>
      <w:r>
        <w:t xml:space="preserve">discount-factor input formats are also supported.</w:t>
      </w:r>
    </w:p>
    <w:p>
      <w:pPr>
        <w:pStyle w:val="BodyText"/>
      </w:pPr>
      <w:r>
        <w:rPr>
          <w:iCs/>
          <w:i/>
        </w:rPr>
        <w:t xml:space="preserve">[Detail to be completed manually.]</w:t>
      </w:r>
    </w:p>
    <w:bookmarkEnd w:id="37"/>
    <w:bookmarkStart w:id="38" w:name="historical-fixings-data"/>
    <w:p>
      <w:pPr>
        <w:pStyle w:val="Heading2"/>
      </w:pPr>
      <w:r>
        <w:t xml:space="preserve">5.2 Historical Fixings Data</w:t>
      </w:r>
    </w:p>
    <w:p>
      <w:pPr>
        <w:pStyle w:val="FirstParagraph"/>
      </w:pPr>
      <w:r>
        <w:t xml:space="preserve">Daily published EFFR (Fed Funds overnight) fixings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fixing_cail_USD-FEDFUNDS-ON.csv</w:t>
      </w:r>
      <w:r>
        <w:t xml:space="preserve">), one row per business day.</w:t>
      </w:r>
    </w:p>
    <w:p>
      <w:pPr>
        <w:pStyle w:val="BodyText"/>
      </w:pPr>
      <w:r>
        <w:rPr>
          <w:iCs/>
          <w:i/>
        </w:rPr>
        <w:t xml:space="preserve">[Detail to be completed manually.]</w:t>
      </w:r>
    </w:p>
    <w:bookmarkEnd w:id="38"/>
    <w:bookmarkStart w:id="39" w:name="trade-definition-data"/>
    <w:p>
      <w:pPr>
        <w:pStyle w:val="Heading2"/>
      </w:pPr>
      <w:r>
        <w:t xml:space="preserve">5.3 Trade Definition Data</w:t>
      </w:r>
    </w:p>
    <w:p>
      <w:pPr>
        <w:pStyle w:val="FirstParagraph"/>
      </w:pPr>
      <w:r>
        <w:t xml:space="preserve">Per-trade economic terms, per-leg conventions, production reference fields, and</w:t>
      </w:r>
      <w:r>
        <w:t xml:space="preserve"> </w:t>
      </w:r>
      <w:r>
        <w:t xml:space="preserve">the hedged-debt block (YAML per trade or multi-trade CSV).</w:t>
      </w:r>
    </w:p>
    <w:p>
      <w:pPr>
        <w:pStyle w:val="BodyText"/>
      </w:pPr>
      <w:r>
        <w:rPr>
          <w:iCs/>
          <w:i/>
        </w:rPr>
        <w:t xml:space="preserve">[Detail to be completed manually.]</w:t>
      </w:r>
    </w:p>
    <w:bookmarkEnd w:id="39"/>
    <w:bookmarkStart w:id="40" w:name="reference-and-lookup-data"/>
    <w:p>
      <w:pPr>
        <w:pStyle w:val="Heading2"/>
      </w:pPr>
      <w:r>
        <w:t xml:space="preserve">5.4 Reference and Lookup Data</w:t>
      </w:r>
    </w:p>
    <w:p>
      <w:pPr>
        <w:pStyle w:val="FirstParagraph"/>
      </w:pPr>
      <w:r>
        <w:t xml:space="preserve">Entity reference report (entity code → Default RC, for CCID construction) and the</w:t>
      </w:r>
      <w:r>
        <w:t xml:space="preserve"> </w:t>
      </w:r>
      <w:r>
        <w:t xml:space="preserve">netting database (netting-group rules and entity information).</w:t>
      </w:r>
    </w:p>
    <w:p>
      <w:pPr>
        <w:pStyle w:val="BodyText"/>
      </w:pPr>
      <w:r>
        <w:rPr>
          <w:iCs/>
          <w:i/>
        </w:rPr>
        <w:t xml:space="preserve">[Detail to be completed manually.]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implementation-approach"/>
    <w:p>
      <w:pPr>
        <w:pStyle w:val="Heading1"/>
      </w:pPr>
      <w:r>
        <w:t xml:space="preserve">6. Implementation Approach</w:t>
      </w:r>
    </w:p>
    <w:bookmarkStart w:id="42" w:name="language-and-libraries"/>
    <w:p>
      <w:pPr>
        <w:pStyle w:val="Heading2"/>
      </w:pPr>
      <w:r>
        <w:t xml:space="preserve">6.1 Language and Libraries</w:t>
      </w:r>
    </w:p>
    <w:p>
      <w:pPr>
        <w:pStyle w:val="FirstParagraph"/>
      </w:pPr>
      <w:r>
        <w:t xml:space="preserve">The model is implemented in</w:t>
      </w:r>
      <w:r>
        <w:t xml:space="preserve"> </w:t>
      </w:r>
      <w:r>
        <w:rPr>
          <w:bCs/>
          <w:b/>
        </w:rPr>
        <w:t xml:space="preserve">Python (≥ 3.10)</w:t>
      </w:r>
      <w:r>
        <w:t xml:space="preserve">. Numerical work uses</w:t>
      </w:r>
      <w:r>
        <w:t xml:space="preserve"> </w:t>
      </w:r>
      <w:r>
        <w:rPr>
          <w:bCs/>
          <w:b/>
        </w:rPr>
        <w:t xml:space="preserve">NumPy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pandas</w:t>
      </w:r>
      <w:r>
        <w:t xml:space="preserve">; market and trade inputs are read from CSV/YAML (</w:t>
      </w:r>
      <w:r>
        <w:rPr>
          <w:bCs/>
          <w:b/>
        </w:rPr>
        <w:t xml:space="preserve">PyYAML</w:t>
      </w:r>
      <w:r>
        <w:t xml:space="preserve">); outputs</w:t>
      </w:r>
      <w:r>
        <w:t xml:space="preserve"> </w:t>
      </w:r>
      <w:r>
        <w:t xml:space="preserve">are written to Excel (</w:t>
      </w:r>
      <w:r>
        <w:rPr>
          <w:bCs/>
          <w:b/>
        </w:rPr>
        <w:t xml:space="preserve">openpyxl</w:t>
      </w:r>
      <w:r>
        <w:t xml:space="preserve">) and</w:t>
      </w:r>
      <w:r>
        <w:t xml:space="preserve"> </w:t>
      </w:r>
      <w:r>
        <w:rPr>
          <w:bCs/>
          <w:b/>
        </w:rPr>
        <w:t xml:space="preserve">Parquet</w:t>
      </w:r>
      <w:r>
        <w:t xml:space="preserve"> </w:t>
      </w:r>
      <w:r>
        <w:t xml:space="preserve">(</w:t>
      </w:r>
      <w:r>
        <w:rPr>
          <w:bCs/>
          <w:b/>
        </w:rPr>
        <w:t xml:space="preserve">pyarrow</w:t>
      </w:r>
      <w:r>
        <w:t xml:space="preserve">). Development</w:t>
      </w:r>
      <w:r>
        <w:t xml:space="preserve"> </w:t>
      </w:r>
      <w:r>
        <w:t xml:space="preserve">tooling includes</w:t>
      </w:r>
      <w:r>
        <w:t xml:space="preserve"> </w:t>
      </w:r>
      <w:r>
        <w:rPr>
          <w:bCs/>
          <w:b/>
        </w:rPr>
        <w:t xml:space="preserve">pytest</w:t>
      </w:r>
      <w:r>
        <w:t xml:space="preserve"> </w:t>
      </w:r>
      <w:r>
        <w:t xml:space="preserve">(tests),</w:t>
      </w:r>
      <w:r>
        <w:t xml:space="preserve"> </w:t>
      </w:r>
      <w:r>
        <w:rPr>
          <w:bCs/>
          <w:b/>
        </w:rPr>
        <w:t xml:space="preserve">ruff</w:t>
      </w:r>
      <w:r>
        <w:t xml:space="preserve"> </w:t>
      </w:r>
      <w:r>
        <w:t xml:space="preserve">(linting), and</w:t>
      </w:r>
      <w:r>
        <w:t xml:space="preserve"> </w:t>
      </w:r>
      <w:r>
        <w:rPr>
          <w:bCs/>
          <w:b/>
        </w:rPr>
        <w:t xml:space="preserve">mypy</w:t>
      </w:r>
      <w:r>
        <w:t xml:space="preserve"> </w:t>
      </w:r>
      <w:r>
        <w:t xml:space="preserve">(type</w:t>
      </w:r>
      <w:r>
        <w:t xml:space="preserve"> </w:t>
      </w:r>
      <w:r>
        <w:t xml:space="preserve">checking). The package is installable (</w:t>
      </w:r>
      <w:r>
        <w:rPr>
          <w:rStyle w:val="VerbatimChar"/>
        </w:rPr>
        <w:t xml:space="preserve">pip install -e .</w:t>
      </w:r>
      <w:r>
        <w:t xml:space="preserve">) with a clean</w:t>
      </w:r>
      <w:r>
        <w:t xml:space="preserve"> </w:t>
      </w:r>
      <w:r>
        <w:rPr>
          <w:rStyle w:val="VerbatimChar"/>
        </w:rPr>
        <w:t xml:space="preserve">src</w:t>
      </w:r>
      <w:r>
        <w:t xml:space="preserve">-layout and no heavyweight quant-library dependency.</w:t>
      </w:r>
    </w:p>
    <w:bookmarkEnd w:id="42"/>
    <w:bookmarkStart w:id="43" w:name="architecture-and-design-patterns"/>
    <w:p>
      <w:pPr>
        <w:pStyle w:val="Heading2"/>
      </w:pPr>
      <w:r>
        <w:t xml:space="preserve">6.2 Architecture and Design Patterns</w:t>
      </w:r>
    </w:p>
    <w:p>
      <w:pPr>
        <w:pStyle w:val="FirstParagraph"/>
      </w:pPr>
      <w:r>
        <w:t xml:space="preserve">The engine is organized around small, composable objects:</w:t>
      </w:r>
      <w:r>
        <w:t xml:space="preserve"> </w:t>
      </w:r>
      <w:r>
        <w:rPr>
          <w:rStyle w:val="VerbatimChar"/>
        </w:rPr>
        <w:t xml:space="preserve">ZeroCurve</w:t>
      </w:r>
      <w:r>
        <w:t xml:space="preserve">,</w:t>
      </w:r>
      <w:r>
        <w:t xml:space="preserve"> </w:t>
      </w:r>
      <w:r>
        <w:rPr>
          <w:rStyle w:val="VerbatimChar"/>
        </w:rPr>
        <w:t xml:space="preserve">FixingHistory</w:t>
      </w:r>
      <w:r>
        <w:t xml:space="preserve">, per-leg classes (</w:t>
      </w:r>
      <w:r>
        <w:rPr>
          <w:rStyle w:val="VerbatimChar"/>
        </w:rPr>
        <w:t xml:space="preserve">FixedLeg</w:t>
      </w:r>
      <w:r>
        <w:t xml:space="preserve">,</w:t>
      </w:r>
      <w:r>
        <w:t xml:space="preserve"> </w:t>
      </w:r>
      <w:r>
        <w:rPr>
          <w:rStyle w:val="VerbatimChar"/>
        </w:rPr>
        <w:t xml:space="preserve">OISFloatingLeg</w:t>
      </w:r>
      <w:r>
        <w:t xml:space="preserve">), a</w:t>
      </w:r>
      <w:r>
        <w:t xml:space="preserve"> </w:t>
      </w:r>
      <w:r>
        <w:rPr>
          <w:rStyle w:val="VerbatimChar"/>
        </w:rPr>
        <w:t xml:space="preserve">Swap</w:t>
      </w:r>
      <w:r>
        <w:t xml:space="preserve">, a</w:t>
      </w:r>
      <w:r>
        <w:t xml:space="preserve"> </w:t>
      </w:r>
      <w:r>
        <w:rPr>
          <w:rStyle w:val="VerbatimChar"/>
        </w:rPr>
        <w:t xml:space="preserve">MarketData</w:t>
      </w:r>
      <w:r>
        <w:t xml:space="preserve"> </w:t>
      </w:r>
      <w:r>
        <w:t xml:space="preserve">snapshot, and a</w:t>
      </w:r>
      <w:r>
        <w:t xml:space="preserve"> </w:t>
      </w:r>
      <w:r>
        <w:rPr>
          <w:rStyle w:val="VerbatimChar"/>
        </w:rPr>
        <w:t xml:space="preserve">SwapPricer</w:t>
      </w:r>
      <w:r>
        <w:t xml:space="preserve"> </w:t>
      </w:r>
      <w:r>
        <w:t xml:space="preserve">that produces a</w:t>
      </w:r>
      <w:r>
        <w:t xml:space="preserve"> </w:t>
      </w:r>
      <w:r>
        <w:rPr>
          <w:rStyle w:val="VerbatimChar"/>
        </w:rPr>
        <w:t xml:space="preserve">SwapValuation</w:t>
      </w:r>
      <w:r>
        <w:t xml:space="preserve"> </w:t>
      </w:r>
      <w:r>
        <w:t xml:space="preserve">result</w:t>
      </w:r>
      <w:r>
        <w:t xml:space="preserve"> </w:t>
      </w:r>
      <w:r>
        <w:t xml:space="preserve">record. Three concerns are isolated behind</w:t>
      </w:r>
      <w:r>
        <w:t xml:space="preserve"> </w:t>
      </w:r>
      <w:r>
        <w:rPr>
          <w:bCs/>
          <w:b/>
        </w:rPr>
        <w:t xml:space="preserve">pluggable strategy interfaces</w:t>
      </w:r>
      <w:r>
        <w:t xml:space="preserve"> </w:t>
      </w:r>
      <w:r>
        <w:t xml:space="preserve">so</w:t>
      </w:r>
      <w:r>
        <w:t xml:space="preserve"> </w:t>
      </w:r>
      <w:r>
        <w:t xml:space="preserve">that new conventions or input sources are additions rather than edits to the</w:t>
      </w:r>
      <w:r>
        <w:t xml:space="preserve"> </w:t>
      </w:r>
      <w:r>
        <w:t xml:space="preserve">pricer: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RateQuoting</w:t>
      </w:r>
      <w:r>
        <w:t xml:space="preserve"> </w:t>
      </w:r>
      <w:r>
        <w:t xml:space="preserve">— rate ↔ discount-factor conversion (continuous/simple,</w:t>
      </w:r>
      <w:r>
        <w:t xml:space="preserve"> </w:t>
      </w:r>
      <w:r>
        <w:t xml:space="preserve">ACT/360 or ACT/365).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DayCount</w:t>
      </w:r>
      <w:r>
        <w:t xml:space="preserve"> </w:t>
      </w:r>
      <w:r>
        <w:t xml:space="preserve">— year-fraction conventions (ACT/360, ACT/365F, 30/360, 30E/360,</w:t>
      </w:r>
      <w:r>
        <w:t xml:space="preserve"> </w:t>
      </w:r>
      <w:r>
        <w:t xml:space="preserve">ACT/ACT-ISDA).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*Loader</w:t>
      </w:r>
      <w:r>
        <w:t xml:space="preserve"> </w:t>
      </w:r>
      <w:r>
        <w:t xml:space="preserve">— input abstraction for curves, fixings, and trades.</w:t>
      </w:r>
    </w:p>
    <w:bookmarkEnd w:id="43"/>
    <w:bookmarkStart w:id="44" w:name="X38b0f20e846263ff748d47f08455afc2dd14346"/>
    <w:p>
      <w:pPr>
        <w:pStyle w:val="Heading2"/>
      </w:pPr>
      <w:r>
        <w:t xml:space="preserve">6.3 Convention Engine and Schedule Generation</w:t>
      </w:r>
    </w:p>
    <w:p>
      <w:pPr>
        <w:pStyle w:val="FirstParagraph"/>
      </w:pPr>
      <w:r>
        <w:t xml:space="preserve">Conventions are modeled</w:t>
      </w:r>
      <w:r>
        <w:t xml:space="preserve"> </w:t>
      </w:r>
      <w:r>
        <w:rPr>
          <w:bCs/>
          <w:b/>
        </w:rPr>
        <w:t xml:space="preserve">per leg</w:t>
      </w:r>
      <w:r>
        <w:t xml:space="preserve"> </w:t>
      </w:r>
      <w:r>
        <w:t xml:space="preserve">using Bloomberg SWPM vocabulary</w:t>
      </w:r>
      <w:r>
        <w:t xml:space="preserve"> </w:t>
      </w:r>
      <w:r>
        <w:t xml:space="preserve">(business-day adjustment, effective/payment-date adjustment, roll convention with</w:t>
      </w:r>
      <w:r>
        <w:t xml:space="preserve"> </w:t>
      </w:r>
      <w:r>
        <w:t xml:space="preserve">end-of-month rule, accrual</w:t>
      </w:r>
      <w:r>
        <w:t xml:space="preserve"> </w:t>
      </w:r>
      <w:r>
        <w:t xml:space="preserve">“</w:t>
      </w:r>
      <w:r>
        <w:t xml:space="preserve">adjust</w:t>
      </w:r>
      <w:r>
        <w:t xml:space="preserve">”</w:t>
      </w:r>
      <w:r>
        <w:t xml:space="preserve"> </w:t>
      </w:r>
      <w:r>
        <w:t xml:space="preserve">mode, calculation/reset/payment calendars,</w:t>
      </w:r>
      <w:r>
        <w:t xml:space="preserve"> </w:t>
      </w:r>
      <w:r>
        <w:t xml:space="preserve">payment delay, reset lag, lockout). A central</w:t>
      </w:r>
      <w:r>
        <w:t xml:space="preserve"> </w:t>
      </w:r>
      <w:r>
        <w:rPr>
          <w:rStyle w:val="VerbatimChar"/>
        </w:rPr>
        <w:t xml:space="preserve">generate_schedule</w:t>
      </w:r>
      <w:r>
        <w:t xml:space="preserve"> </w:t>
      </w:r>
      <w:r>
        <w:t xml:space="preserve">routine</w:t>
      </w:r>
      <w:r>
        <w:t xml:space="preserve"> </w:t>
      </w:r>
      <w:r>
        <w:t xml:space="preserve">produces accrual periods (forward/backward generation, EOM snapping, stub</w:t>
      </w:r>
      <w:r>
        <w:t xml:space="preserve"> </w:t>
      </w:r>
      <w:r>
        <w:t xml:space="preserve">placement), storing both adjusted and unadjusted boundaries so the day-count can</w:t>
      </w:r>
      <w:r>
        <w:t xml:space="preserve"> </w:t>
      </w:r>
      <w:r>
        <w:t xml:space="preserve">use whichever the leg’s settings require. A two-tier validation layer accepts any</w:t>
      </w:r>
      <w:r>
        <w:t xml:space="preserve"> </w:t>
      </w:r>
      <w:r>
        <w:t xml:space="preserve">input, raises hard errors on impossible combinations, and records soft warnings</w:t>
      </w:r>
      <w:r>
        <w:t xml:space="preserve"> </w:t>
      </w:r>
      <w:r>
        <w:t xml:space="preserve">(combinations Bloomberg would gray out) in the run manifest.</w:t>
      </w:r>
    </w:p>
    <w:bookmarkEnd w:id="44"/>
    <w:bookmarkStart w:id="45" w:name="loaders-and-input-abstraction"/>
    <w:p>
      <w:pPr>
        <w:pStyle w:val="Heading2"/>
      </w:pPr>
      <w:r>
        <w:t xml:space="preserve">6.4 Loaders and Input Abstraction</w:t>
      </w:r>
    </w:p>
    <w:p>
      <w:pPr>
        <w:pStyle w:val="FirstParagraph"/>
      </w:pPr>
      <w:r>
        <w:t xml:space="preserve">Curves, fixings, and trades are each loaded through an abstract loader interface</w:t>
      </w:r>
      <w:r>
        <w:t xml:space="preserve"> </w:t>
      </w:r>
      <w:r>
        <w:t xml:space="preserve">with concrete implementations selected at runtime (e.g. vendor-export curves vs.</w:t>
      </w:r>
      <w:r>
        <w:t xml:space="preserve"> </w:t>
      </w:r>
      <w:r>
        <w:t xml:space="preserve">dated-pillar vs. discount-factor inputs; YAML vs. CSV trades). All curve loaders</w:t>
      </w:r>
      <w:r>
        <w:t xml:space="preserve"> </w:t>
      </w:r>
      <w:r>
        <w:t xml:space="preserve">handle the non-business month-end edge case by sourcing pillar values from the</w:t>
      </w:r>
      <w:r>
        <w:t xml:space="preserve"> </w:t>
      </w:r>
      <w:r>
        <w:t xml:space="preserve">previous business day’s file while keeping the curve anchored at the valuation</w:t>
      </w:r>
      <w:r>
        <w:t xml:space="preserve"> </w:t>
      </w:r>
      <w:r>
        <w:t xml:space="preserve">date.</w:t>
      </w:r>
    </w:p>
    <w:bookmarkEnd w:id="45"/>
    <w:bookmarkStart w:id="46" w:name="output-writers"/>
    <w:p>
      <w:pPr>
        <w:pStyle w:val="Heading2"/>
      </w:pPr>
      <w:r>
        <w:t xml:space="preserve">6.5 Output Writers</w:t>
      </w:r>
    </w:p>
    <w:p>
      <w:pPr>
        <w:pStyle w:val="FirstParagraph"/>
      </w:pPr>
      <w:r>
        <w:t xml:space="preserve">Production feeds are written by dedicated writers:</w:t>
      </w:r>
      <w:r>
        <w:t xml:space="preserve"> </w:t>
      </w:r>
      <w:r>
        <w:rPr>
          <w:rStyle w:val="VerbatimChar"/>
        </w:rPr>
        <w:t xml:space="preserve">io_prod</w:t>
      </w:r>
      <w:r>
        <w:t xml:space="preserve"> </w:t>
      </w:r>
      <w:r>
        <w:t xml:space="preserve">(49-column IRS</w:t>
      </w:r>
      <w:r>
        <w:t xml:space="preserve"> </w:t>
      </w:r>
      <w:r>
        <w:t xml:space="preserve">Valuation CSV) and</w:t>
      </w:r>
      <w:r>
        <w:t xml:space="preserve"> </w:t>
      </w:r>
      <w:r>
        <w:rPr>
          <w:rStyle w:val="VerbatimChar"/>
        </w:rPr>
        <w:t xml:space="preserve">io_prod_netting</w:t>
      </w:r>
      <w:r>
        <w:t xml:space="preserve"> </w:t>
      </w:r>
      <w:r>
        <w:t xml:space="preserve">(21-column IRS Netting CSV), matching the</w:t>
      </w:r>
      <w:r>
        <w:t xml:space="preserve"> </w:t>
      </w:r>
      <w:r>
        <w:t xml:space="preserve">KPMG feed specifications exactly. Optional debug artifacts — a portfolio Excel</w:t>
      </w:r>
      <w:r>
        <w:t xml:space="preserve"> </w:t>
      </w:r>
      <w:r>
        <w:t xml:space="preserve">workbook, per-trade detail and debug workbooks, a hedged-debt summary, and</w:t>
      </w:r>
      <w:r>
        <w:t xml:space="preserve"> </w:t>
      </w:r>
      <w:r>
        <w:t xml:space="preserve">Parquet dumps — are produced under explicit flags (</w:t>
      </w:r>
      <w:r>
        <w:rPr>
          <w:rStyle w:val="VerbatimChar"/>
        </w:rPr>
        <w:t xml:space="preserve">--debug-loan</w:t>
      </w:r>
      <w:r>
        <w:t xml:space="preserve">,</w:t>
      </w:r>
      <w:r>
        <w:t xml:space="preserve"> </w:t>
      </w:r>
      <w:r>
        <w:rPr>
          <w:rStyle w:val="VerbatimChar"/>
        </w:rPr>
        <w:t xml:space="preserve">--debug-full</w:t>
      </w:r>
      <w:r>
        <w:t xml:space="preserve">) and are off by default.</w:t>
      </w:r>
    </w:p>
    <w:bookmarkEnd w:id="46"/>
    <w:bookmarkStart w:id="47" w:name="batch-execution"/>
    <w:p>
      <w:pPr>
        <w:pStyle w:val="Heading2"/>
      </w:pPr>
      <w:r>
        <w:t xml:space="preserve">6.6 Batch Execution</w:t>
      </w:r>
    </w:p>
    <w:p>
      <w:pPr>
        <w:pStyle w:val="FirstParagraph"/>
      </w:pPr>
      <w:r>
        <w:t xml:space="preserve">A batch runner prices multiple valuation dates in parallel using a process pool;</w:t>
      </w:r>
      <w:r>
        <w:t xml:space="preserve"> </w:t>
      </w:r>
      <w:r>
        <w:t xml:space="preserve">each date is priced in an isolated worker that rebuilds its own loaders, writes</w:t>
      </w:r>
      <w:r>
        <w:t xml:space="preserve"> </w:t>
      </w:r>
      <w:r>
        <w:t xml:space="preserve">its own self-contained output folder, and reports a status (</w:t>
      </w:r>
      <w:r>
        <w:rPr>
          <w:rStyle w:val="VerbatimChar"/>
        </w:rPr>
        <w:t xml:space="preserve">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). A batch-level log and JSON summary are written at the output</w:t>
      </w:r>
      <w:r>
        <w:t xml:space="preserve"> </w:t>
      </w:r>
      <w:r>
        <w:t xml:space="preserve">root.</w:t>
      </w:r>
    </w:p>
    <w:bookmarkEnd w:id="47"/>
    <w:bookmarkStart w:id="48" w:name="X48c4465582ba2fb2eeddf0cee48ad67e313d003"/>
    <w:p>
      <w:pPr>
        <w:pStyle w:val="Heading2"/>
      </w:pPr>
      <w:r>
        <w:t xml:space="preserve">6.7 Reproducibility, Audit, and Testing Harness</w:t>
      </w:r>
    </w:p>
    <w:p>
      <w:pPr>
        <w:pStyle w:val="FirstParagraph"/>
      </w:pPr>
      <w:r>
        <w:t xml:space="preserve">Every run emits a</w:t>
      </w:r>
      <w:r>
        <w:t xml:space="preserve"> </w:t>
      </w:r>
      <w:r>
        <w:rPr>
          <w:bCs/>
          <w:b/>
        </w:rPr>
        <w:t xml:space="preserve">manifest</w:t>
      </w:r>
      <w:r>
        <w:t xml:space="preserve"> </w:t>
      </w:r>
      <w:r>
        <w:t xml:space="preserve">recording a run UUID, valuation and run dates, the</w:t>
      </w:r>
      <w:r>
        <w:t xml:space="preserve"> </w:t>
      </w:r>
      <w:r>
        <w:t xml:space="preserve">git commit hash, SHA-256 hashes of all input files, per-trade timings, and any</w:t>
      </w:r>
      <w:r>
        <w:t xml:space="preserve"> </w:t>
      </w:r>
      <w:r>
        <w:t xml:space="preserve">warnings or errors — a complete audit trail of inputs and outcomes. Per-trade</w:t>
      </w:r>
      <w:r>
        <w:t xml:space="preserve"> </w:t>
      </w:r>
      <w:r>
        <w:t xml:space="preserve">errors are captured (the run ends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) rather than aborting the whole</w:t>
      </w:r>
      <w:r>
        <w:t xml:space="preserve"> </w:t>
      </w:r>
      <w:r>
        <w:t xml:space="preserve">portfolio. A</w:t>
      </w:r>
      <w:r>
        <w:t xml:space="preserve"> </w:t>
      </w:r>
      <w:r>
        <w:rPr>
          <w:bCs/>
          <w:b/>
        </w:rPr>
        <w:t xml:space="preserve">golden-master regression</w:t>
      </w:r>
      <w:r>
        <w:t xml:space="preserve"> </w:t>
      </w:r>
      <w:r>
        <w:t xml:space="preserve">test pins valuation output against a</w:t>
      </w:r>
      <w:r>
        <w:t xml:space="preserve"> </w:t>
      </w:r>
      <w:r>
        <w:t xml:space="preserve">baseline so that any change in numerical behavior is surfaced explicitly.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model-testing"/>
    <w:p>
      <w:pPr>
        <w:pStyle w:val="Heading1"/>
      </w:pPr>
      <w:r>
        <w:t xml:space="preserve">7. Model Testing</w:t>
      </w:r>
    </w:p>
    <w:p>
      <w:pPr>
        <w:pStyle w:val="FirstParagraph"/>
      </w:pPr>
      <w:r>
        <w:rPr>
          <w:iCs/>
          <w:i/>
        </w:rPr>
        <w:t xml:space="preserve">[To be completed manually. Subsection scaffolding below.]</w:t>
      </w:r>
    </w:p>
    <w:bookmarkStart w:id="50" w:name="curve-interpolation"/>
    <w:p>
      <w:pPr>
        <w:pStyle w:val="Heading2"/>
      </w:pPr>
      <w:r>
        <w:t xml:space="preserve">7.1 Curve Interpolation</w:t>
      </w:r>
    </w:p>
    <w:p>
      <w:pPr>
        <w:pStyle w:val="FirstParagraph"/>
      </w:pPr>
      <w:r>
        <w:rPr>
          <w:iCs/>
          <w:i/>
        </w:rPr>
        <w:t xml:space="preserve">[To be completed manually.]</w:t>
      </w:r>
    </w:p>
    <w:bookmarkEnd w:id="50"/>
    <w:bookmarkStart w:id="51" w:name="calendar-generation"/>
    <w:p>
      <w:pPr>
        <w:pStyle w:val="Heading2"/>
      </w:pPr>
      <w:r>
        <w:t xml:space="preserve">7.2 Calendar Generation</w:t>
      </w:r>
    </w:p>
    <w:p>
      <w:pPr>
        <w:pStyle w:val="FirstParagraph"/>
      </w:pPr>
      <w:r>
        <w:rPr>
          <w:iCs/>
          <w:i/>
        </w:rPr>
        <w:t xml:space="preserve">Convention/adjustment settings, calendar-generation settings, schedule roll/EOM</w:t>
      </w:r>
      <w:r>
        <w:rPr>
          <w:iCs/>
          <w:i/>
        </w:rPr>
        <w:t xml:space="preserve"> </w:t>
      </w:r>
      <w:r>
        <w:rPr>
          <w:iCs/>
          <w:i/>
        </w:rPr>
        <w:t xml:space="preserve">behavior, and related tests.</w:t>
      </w:r>
    </w:p>
    <w:p>
      <w:pPr>
        <w:pStyle w:val="BodyText"/>
      </w:pPr>
      <w:r>
        <w:rPr>
          <w:iCs/>
          <w:i/>
        </w:rPr>
        <w:t xml:space="preserve">[To be completed manually.]</w:t>
      </w:r>
    </w:p>
    <w:bookmarkEnd w:id="51"/>
    <w:bookmarkStart w:id="52" w:name="valuation-compared-against-benchmarks"/>
    <w:p>
      <w:pPr>
        <w:pStyle w:val="Heading2"/>
      </w:pPr>
      <w:r>
        <w:t xml:space="preserve">7.3 Valuation Compared Against Benchmarks</w:t>
      </w:r>
    </w:p>
    <w:p>
      <w:pPr>
        <w:pStyle w:val="FirstParagraph"/>
      </w:pPr>
      <w:r>
        <w:rPr>
          <w:iCs/>
          <w:i/>
        </w:rPr>
        <w:t xml:space="preserve">Reconciliation to Bloomberg SWPM and Chatham Financial.</w:t>
      </w:r>
    </w:p>
    <w:p>
      <w:pPr>
        <w:pStyle w:val="BodyText"/>
      </w:pPr>
      <w:r>
        <w:rPr>
          <w:iCs/>
          <w:i/>
        </w:rPr>
        <w:t xml:space="preserve">[To be completed manually.]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assumptions-and-limitations"/>
    <w:p>
      <w:pPr>
        <w:pStyle w:val="Heading1"/>
      </w:pPr>
      <w:r>
        <w:t xml:space="preserve">8. Assumptions and Limitations</w:t>
      </w:r>
    </w:p>
    <w:bookmarkStart w:id="54" w:name="key-assumptions"/>
    <w:p>
      <w:pPr>
        <w:pStyle w:val="Heading2"/>
      </w:pPr>
      <w:r>
        <w:t xml:space="preserve">8.1 Key Assumptions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Dual-curve, no basis:</w:t>
      </w:r>
      <w:r>
        <w:t xml:space="preserve"> </w:t>
      </w:r>
      <w:r>
        <w:t xml:space="preserve">SOFR discounts and Fed Funds projects, with no</w:t>
      </w:r>
      <w:r>
        <w:t xml:space="preserve"> </w:t>
      </w:r>
      <w:r>
        <w:t xml:space="preserve">separately calibrated SOFR/Fed Funds basis curve.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Supplied curves:</w:t>
      </w:r>
      <w:r>
        <w:t xml:space="preserve"> </w:t>
      </w:r>
      <w:r>
        <w:t xml:space="preserve">zero curves are taken as model inputs; curve construction</w:t>
      </w:r>
      <w:r>
        <w:t xml:space="preserve"> </w:t>
      </w:r>
      <w:r>
        <w:t xml:space="preserve">/ bootstrapping is out of scope.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Collateralization:</w:t>
      </w:r>
      <w:r>
        <w:t xml:space="preserve"> </w:t>
      </w:r>
      <w:r>
        <w:t xml:space="preserve">trades are treated as fully collateralized for</w:t>
      </w:r>
      <w:r>
        <w:t xml:space="preserve"> </w:t>
      </w:r>
      <w:r>
        <w:t xml:space="preserve">discounting purposes (no CVA/DVA/FVA).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Curve quoting:</w:t>
      </w:r>
      <w:r>
        <w:t xml:space="preserve"> </w:t>
      </w:r>
      <w:r>
        <w:t xml:space="preserve">input pillar rates are continuously-compounded ACT/360 zero</w:t>
      </w:r>
      <w:r>
        <w:t xml:space="preserve"> </w:t>
      </w:r>
      <w:r>
        <w:t xml:space="preserve">rates; discount factors interpolate log-linearly on a calendar-day axis.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Floating reset:</w:t>
      </w:r>
      <w:r>
        <w:t xml:space="preserve"> </w:t>
      </w:r>
      <w:r>
        <w:t xml:space="preserve">the floating leg fixes in arrears on EFFR; weekends and</w:t>
      </w:r>
      <w:r>
        <w:t xml:space="preserve"> </w:t>
      </w:r>
      <w:r>
        <w:t xml:space="preserve">holidays carry the preceding business day’s overnight rate.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Inclusive accrual:</w:t>
      </w:r>
      <w:r>
        <w:t xml:space="preserve"> </w:t>
      </w:r>
      <w:r>
        <w:t xml:space="preserve">accrued interest uses an inclusive day-count that</w:t>
      </w:r>
      <w:r>
        <w:t xml:space="preserve"> </w:t>
      </w:r>
      <w:r>
        <w:t xml:space="preserve">reconciles to Chatham Financial rather than Bloomberg’s end-exclusive count.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USD-only book:</w:t>
      </w:r>
      <w:r>
        <w:t xml:space="preserve"> </w:t>
      </w:r>
      <w:r>
        <w:t xml:space="preserve">all trades and reporting are in USD.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Hedged debt:</w:t>
      </w:r>
      <w:r>
        <w:t xml:space="preserve"> </w:t>
      </w:r>
      <w:r>
        <w:t xml:space="preserve">for LH trades, the debt’s maturity equals the swap’s maturity</w:t>
      </w:r>
      <w:r>
        <w:t xml:space="preserve"> </w:t>
      </w:r>
      <w:r>
        <w:t xml:space="preserve">and its valuation coupon is the debt coupon net of the floating spread,</w:t>
      </w:r>
      <w:r>
        <w:t xml:space="preserve"> </w:t>
      </w:r>
      <w:r>
        <w:t xml:space="preserve">discounted on Fed Funds plus a credit/discount spread.</w:t>
      </w:r>
    </w:p>
    <w:bookmarkEnd w:id="54"/>
    <w:bookmarkStart w:id="55" w:name="key-limitations"/>
    <w:p>
      <w:pPr>
        <w:pStyle w:val="Heading2"/>
      </w:pPr>
      <w:r>
        <w:t xml:space="preserve">8.2 Key Limitations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Linear products only:</w:t>
      </w:r>
      <w:r>
        <w:t xml:space="preserve"> </w:t>
      </w:r>
      <w:r>
        <w:t xml:space="preserve">no optionality (caps/floors/swaptions), no CVA/DVA/FVA,</w:t>
      </w:r>
      <w:r>
        <w:t xml:space="preserve"> </w:t>
      </w:r>
      <w:r>
        <w:t xml:space="preserve">and no cross-currency or basis swaps.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Parallel DV01 only:</w:t>
      </w:r>
      <w:r>
        <w:t xml:space="preserve"> </w:t>
      </w:r>
      <w:r>
        <w:t xml:space="preserve">rate sensitivity is reported as a single +1bp parallel</w:t>
      </w:r>
      <w:r>
        <w:t xml:space="preserve"> </w:t>
      </w:r>
      <w:r>
        <w:t xml:space="preserve">dual-curve bump; no key-rate/bucketed sensitivities or cross-gamma are produced.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One-sided bump:</w:t>
      </w:r>
      <w:r>
        <w:t xml:space="preserve"> </w:t>
      </w:r>
      <w:r>
        <w:t xml:space="preserve">DV01 uses a forward difference; the bias is negligible at</w:t>
      </w:r>
      <w:r>
        <w:t xml:space="preserve"> </w:t>
      </w:r>
      <w:r>
        <w:t xml:space="preserve">1bp for linear swaps but is not a central difference.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Hard dependency on complete fixings:</w:t>
      </w:r>
      <w:r>
        <w:t xml:space="preserve"> </w:t>
      </w:r>
      <w:r>
        <w:t xml:space="preserve">a missing historical EFFR fixing fails</w:t>
      </w:r>
      <w:r>
        <w:t xml:space="preserve"> </w:t>
      </w:r>
      <w:r>
        <w:t xml:space="preserve">the affected trade rather than estimating a substitute.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Termination/reset simplifications:</w:t>
      </w:r>
      <w:r>
        <w:t xml:space="preserve"> </w:t>
      </w:r>
      <w:r>
        <w:t xml:space="preserve">the maturity date is rolled under the</w:t>
      </w:r>
      <w:r>
        <w:t xml:space="preserve"> </w:t>
      </w:r>
      <w:r>
        <w:t xml:space="preserve">leg’s business-day-adjustment rule (no separate termination-date adjustment),</w:t>
      </w:r>
      <w:r>
        <w:t xml:space="preserve"> </w:t>
      </w:r>
      <w:r>
        <w:t xml:space="preserve">and the floating reset uses a lookback lag only (no observation-shift variant).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curve calibration / market validation</w:t>
      </w:r>
      <w:r>
        <w:t xml:space="preserve"> </w:t>
      </w:r>
      <w:r>
        <w:t xml:space="preserve">of supplied inputs beyond format</w:t>
      </w:r>
      <w:r>
        <w:t xml:space="preserve"> </w:t>
      </w:r>
      <w:r>
        <w:t xml:space="preserve">and required-field checks.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governance-policies-and-controls"/>
    <w:p>
      <w:pPr>
        <w:pStyle w:val="Heading1"/>
      </w:pPr>
      <w:r>
        <w:t xml:space="preserve">9. Governance, Policies, and Controls</w:t>
      </w:r>
    </w:p>
    <w:p>
      <w:pPr>
        <w:pStyle w:val="FirstParagraph"/>
      </w:pPr>
      <w:r>
        <w:rPr>
          <w:iCs/>
          <w:i/>
        </w:rPr>
        <w:t xml:space="preserve">[To be completed.]</w:t>
      </w:r>
    </w:p>
    <w:p>
      <w:r>
        <w:pict>
          <v:rect style="width:0;height:1.5pt" o:hralign="center" o:hrstd="t" o:hr="t"/>
        </w:pict>
      </w:r>
    </w:p>
    <w:bookmarkEnd w:id="57"/>
    <w:bookmarkStart w:id="58" w:name="deployment-of-the-model"/>
    <w:p>
      <w:pPr>
        <w:pStyle w:val="Heading1"/>
      </w:pPr>
      <w:r>
        <w:t xml:space="preserve">10. Deployment of the Model</w:t>
      </w:r>
    </w:p>
    <w:p>
      <w:pPr>
        <w:pStyle w:val="FirstParagraph"/>
      </w:pPr>
      <w:r>
        <w:rPr>
          <w:iCs/>
          <w:i/>
        </w:rPr>
        <w:t xml:space="preserve">[To be completed.]</w:t>
      </w:r>
    </w:p>
    <w:p>
      <w:r>
        <w:pict>
          <v:rect style="width:0;height:1.5pt" o:hralign="center" o:hrstd="t" o:hr="t"/>
        </w:pict>
      </w:r>
    </w:p>
    <w:bookmarkEnd w:id="58"/>
    <w:bookmarkStart w:id="59" w:name="ongoing-monitoring-plan"/>
    <w:p>
      <w:pPr>
        <w:pStyle w:val="Heading1"/>
      </w:pPr>
      <w:r>
        <w:t xml:space="preserve">11. Ongoing Monitoring Plan</w:t>
      </w:r>
    </w:p>
    <w:p>
      <w:pPr>
        <w:pStyle w:val="FirstParagraph"/>
      </w:pPr>
      <w:r>
        <w:rPr>
          <w:iCs/>
          <w:i/>
        </w:rPr>
        <w:t xml:space="preserve">[To be completed.]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Documentation: Fed Funds Fixed–Float Swap Pricer</dc:title>
  <dc:creator/>
  <cp:keywords/>
  <dcterms:created xsi:type="dcterms:W3CDTF">2026-06-17T15:48:22Z</dcterms:created>
  <dcterms:modified xsi:type="dcterms:W3CDTF">2026-06-17T15:48:22Z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Valuation Model Documentation</vt:lpwstr>
  </property>
  <property fmtid="{D5CDD505-2E9C-101B-9397-08002B2CF9AE}" pid="3" name="subtitle">
    <vt:lpwstr>USD Interest Rate Swap Daily Mark-to-Market Valuation Model</vt:lpwstr>
  </property>
</Properties>
</file>