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after="80" w:lineRule="auto"/>
        <w:rPr/>
      </w:pPr>
      <w:bookmarkStart w:colFirst="0" w:colLast="0" w:name="_ieloadiu5ihm" w:id="0"/>
      <w:bookmarkEnd w:id="0"/>
      <w:r w:rsidDel="00000000" w:rsidR="00000000" w:rsidRPr="00000000">
        <w:rPr>
          <w:rFonts w:ascii="Times New Roman" w:cs="Times New Roman" w:eastAsia="Times New Roman" w:hAnsi="Times New Roman"/>
          <w:b w:val="1"/>
          <w:bCs w:val="1"/>
          <w:sz w:val="34"/>
          <w:szCs w:val="34"/>
          <w:rtl w:val="0"/>
        </w:rPr>
        <w:t xml:space="preserve">Guidelines for Writing Prospectus Sections</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2">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xhf6tp4s0gts" w:id="1"/>
      <w:bookmarkEnd w:id="1"/>
      <w:r w:rsidDel="00000000" w:rsidR="00000000" w:rsidRPr="00000000">
        <w:rPr>
          <w:rFonts w:ascii="Times New Roman" w:cs="Times New Roman" w:eastAsia="Times New Roman" w:hAnsi="Times New Roman"/>
          <w:b w:val="1"/>
          <w:bCs w:val="1"/>
          <w:sz w:val="34"/>
          <w:szCs w:val="34"/>
          <w:rtl w:val="0"/>
        </w:rPr>
        <w:t xml:space="preserve">Expected Timetable</w:t>
      </w:r>
    </w:p>
    <w:p w:rsidR="00000000" w:rsidDel="00000000" w:rsidP="00000000" w:rsidRDefault="00000000" w:rsidRPr="00000000" w14:paraId="00000003">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rtl w:val="0"/>
        </w:rPr>
        <w:t xml:space="preserve">Purpose &amp; format</w:t>
      </w:r>
      <w:r w:rsidDel="00000000" w:rsidR="00000000" w:rsidRPr="00000000">
        <w:rPr>
          <w:rtl w:val="0"/>
        </w:rPr>
      </w:r>
    </w:p>
    <w:p w:rsidR="00000000" w:rsidDel="00000000" w:rsidP="00000000" w:rsidRDefault="00000000" w:rsidRPr="00000000" w14:paraId="00000004">
      <w:pPr>
        <w:numPr>
          <w:ilvl w:val="0"/>
          <w:numId w:val="22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section should present a clear timeline of key events and dates for the offering process.</w:t>
      </w:r>
    </w:p>
    <w:p w:rsidR="00000000" w:rsidDel="00000000" w:rsidP="00000000" w:rsidRDefault="00000000" w:rsidRPr="00000000" w14:paraId="00000005">
      <w:pPr>
        <w:numPr>
          <w:ilvl w:val="0"/>
          <w:numId w:val="22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information is typically formatted as a list or table of milestones (with times and dates) in chronological order.</w:t>
      </w:r>
    </w:p>
    <w:p w:rsidR="00000000" w:rsidDel="00000000" w:rsidP="00000000" w:rsidRDefault="00000000" w:rsidRPr="00000000" w14:paraId="00000006">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What must be listed</w:t>
      </w:r>
    </w:p>
    <w:p w:rsidR="00000000" w:rsidDel="00000000" w:rsidP="00000000" w:rsidRDefault="00000000" w:rsidRPr="00000000" w14:paraId="00000007">
      <w:pPr>
        <w:numPr>
          <w:ilvl w:val="0"/>
          <w:numId w:val="8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example, it should list when the public offering opens and closes, the pricing/allocation announcement date, refund and share certificate dispatch dates, and the expected listing date.</w:t>
      </w:r>
    </w:p>
    <w:p w:rsidR="00000000" w:rsidDel="00000000" w:rsidP="00000000" w:rsidRDefault="00000000" w:rsidRPr="00000000" w14:paraId="00000008">
      <w:pPr>
        <w:numPr>
          <w:ilvl w:val="0"/>
          <w:numId w:val="8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Every event entry must include the specific date and local time it occurs to ensure precision.</w:t>
      </w:r>
    </w:p>
    <w:p w:rsidR="00000000" w:rsidDel="00000000" w:rsidP="00000000" w:rsidRDefault="00000000" w:rsidRPr="00000000" w14:paraId="00000009">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Required precision &amp; standard notes</w:t>
      </w:r>
    </w:p>
    <w:p w:rsidR="00000000" w:rsidDel="00000000" w:rsidP="00000000" w:rsidRDefault="00000000" w:rsidRPr="00000000" w14:paraId="0000000A">
      <w:pPr>
        <w:numPr>
          <w:ilvl w:val="0"/>
          <w:numId w:val="8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standard feature is a cautionary note that if the schedule changes, the company will issue an official announcement to notify investors.</w:t>
      </w:r>
    </w:p>
    <w:p w:rsidR="00000000" w:rsidDel="00000000" w:rsidP="00000000" w:rsidRDefault="00000000" w:rsidRPr="00000000" w14:paraId="0000000B">
      <w:pPr>
        <w:numPr>
          <w:ilvl w:val="0"/>
          <w:numId w:val="89"/>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content’s granularity is exact – including specific times (e.g. “9:00 a.m. on Tuesday, December 1, 2020”) and the full date for each step.</w:t>
      </w:r>
    </w:p>
    <w:p w:rsidR="00000000" w:rsidDel="00000000" w:rsidP="00000000" w:rsidRDefault="00000000" w:rsidRPr="00000000" w14:paraId="0000000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Language &amp; additional explanations</w:t>
      </w:r>
    </w:p>
    <w:p w:rsidR="00000000" w:rsidDel="00000000" w:rsidP="00000000" w:rsidRDefault="00000000" w:rsidRPr="00000000" w14:paraId="0000000D">
      <w:pPr>
        <w:numPr>
          <w:ilvl w:val="0"/>
          <w:numId w:val="13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language should be factual and concise, directly informing investors of when each crucial step of the offering will take place.</w:t>
      </w:r>
    </w:p>
    <w:p w:rsidR="00000000" w:rsidDel="00000000" w:rsidP="00000000" w:rsidRDefault="00000000" w:rsidRPr="00000000" w14:paraId="0000000E">
      <w:pPr>
        <w:numPr>
          <w:ilvl w:val="0"/>
          <w:numId w:val="13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Footnotes may be used for additional explanation (for instance, to explain any contingencies or adjustments to the timetable).</w:t>
      </w:r>
    </w:p>
    <w:p w:rsidR="00000000" w:rsidDel="00000000" w:rsidP="00000000" w:rsidRDefault="00000000" w:rsidRPr="00000000" w14:paraId="0000000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Investor value</w:t>
      </w:r>
    </w:p>
    <w:p w:rsidR="00000000" w:rsidDel="00000000" w:rsidP="00000000" w:rsidRDefault="00000000" w:rsidRPr="00000000" w14:paraId="00000010">
      <w:pPr>
        <w:numPr>
          <w:ilvl w:val="0"/>
          <w:numId w:val="136"/>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By providing a precise and complete schedule of the offering in an easy-to-scan format, this section ensures investors know all important deadlines and events in the IPO process.</w:t>
      </w:r>
    </w:p>
    <w:p w:rsidR="00000000" w:rsidDel="00000000" w:rsidP="00000000" w:rsidRDefault="00000000" w:rsidRPr="00000000" w14:paraId="00000011">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2">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o1tjfrw3w1wo" w:id="2"/>
      <w:bookmarkEnd w:id="2"/>
      <w:r w:rsidDel="00000000" w:rsidR="00000000" w:rsidRPr="00000000">
        <w:rPr>
          <w:rFonts w:ascii="Times New Roman" w:cs="Times New Roman" w:eastAsia="Times New Roman" w:hAnsi="Times New Roman"/>
          <w:b w:val="1"/>
          <w:bCs w:val="1"/>
          <w:sz w:val="34"/>
          <w:szCs w:val="34"/>
          <w:rtl w:val="0"/>
        </w:rPr>
        <w:t xml:space="preserve">Contents</w:t>
      </w:r>
    </w:p>
    <w:p w:rsidR="00000000" w:rsidDel="00000000" w:rsidP="00000000" w:rsidRDefault="00000000" w:rsidRPr="00000000" w14:paraId="00000013">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Core function</w:t>
      </w:r>
    </w:p>
    <w:p w:rsidR="00000000" w:rsidDel="00000000" w:rsidP="00000000" w:rsidRDefault="00000000" w:rsidRPr="00000000" w14:paraId="00000014">
      <w:pPr>
        <w:numPr>
          <w:ilvl w:val="0"/>
          <w:numId w:val="53"/>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the Contents section, the prospectus provides a structured table of contents mapping out all chapters, sections, and appendices along with their corresponding page numbers.</w:t>
      </w:r>
    </w:p>
    <w:p w:rsidR="00000000" w:rsidDel="00000000" w:rsidP="00000000" w:rsidRDefault="00000000" w:rsidRPr="00000000" w14:paraId="00000015">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Output requirements</w:t>
      </w:r>
    </w:p>
    <w:p w:rsidR="00000000" w:rsidDel="00000000" w:rsidP="00000000" w:rsidRDefault="00000000" w:rsidRPr="00000000" w14:paraId="00000016">
      <w:pPr>
        <w:numPr>
          <w:ilvl w:val="0"/>
          <w:numId w:val="14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should generate this as an ordered list of section titles exactly as they appear (e.g. “SUMMARY – Page 1”, “RISK FACTORS – Page 44”, etc.), mirroring the official format.</w:t>
      </w:r>
    </w:p>
    <w:p w:rsidR="00000000" w:rsidDel="00000000" w:rsidP="00000000" w:rsidRDefault="00000000" w:rsidRPr="00000000" w14:paraId="00000017">
      <w:pPr>
        <w:numPr>
          <w:ilvl w:val="0"/>
          <w:numId w:val="14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entry should align with the actual titles and page numbering of the prospectus.</w:t>
      </w:r>
    </w:p>
    <w:p w:rsidR="00000000" w:rsidDel="00000000" w:rsidP="00000000" w:rsidRDefault="00000000" w:rsidRPr="00000000" w14:paraId="00000018">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Coverage &amp; granularity</w:t>
      </w:r>
    </w:p>
    <w:p w:rsidR="00000000" w:rsidDel="00000000" w:rsidP="00000000" w:rsidRDefault="00000000" w:rsidRPr="00000000" w14:paraId="00000019">
      <w:pPr>
        <w:numPr>
          <w:ilvl w:val="0"/>
          <w:numId w:val="8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information framework is straightforward: it includes every major heading and sub-heading (often down to second-level headings) in the document, in sequence.</w:t>
      </w:r>
    </w:p>
    <w:p w:rsidR="00000000" w:rsidDel="00000000" w:rsidP="00000000" w:rsidRDefault="00000000" w:rsidRPr="00000000" w14:paraId="0000001A">
      <w:pPr>
        <w:numPr>
          <w:ilvl w:val="0"/>
          <w:numId w:val="8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standard content range covers all sections from the front of the prospectus through the appendices, giving readers an overview of the document’s structure.</w:t>
      </w:r>
    </w:p>
    <w:p w:rsidR="00000000" w:rsidDel="00000000" w:rsidP="00000000" w:rsidRDefault="00000000" w:rsidRPr="00000000" w14:paraId="0000001B">
      <w:pPr>
        <w:numPr>
          <w:ilvl w:val="0"/>
          <w:numId w:val="8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Information granularity here means including every relevant heading and its page, ensuring no section is omitted.</w:t>
      </w:r>
    </w:p>
    <w:p w:rsidR="00000000" w:rsidDel="00000000" w:rsidP="00000000" w:rsidRDefault="00000000" w:rsidRPr="00000000" w14:paraId="0000001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Examples of included headings</w:t>
      </w:r>
    </w:p>
    <w:p w:rsidR="00000000" w:rsidDel="00000000" w:rsidP="00000000" w:rsidRDefault="00000000" w:rsidRPr="00000000" w14:paraId="0000001D">
      <w:pPr>
        <w:numPr>
          <w:ilvl w:val="0"/>
          <w:numId w:val="77"/>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example, the contents should list sections like “Summary”, “Definitions”, “Risk Factors”, “Business”, “Financial Information”, etc., each with the page number where that section begins.</w:t>
      </w:r>
    </w:p>
    <w:p w:rsidR="00000000" w:rsidDel="00000000" w:rsidP="00000000" w:rsidRDefault="00000000" w:rsidRPr="00000000" w14:paraId="0000001E">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Formatting expectations</w:t>
      </w:r>
    </w:p>
    <w:p w:rsidR="00000000" w:rsidDel="00000000" w:rsidP="00000000" w:rsidRDefault="00000000" w:rsidRPr="00000000" w14:paraId="0000001F">
      <w:pPr>
        <w:numPr>
          <w:ilvl w:val="0"/>
          <w:numId w:val="74"/>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AI’s output should exactly reflect the final document’s sectional breakdown, maintaining the formatting (often leaders or dot lines connecting section titles to page numbers) for a professional, compliant appearance.</w:t>
      </w:r>
    </w:p>
    <w:p w:rsidR="00000000" w:rsidDel="00000000" w:rsidP="00000000" w:rsidRDefault="00000000" w:rsidRPr="00000000" w14:paraId="00000020">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1">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a35vu7knt3s" w:id="3"/>
      <w:bookmarkEnd w:id="3"/>
      <w:r w:rsidDel="00000000" w:rsidR="00000000" w:rsidRPr="00000000">
        <w:rPr>
          <w:rFonts w:ascii="Times New Roman" w:cs="Times New Roman" w:eastAsia="Times New Roman" w:hAnsi="Times New Roman"/>
          <w:b w:val="1"/>
          <w:bCs w:val="1"/>
          <w:sz w:val="34"/>
          <w:szCs w:val="34"/>
          <w:rtl w:val="0"/>
        </w:rPr>
        <w:t xml:space="preserve">Summary</w:t>
      </w:r>
    </w:p>
    <w:p w:rsidR="00000000" w:rsidDel="00000000" w:rsidP="00000000" w:rsidRDefault="00000000" w:rsidRPr="00000000" w14:paraId="00000022">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Role of the section</w:t>
      </w:r>
    </w:p>
    <w:p w:rsidR="00000000" w:rsidDel="00000000" w:rsidP="00000000" w:rsidRDefault="00000000" w:rsidRPr="00000000" w14:paraId="00000023">
      <w:pPr>
        <w:numPr>
          <w:ilvl w:val="0"/>
          <w:numId w:val="108"/>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Summary section provides a high-level overview of the company and the offering, condensing critical information for a quick read.</w:t>
      </w:r>
    </w:p>
    <w:p w:rsidR="00000000" w:rsidDel="00000000" w:rsidP="00000000" w:rsidRDefault="00000000" w:rsidRPr="00000000" w14:paraId="00000024">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Structure &amp; required elements</w:t>
      </w:r>
    </w:p>
    <w:p w:rsidR="00000000" w:rsidDel="00000000" w:rsidP="00000000" w:rsidRDefault="00000000" w:rsidRPr="00000000" w14:paraId="00000025">
      <w:pPr>
        <w:numPr>
          <w:ilvl w:val="0"/>
          <w:numId w:val="21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should structure this as a narrative that touches on all essential points: a brief introduction to the company’s business and industry, key financial figures, major strengths, strategies, and significant risks, as well as basic details of the offering.</w:t>
      </w:r>
    </w:p>
    <w:p w:rsidR="00000000" w:rsidDel="00000000" w:rsidP="00000000" w:rsidRDefault="00000000" w:rsidRPr="00000000" w14:paraId="00000026">
      <w:pPr>
        <w:numPr>
          <w:ilvl w:val="0"/>
          <w:numId w:val="21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 should begin with a statement of purpose (e.g. “This summary aims to give you an overview of the information contained in this prospectus... You should read the entire document before making any investment decision”) to remind readers that it’s only a synopsis.</w:t>
      </w:r>
    </w:p>
    <w:p w:rsidR="00000000" w:rsidDel="00000000" w:rsidP="00000000" w:rsidRDefault="00000000" w:rsidRPr="00000000" w14:paraId="0000002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Scope and content range</w:t>
      </w:r>
    </w:p>
    <w:p w:rsidR="00000000" w:rsidDel="00000000" w:rsidP="00000000" w:rsidRDefault="00000000" w:rsidRPr="00000000" w14:paraId="00000028">
      <w:pPr>
        <w:numPr>
          <w:ilvl w:val="0"/>
          <w:numId w:val="20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content range must cover the company’s core business model and market position in a few sentences, highlight revenue/profit trends or other important financial metrics, and mention any distinctive aspects (for instance, the presence of a unique selling point or competitive advantage).</w:t>
      </w:r>
    </w:p>
    <w:p w:rsidR="00000000" w:rsidDel="00000000" w:rsidP="00000000" w:rsidRDefault="00000000" w:rsidRPr="00000000" w14:paraId="00000029">
      <w:pPr>
        <w:numPr>
          <w:ilvl w:val="0"/>
          <w:numId w:val="20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 should include summarized financial information, often in table form, for the track record period (e.g. summary of income statements, balance sheets, and cash flows) to give investors a snapshot of performance.</w:t>
      </w:r>
    </w:p>
    <w:p w:rsidR="00000000" w:rsidDel="00000000" w:rsidP="00000000" w:rsidRDefault="00000000" w:rsidRPr="00000000" w14:paraId="0000002A">
      <w:pPr>
        <w:numPr>
          <w:ilvl w:val="0"/>
          <w:numId w:val="20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summary also typically outlines a few material risk factors in brief, alerting investors to key risks (with a cross-reference to the Risk Factors section).</w:t>
      </w:r>
    </w:p>
    <w:p w:rsidR="00000000" w:rsidDel="00000000" w:rsidP="00000000" w:rsidRDefault="00000000" w:rsidRPr="00000000" w14:paraId="0000002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If applicable</w:t>
      </w:r>
    </w:p>
    <w:p w:rsidR="00000000" w:rsidDel="00000000" w:rsidP="00000000" w:rsidRDefault="00000000" w:rsidRPr="00000000" w14:paraId="0000002C">
      <w:pPr>
        <w:numPr>
          <w:ilvl w:val="0"/>
          <w:numId w:val="190"/>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applicable, it should note recent developments (such as significant post-period events or industry changes that affect the company) and the expected impact.</w:t>
      </w:r>
    </w:p>
    <w:p w:rsidR="00000000" w:rsidDel="00000000" w:rsidP="00000000" w:rsidRDefault="00000000" w:rsidRPr="00000000" w14:paraId="0000002D">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Tone &amp; level of detail</w:t>
      </w:r>
    </w:p>
    <w:p w:rsidR="00000000" w:rsidDel="00000000" w:rsidP="00000000" w:rsidRDefault="00000000" w:rsidRPr="00000000" w14:paraId="0000002E">
      <w:pPr>
        <w:numPr>
          <w:ilvl w:val="0"/>
          <w:numId w:val="70"/>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information should be presented in a balanced, factual tone without marketing hype, and with enough granularity that an investor gains a solid understanding of the company’s profile and the offering terms – but not so detailed that it overwhelms (each point is concise, since fuller details appear in later sections).</w:t>
      </w:r>
    </w:p>
    <w:p w:rsidR="00000000" w:rsidDel="00000000" w:rsidP="00000000" w:rsidRDefault="00000000" w:rsidRPr="00000000" w14:paraId="0000002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Overall purpose</w:t>
      </w:r>
    </w:p>
    <w:p w:rsidR="00000000" w:rsidDel="00000000" w:rsidP="00000000" w:rsidRDefault="00000000" w:rsidRPr="00000000" w14:paraId="00000030">
      <w:pPr>
        <w:numPr>
          <w:ilvl w:val="0"/>
          <w:numId w:val="225"/>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Essentially, this section acts as an informative “executive summary” of the prospectus, covering business overview, financial highlights, key risks, and offering details in a structured, reader-friendly manner.</w:t>
      </w:r>
    </w:p>
    <w:p w:rsidR="00000000" w:rsidDel="00000000" w:rsidP="00000000" w:rsidRDefault="00000000" w:rsidRPr="00000000" w14:paraId="00000031">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2">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tcpcb4g22n2b" w:id="4"/>
      <w:bookmarkEnd w:id="4"/>
      <w:r w:rsidDel="00000000" w:rsidR="00000000" w:rsidRPr="00000000">
        <w:rPr>
          <w:rFonts w:ascii="Times New Roman" w:cs="Times New Roman" w:eastAsia="Times New Roman" w:hAnsi="Times New Roman"/>
          <w:b w:val="1"/>
          <w:bCs w:val="1"/>
          <w:sz w:val="34"/>
          <w:szCs w:val="34"/>
          <w:rtl w:val="0"/>
        </w:rPr>
        <w:t xml:space="preserve">Definitions</w:t>
      </w:r>
    </w:p>
    <w:p w:rsidR="00000000" w:rsidDel="00000000" w:rsidP="00000000" w:rsidRDefault="00000000" w:rsidRPr="00000000" w14:paraId="00000033">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What it is</w:t>
      </w:r>
    </w:p>
    <w:p w:rsidR="00000000" w:rsidDel="00000000" w:rsidP="00000000" w:rsidRDefault="00000000" w:rsidRPr="00000000" w14:paraId="00000034">
      <w:pPr>
        <w:numPr>
          <w:ilvl w:val="0"/>
          <w:numId w:val="18"/>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Definitions section is a comprehensive glossary of defined terms used throughout the prospectus.</w:t>
      </w:r>
    </w:p>
    <w:p w:rsidR="00000000" w:rsidDel="00000000" w:rsidP="00000000" w:rsidRDefault="00000000" w:rsidRPr="00000000" w14:paraId="00000035">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Required format</w:t>
      </w:r>
    </w:p>
    <w:p w:rsidR="00000000" w:rsidDel="00000000" w:rsidP="00000000" w:rsidRDefault="00000000" w:rsidRPr="00000000" w14:paraId="00000036">
      <w:pPr>
        <w:numPr>
          <w:ilvl w:val="0"/>
          <w:numId w:val="6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should output it as an alphabetical list of terms, each followed by a clear definition.</w:t>
      </w:r>
    </w:p>
    <w:p w:rsidR="00000000" w:rsidDel="00000000" w:rsidP="00000000" w:rsidRDefault="00000000" w:rsidRPr="00000000" w14:paraId="00000037">
      <w:pPr>
        <w:numPr>
          <w:ilvl w:val="0"/>
          <w:numId w:val="6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information framework is essentially a dictionary-style format: term on the left (often in quotation marks or bold), and its meaning on the right.</w:t>
      </w:r>
    </w:p>
    <w:p w:rsidR="00000000" w:rsidDel="00000000" w:rsidP="00000000" w:rsidRDefault="00000000" w:rsidRPr="00000000" w14:paraId="00000038">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What gets defined</w:t>
      </w:r>
    </w:p>
    <w:p w:rsidR="00000000" w:rsidDel="00000000" w:rsidP="00000000" w:rsidRDefault="00000000" w:rsidRPr="00000000" w14:paraId="00000039">
      <w:pPr>
        <w:numPr>
          <w:ilvl w:val="0"/>
          <w:numId w:val="6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example, it will define the company name (e.g. “Company Name” means the issuer and its subsidiaries), technical abbreviations, names of significant entities, and other repeated phrases.</w:t>
      </w:r>
    </w:p>
    <w:p w:rsidR="00000000" w:rsidDel="00000000" w:rsidP="00000000" w:rsidRDefault="00000000" w:rsidRPr="00000000" w14:paraId="0000003A">
      <w:pPr>
        <w:numPr>
          <w:ilvl w:val="0"/>
          <w:numId w:val="69"/>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Standard content includes names of key people (“Mr. X” – followed by the person’s full name and title), company entities, regulatory authorities, industry terms, abbreviations for financial or legal terms, and any other jargon or short-form that appears in the document.</w:t>
      </w:r>
    </w:p>
    <w:p w:rsidR="00000000" w:rsidDel="00000000" w:rsidP="00000000" w:rsidRDefault="00000000" w:rsidRPr="00000000" w14:paraId="0000003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Accuracy &amp; completeness</w:t>
      </w:r>
    </w:p>
    <w:p w:rsidR="00000000" w:rsidDel="00000000" w:rsidP="00000000" w:rsidRDefault="00000000" w:rsidRPr="00000000" w14:paraId="0000003C">
      <w:pPr>
        <w:numPr>
          <w:ilvl w:val="0"/>
          <w:numId w:val="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definition should be accurate and succinct, capturing the essence (for instance, defining “PRC” as “the People’s Republic of China, excluding for the purpose of this prospectus Hong Kong, Macau and Taiwan”).</w:t>
      </w:r>
    </w:p>
    <w:p w:rsidR="00000000" w:rsidDel="00000000" w:rsidP="00000000" w:rsidRDefault="00000000" w:rsidRPr="00000000" w14:paraId="0000003D">
      <w:pPr>
        <w:numPr>
          <w:ilvl w:val="0"/>
          <w:numId w:val="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granularity requirement is that every significant term that could be unfamiliar or have a specific meaning in the context of this company/industry is included, to ensure the prospectus is self-contained in clarity.</w:t>
      </w:r>
    </w:p>
    <w:p w:rsidR="00000000" w:rsidDel="00000000" w:rsidP="00000000" w:rsidRDefault="00000000" w:rsidRPr="00000000" w14:paraId="0000003E">
      <w:pPr>
        <w:numPr>
          <w:ilvl w:val="0"/>
          <w:numId w:val="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AI’s output should maintain the exact phrasing used in the prospectus for consistency and legal precision.</w:t>
      </w:r>
    </w:p>
    <w:p w:rsidR="00000000" w:rsidDel="00000000" w:rsidP="00000000" w:rsidRDefault="00000000" w:rsidRPr="00000000" w14:paraId="0000003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Style note</w:t>
      </w:r>
    </w:p>
    <w:p w:rsidR="00000000" w:rsidDel="00000000" w:rsidP="00000000" w:rsidRDefault="00000000" w:rsidRPr="00000000" w14:paraId="00000040">
      <w:pPr>
        <w:numPr>
          <w:ilvl w:val="0"/>
          <w:numId w:val="26"/>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section does not use narrative sentences, but rather a list format with each term’s definition separated, enabling readers to easily look up meanings of terms as they proceed through the document.</w:t>
      </w:r>
    </w:p>
    <w:p w:rsidR="00000000" w:rsidDel="00000000" w:rsidP="00000000" w:rsidRDefault="00000000" w:rsidRPr="00000000" w14:paraId="00000041">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2">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ptzhkuhu3yn" w:id="5"/>
      <w:bookmarkEnd w:id="5"/>
      <w:r w:rsidDel="00000000" w:rsidR="00000000" w:rsidRPr="00000000">
        <w:rPr>
          <w:rFonts w:ascii="Times New Roman" w:cs="Times New Roman" w:eastAsia="Times New Roman" w:hAnsi="Times New Roman"/>
          <w:b w:val="1"/>
          <w:bCs w:val="1"/>
          <w:sz w:val="34"/>
          <w:szCs w:val="34"/>
          <w:rtl w:val="0"/>
        </w:rPr>
        <w:t xml:space="preserve">Glossary of Technical Terms</w:t>
      </w:r>
    </w:p>
    <w:p w:rsidR="00000000" w:rsidDel="00000000" w:rsidP="00000000" w:rsidRDefault="00000000" w:rsidRPr="00000000" w14:paraId="00000043">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How it differs from Definitions</w:t>
      </w:r>
    </w:p>
    <w:p w:rsidR="00000000" w:rsidDel="00000000" w:rsidP="00000000" w:rsidRDefault="00000000" w:rsidRPr="00000000" w14:paraId="00000044">
      <w:pPr>
        <w:numPr>
          <w:ilvl w:val="0"/>
          <w:numId w:val="142"/>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section resembles the Definitions section but focuses on industry- or technical-specific terminology that a general investor might not know.</w:t>
      </w:r>
    </w:p>
    <w:p w:rsidR="00000000" w:rsidDel="00000000" w:rsidP="00000000" w:rsidRDefault="00000000" w:rsidRPr="00000000" w14:paraId="00000045">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Required format &amp; tone</w:t>
      </w:r>
    </w:p>
    <w:p w:rsidR="00000000" w:rsidDel="00000000" w:rsidP="00000000" w:rsidRDefault="00000000" w:rsidRPr="00000000" w14:paraId="00000046">
      <w:pPr>
        <w:numPr>
          <w:ilvl w:val="0"/>
          <w:numId w:val="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should produce an alphabetized list of technical terms or acronyms, each with a brief explanation.</w:t>
      </w:r>
    </w:p>
    <w:p w:rsidR="00000000" w:rsidDel="00000000" w:rsidP="00000000" w:rsidRDefault="00000000" w:rsidRPr="00000000" w14:paraId="00000047">
      <w:pPr>
        <w:numPr>
          <w:ilvl w:val="0"/>
          <w:numId w:val="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information framework is similar to a glossary entry: term followed by a one-line or short paragraph definition explaining it in plain language.</w:t>
      </w:r>
    </w:p>
    <w:p w:rsidR="00000000" w:rsidDel="00000000" w:rsidP="00000000" w:rsidRDefault="00000000" w:rsidRPr="00000000" w14:paraId="00000048">
      <w:pPr>
        <w:numPr>
          <w:ilvl w:val="0"/>
          <w:numId w:val="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tone is factual and explanatory.</w:t>
      </w:r>
    </w:p>
    <w:p w:rsidR="00000000" w:rsidDel="00000000" w:rsidP="00000000" w:rsidRDefault="00000000" w:rsidRPr="00000000" w14:paraId="00000049">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Content scope &amp; examples</w:t>
      </w:r>
    </w:p>
    <w:p w:rsidR="00000000" w:rsidDel="00000000" w:rsidP="00000000" w:rsidRDefault="00000000" w:rsidRPr="00000000" w14:paraId="0000004A">
      <w:pPr>
        <w:numPr>
          <w:ilvl w:val="0"/>
          <w:numId w:val="17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content scope covers jargon, scientific or product terms, and industry-specific concepts related to the company’s business.</w:t>
      </w:r>
    </w:p>
    <w:p w:rsidR="00000000" w:rsidDel="00000000" w:rsidP="00000000" w:rsidRDefault="00000000" w:rsidRPr="00000000" w14:paraId="0000004B">
      <w:pPr>
        <w:numPr>
          <w:ilvl w:val="0"/>
          <w:numId w:val="17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example, in a technology company’s prospectus this might include definitions of technical standards or in a biotech prospectus, definitions of medical terms.</w:t>
      </w:r>
    </w:p>
    <w:p w:rsidR="00000000" w:rsidDel="00000000" w:rsidP="00000000" w:rsidRDefault="00000000" w:rsidRPr="00000000" w14:paraId="0000004C">
      <w:pPr>
        <w:numPr>
          <w:ilvl w:val="0"/>
          <w:numId w:val="17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the case of Pop Mart, terms related to pop culture toys and IP might be included (e.g. definitions of “IP” in the context of Intellectual Property characters, or specific product category names).</w:t>
      </w:r>
    </w:p>
    <w:p w:rsidR="00000000" w:rsidDel="00000000" w:rsidP="00000000" w:rsidRDefault="00000000" w:rsidRPr="00000000" w14:paraId="0000004D">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Granularity &amp; consistency</w:t>
      </w:r>
    </w:p>
    <w:p w:rsidR="00000000" w:rsidDel="00000000" w:rsidP="00000000" w:rsidRDefault="00000000" w:rsidRPr="00000000" w14:paraId="0000004E">
      <w:pPr>
        <w:numPr>
          <w:ilvl w:val="0"/>
          <w:numId w:val="7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granularity should be enough to give a reader basic understanding of each term – not a full essay, just a concise clarification.</w:t>
      </w:r>
    </w:p>
    <w:p w:rsidR="00000000" w:rsidDel="00000000" w:rsidP="00000000" w:rsidRDefault="00000000" w:rsidRPr="00000000" w14:paraId="0000004F">
      <w:pPr>
        <w:numPr>
          <w:ilvl w:val="0"/>
          <w:numId w:val="7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should ensure consistency with how these terms are later used in the Business or Industry sections.</w:t>
      </w:r>
    </w:p>
    <w:p w:rsidR="00000000" w:rsidDel="00000000" w:rsidP="00000000" w:rsidRDefault="00000000" w:rsidRPr="00000000" w14:paraId="00000050">
      <w:pPr>
        <w:numPr>
          <w:ilvl w:val="0"/>
          <w:numId w:val="7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instance, if “blind box” or “pop toy” is a technical term, it should be defined (e.g. “Pop toys – toys infused with pop culture and trendy content, often sold in blind boxes”).</w:t>
      </w:r>
    </w:p>
    <w:p w:rsidR="00000000" w:rsidDel="00000000" w:rsidP="00000000" w:rsidRDefault="00000000" w:rsidRPr="00000000" w14:paraId="0000005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Why it matters</w:t>
      </w:r>
    </w:p>
    <w:p w:rsidR="00000000" w:rsidDel="00000000" w:rsidP="00000000" w:rsidRDefault="00000000" w:rsidRPr="00000000" w14:paraId="00000052">
      <w:pPr>
        <w:numPr>
          <w:ilvl w:val="0"/>
          <w:numId w:val="80"/>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By including this section, the prospectus ensures that all readers, regardless of background, can understand specialized terms used in describing the business and its industry.</w:t>
      </w:r>
    </w:p>
    <w:p w:rsidR="00000000" w:rsidDel="00000000" w:rsidP="00000000" w:rsidRDefault="00000000" w:rsidRPr="00000000" w14:paraId="00000053">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4">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181vpffkj7h1" w:id="6"/>
      <w:bookmarkEnd w:id="6"/>
      <w:r w:rsidDel="00000000" w:rsidR="00000000" w:rsidRPr="00000000">
        <w:rPr>
          <w:rFonts w:ascii="Times New Roman" w:cs="Times New Roman" w:eastAsia="Times New Roman" w:hAnsi="Times New Roman"/>
          <w:b w:val="1"/>
          <w:bCs w:val="1"/>
          <w:sz w:val="34"/>
          <w:szCs w:val="34"/>
          <w:rtl w:val="0"/>
        </w:rPr>
        <w:t xml:space="preserve">Forward-Looking Statements</w:t>
      </w:r>
    </w:p>
    <w:p w:rsidR="00000000" w:rsidDel="00000000" w:rsidP="00000000" w:rsidRDefault="00000000" w:rsidRPr="00000000" w14:paraId="00000055">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Purpose</w:t>
      </w:r>
    </w:p>
    <w:p w:rsidR="00000000" w:rsidDel="00000000" w:rsidP="00000000" w:rsidRDefault="00000000" w:rsidRPr="00000000" w14:paraId="00000056">
      <w:pPr>
        <w:numPr>
          <w:ilvl w:val="0"/>
          <w:numId w:val="209"/>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Forward-Looking Statements section is a cautionary disclaimer explaining that certain statements in the prospectus are predictive or based on future expectations.</w:t>
      </w:r>
    </w:p>
    <w:p w:rsidR="00000000" w:rsidDel="00000000" w:rsidP="00000000" w:rsidRDefault="00000000" w:rsidRPr="00000000" w14:paraId="0000005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Drafting requirements</w:t>
      </w:r>
    </w:p>
    <w:p w:rsidR="00000000" w:rsidDel="00000000" w:rsidP="00000000" w:rsidRDefault="00000000" w:rsidRPr="00000000" w14:paraId="00000058">
      <w:pPr>
        <w:numPr>
          <w:ilvl w:val="0"/>
          <w:numId w:val="1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should draft this in formal, legal language, making clear that any statements about future plans, prospects, or performance are not guarantees.</w:t>
      </w:r>
    </w:p>
    <w:p w:rsidR="00000000" w:rsidDel="00000000" w:rsidP="00000000" w:rsidRDefault="00000000" w:rsidRPr="00000000" w14:paraId="00000059">
      <w:pPr>
        <w:numPr>
          <w:ilvl w:val="0"/>
          <w:numId w:val="19"/>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content typically states that forward-looking statements are based on assumptions and information currently available to the company, which may prove to be inaccurate.</w:t>
      </w:r>
    </w:p>
    <w:p w:rsidR="00000000" w:rsidDel="00000000" w:rsidP="00000000" w:rsidRDefault="00000000" w:rsidRPr="00000000" w14:paraId="0000005A">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What must be covered</w:t>
      </w:r>
    </w:p>
    <w:p w:rsidR="00000000" w:rsidDel="00000000" w:rsidP="00000000" w:rsidRDefault="00000000" w:rsidRPr="00000000" w14:paraId="0000005B">
      <w:pPr>
        <w:numPr>
          <w:ilvl w:val="0"/>
          <w:numId w:val="22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 should enumerate the kinds of statements that qualify (e.g. those regarding future growth, market demand, expansion plans, financial projections) and then warn that actual results could differ materially due to known or unknown risks and uncertainties.</w:t>
      </w:r>
    </w:p>
    <w:p w:rsidR="00000000" w:rsidDel="00000000" w:rsidP="00000000" w:rsidRDefault="00000000" w:rsidRPr="00000000" w14:paraId="0000005C">
      <w:pPr>
        <w:numPr>
          <w:ilvl w:val="0"/>
          <w:numId w:val="22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standard phrase would be that investors are cautioned not to place undue reliance on these forward-looking statements.</w:t>
      </w:r>
    </w:p>
    <w:p w:rsidR="00000000" w:rsidDel="00000000" w:rsidP="00000000" w:rsidRDefault="00000000" w:rsidRPr="00000000" w14:paraId="0000005D">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Timing &amp; updating</w:t>
      </w:r>
    </w:p>
    <w:p w:rsidR="00000000" w:rsidDel="00000000" w:rsidP="00000000" w:rsidRDefault="00000000" w:rsidRPr="00000000" w14:paraId="0000005E">
      <w:pPr>
        <w:numPr>
          <w:ilvl w:val="0"/>
          <w:numId w:val="117"/>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section also often mentions that all forward-looking statements speak only as of the date of the prospectus, and the company undertakes no obligation to update them unless required by law.</w:t>
      </w:r>
    </w:p>
    <w:p w:rsidR="00000000" w:rsidDel="00000000" w:rsidP="00000000" w:rsidRDefault="00000000" w:rsidRPr="00000000" w14:paraId="0000005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Typical structure</w:t>
      </w:r>
    </w:p>
    <w:p w:rsidR="00000000" w:rsidDel="00000000" w:rsidP="00000000" w:rsidRDefault="00000000" w:rsidRPr="00000000" w14:paraId="00000060">
      <w:pPr>
        <w:numPr>
          <w:ilvl w:val="0"/>
          <w:numId w:val="191"/>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information framework is generally a few cautionary paragraphs – starting by identifying forward-looking statements, then highlighting risk factors that could cause outcomes to differ, and ending with the qualification that the statements are expressly qualified by these cautionary notes.</w:t>
      </w:r>
    </w:p>
    <w:p w:rsidR="00000000" w:rsidDel="00000000" w:rsidP="00000000" w:rsidRDefault="00000000" w:rsidRPr="00000000" w14:paraId="0000006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Granularity level</w:t>
      </w:r>
    </w:p>
    <w:p w:rsidR="00000000" w:rsidDel="00000000" w:rsidP="00000000" w:rsidRDefault="00000000" w:rsidRPr="00000000" w14:paraId="00000062">
      <w:pPr>
        <w:numPr>
          <w:ilvl w:val="0"/>
          <w:numId w:val="148"/>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granularity is moderate: it doesn’t list every risk (since the Risk Factors section does that), but it provides enough examples of uncertainties (macroeconomic conditions, competition, regulatory changes, etc.) that could impact forward-looking information.</w:t>
      </w:r>
    </w:p>
    <w:p w:rsidR="00000000" w:rsidDel="00000000" w:rsidP="00000000" w:rsidRDefault="00000000" w:rsidRPr="00000000" w14:paraId="00000063">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Compliance emphasis</w:t>
      </w:r>
    </w:p>
    <w:p w:rsidR="00000000" w:rsidDel="00000000" w:rsidP="00000000" w:rsidRDefault="00000000" w:rsidRPr="00000000" w14:paraId="00000064">
      <w:pPr>
        <w:numPr>
          <w:ilvl w:val="0"/>
          <w:numId w:val="18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AI’s language should be highly precise and compliant, often mirroring standard safe-harbor disclaimers.</w:t>
      </w:r>
    </w:p>
    <w:p w:rsidR="00000000" w:rsidDel="00000000" w:rsidP="00000000" w:rsidRDefault="00000000" w:rsidRPr="00000000" w14:paraId="00000065">
      <w:pPr>
        <w:numPr>
          <w:ilvl w:val="0"/>
          <w:numId w:val="18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Essentially, this section serves to legally protect the company by alerting readers that predictions are subject to change and should be viewed with caution.</w:t>
      </w:r>
    </w:p>
    <w:p w:rsidR="00000000" w:rsidDel="00000000" w:rsidP="00000000" w:rsidRDefault="00000000" w:rsidRPr="00000000" w14:paraId="00000066">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7">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shsw69phcne5" w:id="7"/>
      <w:bookmarkEnd w:id="7"/>
      <w:r w:rsidDel="00000000" w:rsidR="00000000" w:rsidRPr="00000000">
        <w:rPr>
          <w:rFonts w:ascii="Times New Roman" w:cs="Times New Roman" w:eastAsia="Times New Roman" w:hAnsi="Times New Roman"/>
          <w:b w:val="1"/>
          <w:bCs w:val="1"/>
          <w:sz w:val="34"/>
          <w:szCs w:val="34"/>
          <w:rtl w:val="0"/>
        </w:rPr>
        <w:t xml:space="preserve">Risk Factors</w:t>
      </w:r>
    </w:p>
    <w:p w:rsidR="00000000" w:rsidDel="00000000" w:rsidP="00000000" w:rsidRDefault="00000000" w:rsidRPr="00000000" w14:paraId="00000068">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Role and tone</w:t>
      </w:r>
    </w:p>
    <w:p w:rsidR="00000000" w:rsidDel="00000000" w:rsidP="00000000" w:rsidRDefault="00000000" w:rsidRPr="00000000" w14:paraId="00000069">
      <w:pPr>
        <w:numPr>
          <w:ilvl w:val="0"/>
          <w:numId w:val="196"/>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Risk Factors section contains a detailed discussion of all significant risks associated with the company’s business and the investment, written in a frank and thorough manner.</w:t>
      </w:r>
    </w:p>
    <w:p w:rsidR="00000000" w:rsidDel="00000000" w:rsidP="00000000" w:rsidRDefault="00000000" w:rsidRPr="00000000" w14:paraId="0000006A">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Structure</w:t>
      </w:r>
    </w:p>
    <w:p w:rsidR="00000000" w:rsidDel="00000000" w:rsidP="00000000" w:rsidRDefault="00000000" w:rsidRPr="00000000" w14:paraId="0000006B">
      <w:pPr>
        <w:numPr>
          <w:ilvl w:val="0"/>
          <w:numId w:val="217"/>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should structure this as a series of sub-sections or bullet points (usually formatted as descriptive sub-headings with explanatory paragraphs) for each major risk.</w:t>
      </w:r>
    </w:p>
    <w:p w:rsidR="00000000" w:rsidDel="00000000" w:rsidP="00000000" w:rsidRDefault="00000000" w:rsidRPr="00000000" w14:paraId="0000006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Coverage requirements</w:t>
      </w:r>
    </w:p>
    <w:p w:rsidR="00000000" w:rsidDel="00000000" w:rsidP="00000000" w:rsidRDefault="00000000" w:rsidRPr="00000000" w14:paraId="0000006D">
      <w:pPr>
        <w:numPr>
          <w:ilvl w:val="0"/>
          <w:numId w:val="125"/>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content range must be comprehensive: covering industry-related risks, business and operational risks, financial and market risks, regulatory and legal risks, and any investment-specific risks (such as risks related to the offering structure or share price volatility).</w:t>
      </w:r>
    </w:p>
    <w:p w:rsidR="00000000" w:rsidDel="00000000" w:rsidP="00000000" w:rsidRDefault="00000000" w:rsidRPr="00000000" w14:paraId="0000006E">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Per-risk content</w:t>
      </w:r>
    </w:p>
    <w:p w:rsidR="00000000" w:rsidDel="00000000" w:rsidP="00000000" w:rsidRDefault="00000000" w:rsidRPr="00000000" w14:paraId="0000006F">
      <w:pPr>
        <w:numPr>
          <w:ilvl w:val="0"/>
          <w:numId w:val="4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risk factor typically has a heading that states the risk in a crisp statement, followed by one or more paragraphs explaining why this is a risk and how it could adversely affect the company or investors.</w:t>
      </w:r>
    </w:p>
    <w:p w:rsidR="00000000" w:rsidDel="00000000" w:rsidP="00000000" w:rsidRDefault="00000000" w:rsidRPr="00000000" w14:paraId="00000070">
      <w:pPr>
        <w:numPr>
          <w:ilvl w:val="0"/>
          <w:numId w:val="4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example, a risk factor heading might be, “We cannot assure you that our pop culture products will continue to be popular, and a decline in consumer interest could adversely affect our sales,” followed by details supporting that statement.</w:t>
      </w:r>
    </w:p>
    <w:p w:rsidR="00000000" w:rsidDel="00000000" w:rsidP="00000000" w:rsidRDefault="00000000" w:rsidRPr="00000000" w14:paraId="00000071">
      <w:pPr>
        <w:numPr>
          <w:ilvl w:val="0"/>
          <w:numId w:val="4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AI’s output for each risk should include the context or cause of the risk, the potential negative outcome (impact on revenue, profit, reputation, regulatory compliance, etc.), and sometimes mitigating factors or the company’s response (though usually emphasis is on the downside).</w:t>
      </w:r>
    </w:p>
    <w:p w:rsidR="00000000" w:rsidDel="00000000" w:rsidP="00000000" w:rsidRDefault="00000000" w:rsidRPr="00000000" w14:paraId="00000072">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Organization</w:t>
      </w:r>
    </w:p>
    <w:p w:rsidR="00000000" w:rsidDel="00000000" w:rsidP="00000000" w:rsidRDefault="00000000" w:rsidRPr="00000000" w14:paraId="00000073">
      <w:pPr>
        <w:numPr>
          <w:ilvl w:val="0"/>
          <w:numId w:val="51"/>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information framework is often grouped by type of risk, starting with those relating to the business/industry, then financial matters, then regulatory environment, and finally risks relating to the shares or the offering.</w:t>
      </w:r>
    </w:p>
    <w:p w:rsidR="00000000" w:rsidDel="00000000" w:rsidP="00000000" w:rsidRDefault="00000000" w:rsidRPr="00000000" w14:paraId="00000074">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Granularity</w:t>
      </w:r>
    </w:p>
    <w:p w:rsidR="00000000" w:rsidDel="00000000" w:rsidP="00000000" w:rsidRDefault="00000000" w:rsidRPr="00000000" w14:paraId="00000075">
      <w:pPr>
        <w:numPr>
          <w:ilvl w:val="0"/>
          <w:numId w:val="18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granularity requirement is high: this section should err on the side of full disclosure, meaning each risk is described with sufficient detail and specific examples or figures (if relevant) to convey its seriousness.</w:t>
      </w:r>
    </w:p>
    <w:p w:rsidR="00000000" w:rsidDel="00000000" w:rsidP="00000000" w:rsidRDefault="00000000" w:rsidRPr="00000000" w14:paraId="00000076">
      <w:pPr>
        <w:numPr>
          <w:ilvl w:val="0"/>
          <w:numId w:val="18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instance, if the company is heavily dependent on one product or one market, the risk factor will quantify that dependence and describe consequences of its change.</w:t>
      </w:r>
    </w:p>
    <w:p w:rsidR="00000000" w:rsidDel="00000000" w:rsidP="00000000" w:rsidRDefault="00000000" w:rsidRPr="00000000" w14:paraId="0000007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Compliance requirements</w:t>
      </w:r>
    </w:p>
    <w:p w:rsidR="00000000" w:rsidDel="00000000" w:rsidP="00000000" w:rsidRDefault="00000000" w:rsidRPr="00000000" w14:paraId="00000078">
      <w:pPr>
        <w:numPr>
          <w:ilvl w:val="0"/>
          <w:numId w:val="2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tone remains cautionary and factual, avoiding optimistic language.</w:t>
      </w:r>
    </w:p>
    <w:p w:rsidR="00000000" w:rsidDel="00000000" w:rsidP="00000000" w:rsidRDefault="00000000" w:rsidRPr="00000000" w14:paraId="00000079">
      <w:pPr>
        <w:numPr>
          <w:ilvl w:val="0"/>
          <w:numId w:val="2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It’s important the AI agent does not downplay any risk – compliance standards require that all material risks be clearly disclosed.</w:t>
      </w:r>
    </w:p>
    <w:p w:rsidR="00000000" w:rsidDel="00000000" w:rsidP="00000000" w:rsidRDefault="00000000" w:rsidRPr="00000000" w14:paraId="0000007A">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Investor value</w:t>
      </w:r>
    </w:p>
    <w:p w:rsidR="00000000" w:rsidDel="00000000" w:rsidP="00000000" w:rsidRDefault="00000000" w:rsidRPr="00000000" w14:paraId="0000007B">
      <w:pPr>
        <w:numPr>
          <w:ilvl w:val="0"/>
          <w:numId w:val="188"/>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By structuring the risk factors with clear headings and in-depth explanation, the AI’s output will ensure investors are well-informed of potential downsides before making an investment decision.</w:t>
      </w:r>
    </w:p>
    <w:p w:rsidR="00000000" w:rsidDel="00000000" w:rsidP="00000000" w:rsidRDefault="00000000" w:rsidRPr="00000000" w14:paraId="0000007C">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D">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jghabbwegsyk" w:id="8"/>
      <w:bookmarkEnd w:id="8"/>
      <w:r w:rsidDel="00000000" w:rsidR="00000000" w:rsidRPr="00000000">
        <w:rPr>
          <w:rFonts w:ascii="Times New Roman" w:cs="Times New Roman" w:eastAsia="Times New Roman" w:hAnsi="Times New Roman"/>
          <w:b w:val="1"/>
          <w:bCs w:val="1"/>
          <w:sz w:val="34"/>
          <w:szCs w:val="34"/>
          <w:rtl w:val="0"/>
        </w:rPr>
        <w:t xml:space="preserve">Waivers from Strict Compliance with Listing Rules (Waivers and Exemptions)</w:t>
      </w:r>
    </w:p>
    <w:p w:rsidR="00000000" w:rsidDel="00000000" w:rsidP="00000000" w:rsidRDefault="00000000" w:rsidRPr="00000000" w14:paraId="0000007E">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Purpose</w:t>
      </w:r>
    </w:p>
    <w:p w:rsidR="00000000" w:rsidDel="00000000" w:rsidP="00000000" w:rsidRDefault="00000000" w:rsidRPr="00000000" w14:paraId="0000007F">
      <w:pPr>
        <w:numPr>
          <w:ilvl w:val="0"/>
          <w:numId w:val="63"/>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this section, the prospectus discloses any special dispensations the company has obtained from the stock exchange or regulators regarding listing requirements.</w:t>
      </w:r>
    </w:p>
    <w:p w:rsidR="00000000" w:rsidDel="00000000" w:rsidP="00000000" w:rsidRDefault="00000000" w:rsidRPr="00000000" w14:paraId="00000080">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How to structure</w:t>
      </w:r>
    </w:p>
    <w:p w:rsidR="00000000" w:rsidDel="00000000" w:rsidP="00000000" w:rsidRDefault="00000000" w:rsidRPr="00000000" w14:paraId="00000081">
      <w:pPr>
        <w:numPr>
          <w:ilvl w:val="0"/>
          <w:numId w:val="183"/>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should enumerate each waiver or exemption the company sought, usually structured by the specific rule waived.</w:t>
      </w:r>
    </w:p>
    <w:p w:rsidR="00000000" w:rsidDel="00000000" w:rsidP="00000000" w:rsidRDefault="00000000" w:rsidRPr="00000000" w14:paraId="00000082">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Required components for each waiver</w:t>
      </w:r>
    </w:p>
    <w:p w:rsidR="00000000" w:rsidDel="00000000" w:rsidP="00000000" w:rsidRDefault="00000000" w:rsidRPr="00000000" w14:paraId="00000083">
      <w:pPr>
        <w:numPr>
          <w:ilvl w:val="0"/>
          <w:numId w:val="4"/>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standard content includes a brief description of the requirement from which the company is exempted, the justification for seeking the waiver, and confirmation that the exchange or regulator granted it.</w:t>
      </w:r>
    </w:p>
    <w:p w:rsidR="00000000" w:rsidDel="00000000" w:rsidP="00000000" w:rsidRDefault="00000000" w:rsidRPr="00000000" w14:paraId="00000084">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Example pattern</w:t>
      </w:r>
    </w:p>
    <w:p w:rsidR="00000000" w:rsidDel="00000000" w:rsidP="00000000" w:rsidRDefault="00000000" w:rsidRPr="00000000" w14:paraId="00000085">
      <w:pPr>
        <w:numPr>
          <w:ilvl w:val="0"/>
          <w:numId w:val="101"/>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example, a common waiver in Hong Kong IPOs is for management presence in Hong Kong (if most directors reside outside Hong Kong) – the prospectus would explain this rule (Listing Rule X.Y requiring certain executives to reside in HK) and why the company cannot meet it, then note that a waiver was granted subject to conditions.</w:t>
      </w:r>
    </w:p>
    <w:p w:rsidR="00000000" w:rsidDel="00000000" w:rsidP="00000000" w:rsidRDefault="00000000" w:rsidRPr="00000000" w14:paraId="00000086">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Granularity &amp; rule referencing</w:t>
      </w:r>
    </w:p>
    <w:p w:rsidR="00000000" w:rsidDel="00000000" w:rsidP="00000000" w:rsidRDefault="00000000" w:rsidRPr="00000000" w14:paraId="00000087">
      <w:pPr>
        <w:numPr>
          <w:ilvl w:val="0"/>
          <w:numId w:val="20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waiver is typically presented as a sub-section with a heading (often the topic, like “Management Presence in Hong Kong”) followed by paragraphs detailing the situation.</w:t>
      </w:r>
    </w:p>
    <w:p w:rsidR="00000000" w:rsidDel="00000000" w:rsidP="00000000" w:rsidRDefault="00000000" w:rsidRPr="00000000" w14:paraId="00000088">
      <w:pPr>
        <w:numPr>
          <w:ilvl w:val="0"/>
          <w:numId w:val="20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AI’s output should provide the reason for each waiver (e.g., “due to the Company’s operations being primarily in the PRC, all executive Directors are based in the PRC, making strict compliance with the Hong Kong residency requirement impracticable”) and any conditions attached to the waiver (such as appointing a Hong Kong communication agent as an alternative measure).</w:t>
      </w:r>
    </w:p>
    <w:p w:rsidR="00000000" w:rsidDel="00000000" w:rsidP="00000000" w:rsidRDefault="00000000" w:rsidRPr="00000000" w14:paraId="00000089">
      <w:pPr>
        <w:numPr>
          <w:ilvl w:val="0"/>
          <w:numId w:val="20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information framework is factual and itemized; it may reference the exact Listing Rule numbers and their titles.</w:t>
      </w:r>
    </w:p>
    <w:p w:rsidR="00000000" w:rsidDel="00000000" w:rsidP="00000000" w:rsidRDefault="00000000" w:rsidRPr="00000000" w14:paraId="0000008A">
      <w:pPr>
        <w:numPr>
          <w:ilvl w:val="0"/>
          <w:numId w:val="20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granularity is specific – it should cite the rule number and title, describe the extent of non-compliance, and the mitigation or alternative steps the company is taking due to the waiver.</w:t>
      </w:r>
    </w:p>
    <w:p w:rsidR="00000000" w:rsidDel="00000000" w:rsidP="00000000" w:rsidRDefault="00000000" w:rsidRPr="00000000" w14:paraId="0000008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Transparency &amp; edge cases</w:t>
      </w:r>
    </w:p>
    <w:p w:rsidR="00000000" w:rsidDel="00000000" w:rsidP="00000000" w:rsidRDefault="00000000" w:rsidRPr="00000000" w14:paraId="0000008C">
      <w:pPr>
        <w:numPr>
          <w:ilvl w:val="0"/>
          <w:numId w:val="10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section ensures transparency about regulatory compliance: investors learn that the company does not fully meet certain standard rules but has obtained official permission to proceed anyway.</w:t>
      </w:r>
    </w:p>
    <w:p w:rsidR="00000000" w:rsidDel="00000000" w:rsidP="00000000" w:rsidRDefault="00000000" w:rsidRPr="00000000" w14:paraId="0000008D">
      <w:pPr>
        <w:numPr>
          <w:ilvl w:val="0"/>
          <w:numId w:val="10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must ensure the explanation is clear that without these waivers, the company would not meet listing criteria, but with them, the listing is permitted.</w:t>
      </w:r>
    </w:p>
    <w:p w:rsidR="00000000" w:rsidDel="00000000" w:rsidP="00000000" w:rsidRDefault="00000000" w:rsidRPr="00000000" w14:paraId="0000008E">
      <w:pPr>
        <w:numPr>
          <w:ilvl w:val="0"/>
          <w:numId w:val="109"/>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Clarity and completeness in describing waivers (including any that were sought but not granted, if applicable) is crucial for compliance.</w:t>
      </w:r>
    </w:p>
    <w:p w:rsidR="00000000" w:rsidDel="00000000" w:rsidP="00000000" w:rsidRDefault="00000000" w:rsidRPr="00000000" w14:paraId="0000008F">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0">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5k920f6dg9zt" w:id="9"/>
      <w:bookmarkEnd w:id="9"/>
      <w:r w:rsidDel="00000000" w:rsidR="00000000" w:rsidRPr="00000000">
        <w:rPr>
          <w:rFonts w:ascii="Times New Roman" w:cs="Times New Roman" w:eastAsia="Times New Roman" w:hAnsi="Times New Roman"/>
          <w:b w:val="1"/>
          <w:bCs w:val="1"/>
          <w:sz w:val="34"/>
          <w:szCs w:val="34"/>
          <w:rtl w:val="0"/>
        </w:rPr>
        <w:t xml:space="preserve">Information about this Prospectus and the Global Offering</w:t>
      </w:r>
    </w:p>
    <w:p w:rsidR="00000000" w:rsidDel="00000000" w:rsidP="00000000" w:rsidRDefault="00000000" w:rsidRPr="00000000" w14:paraId="0000009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Purpose</w:t>
      </w:r>
    </w:p>
    <w:p w:rsidR="00000000" w:rsidDel="00000000" w:rsidP="00000000" w:rsidRDefault="00000000" w:rsidRPr="00000000" w14:paraId="00000092">
      <w:pPr>
        <w:numPr>
          <w:ilvl w:val="0"/>
          <w:numId w:val="9"/>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section provides important notices to investors on how to interpret the document and details about the offering process.</w:t>
      </w:r>
    </w:p>
    <w:p w:rsidR="00000000" w:rsidDel="00000000" w:rsidP="00000000" w:rsidRDefault="00000000" w:rsidRPr="00000000" w14:paraId="00000093">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Format</w:t>
      </w:r>
    </w:p>
    <w:p w:rsidR="00000000" w:rsidDel="00000000" w:rsidP="00000000" w:rsidRDefault="00000000" w:rsidRPr="00000000" w14:paraId="00000094">
      <w:pPr>
        <w:numPr>
          <w:ilvl w:val="0"/>
          <w:numId w:val="146"/>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should write it as a series of informational points or short paragraphs.</w:t>
      </w:r>
    </w:p>
    <w:p w:rsidR="00000000" w:rsidDel="00000000" w:rsidP="00000000" w:rsidRDefault="00000000" w:rsidRPr="00000000" w14:paraId="00000095">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Standard content that must appear</w:t>
      </w:r>
    </w:p>
    <w:p w:rsidR="00000000" w:rsidDel="00000000" w:rsidP="00000000" w:rsidRDefault="00000000" w:rsidRPr="00000000" w14:paraId="00000096">
      <w:pPr>
        <w:numPr>
          <w:ilvl w:val="0"/>
          <w:numId w:val="16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Standard content includes: distribution and reliance – a statement that the prospectus is the only authorized source of information and that no one is authorized to provide different information (investors should not rely on any other sources).</w:t>
      </w:r>
    </w:p>
    <w:p w:rsidR="00000000" w:rsidDel="00000000" w:rsidP="00000000" w:rsidRDefault="00000000" w:rsidRPr="00000000" w14:paraId="00000097">
      <w:pPr>
        <w:numPr>
          <w:ilvl w:val="0"/>
          <w:numId w:val="16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 often clarifies that the prospectus does not constitute an offer in any jurisdiction where it’s not permitted, cautioning investors regarding the distribution of the document across borders.</w:t>
      </w:r>
    </w:p>
    <w:p w:rsidR="00000000" w:rsidDel="00000000" w:rsidP="00000000" w:rsidRDefault="00000000" w:rsidRPr="00000000" w14:paraId="00000098">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Offering mechanics references</w:t>
      </w:r>
    </w:p>
    <w:p w:rsidR="00000000" w:rsidDel="00000000" w:rsidP="00000000" w:rsidRDefault="00000000" w:rsidRPr="00000000" w14:paraId="00000099">
      <w:pPr>
        <w:numPr>
          <w:ilvl w:val="0"/>
          <w:numId w:val="11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 also discloses arrangements for the offering, such as how the shares will be delivered and traded.</w:t>
      </w:r>
    </w:p>
    <w:p w:rsidR="00000000" w:rsidDel="00000000" w:rsidP="00000000" w:rsidRDefault="00000000" w:rsidRPr="00000000" w14:paraId="0000009A">
      <w:pPr>
        <w:numPr>
          <w:ilvl w:val="0"/>
          <w:numId w:val="11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example, in a Hong Kong offering, it would mention that the shares will be listed on HKEX and that they will be admitted into CCASS (the Central Clearing and Settlement System) – indicating clearing and settlement arrangements.</w:t>
      </w:r>
    </w:p>
    <w:p w:rsidR="00000000" w:rsidDel="00000000" w:rsidP="00000000" w:rsidRDefault="00000000" w:rsidRPr="00000000" w14:paraId="0000009B">
      <w:pPr>
        <w:numPr>
          <w:ilvl w:val="0"/>
          <w:numId w:val="11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section might mention the procedures for the Hong Kong Public Offering vs. international tranche in broad terms, or refer to where those details are found.</w:t>
      </w:r>
    </w:p>
    <w:p w:rsidR="00000000" w:rsidDel="00000000" w:rsidP="00000000" w:rsidRDefault="00000000" w:rsidRPr="00000000" w14:paraId="0000009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Currency and exchange rate disclosure</w:t>
      </w:r>
    </w:p>
    <w:p w:rsidR="00000000" w:rsidDel="00000000" w:rsidP="00000000" w:rsidRDefault="00000000" w:rsidRPr="00000000" w14:paraId="0000009D">
      <w:pPr>
        <w:numPr>
          <w:ilvl w:val="0"/>
          <w:numId w:val="3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Another key element is currency and exchange rate information: the prospectus usually states the exchange rate assumptions used for any conversions (e.g., amounts in USD have been converted to HKD at a specified rate for illustration).</w:t>
      </w:r>
    </w:p>
    <w:p w:rsidR="00000000" w:rsidDel="00000000" w:rsidP="00000000" w:rsidRDefault="00000000" w:rsidRPr="00000000" w14:paraId="0000009E">
      <w:pPr>
        <w:numPr>
          <w:ilvl w:val="0"/>
          <w:numId w:val="3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should include a note on exchange rate conversion if the document contains figures in multiple currencies, ensuring investors understand how foreign currency amounts are translated.</w:t>
      </w:r>
    </w:p>
    <w:p w:rsidR="00000000" w:rsidDel="00000000" w:rsidP="00000000" w:rsidRDefault="00000000" w:rsidRPr="00000000" w14:paraId="0000009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Other possible notices</w:t>
      </w:r>
    </w:p>
    <w:p w:rsidR="00000000" w:rsidDel="00000000" w:rsidP="00000000" w:rsidRDefault="00000000" w:rsidRPr="00000000" w14:paraId="000000A0">
      <w:pPr>
        <w:numPr>
          <w:ilvl w:val="0"/>
          <w:numId w:val="133"/>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Additionally, any references to legal registration of the prospectus (such as it having been registered with the Companies Registry) or the availability of the document (website info, etc.) might be mentioned.</w:t>
      </w:r>
    </w:p>
    <w:p w:rsidR="00000000" w:rsidDel="00000000" w:rsidP="00000000" w:rsidRDefault="00000000" w:rsidRPr="00000000" w14:paraId="000000A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Granularity and legal responsibility</w:t>
      </w:r>
    </w:p>
    <w:p w:rsidR="00000000" w:rsidDel="00000000" w:rsidP="00000000" w:rsidRDefault="00000000" w:rsidRPr="00000000" w14:paraId="000000A2">
      <w:pPr>
        <w:numPr>
          <w:ilvl w:val="0"/>
          <w:numId w:val="19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granularity here is moderate: each point should be clear and not overly detailed, since this is largely a reference section.</w:t>
      </w:r>
    </w:p>
    <w:p w:rsidR="00000000" w:rsidDel="00000000" w:rsidP="00000000" w:rsidRDefault="00000000" w:rsidRPr="00000000" w14:paraId="000000A3">
      <w:pPr>
        <w:numPr>
          <w:ilvl w:val="0"/>
          <w:numId w:val="19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But it must not omit any standard notice or legal requirement – for instance, statements about the responsibility of directors for the contents of the prospectus (directors collectively accept responsibility for accuracy) often appear around here or in a similar introductory section.</w:t>
      </w:r>
    </w:p>
    <w:p w:rsidR="00000000" w:rsidDel="00000000" w:rsidP="00000000" w:rsidRDefault="00000000" w:rsidRPr="00000000" w14:paraId="000000A4">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Tone &amp; investor value</w:t>
      </w:r>
    </w:p>
    <w:p w:rsidR="00000000" w:rsidDel="00000000" w:rsidP="00000000" w:rsidRDefault="00000000" w:rsidRPr="00000000" w14:paraId="000000A5">
      <w:pPr>
        <w:numPr>
          <w:ilvl w:val="0"/>
          <w:numId w:val="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tone remains formal and explanatory.</w:t>
      </w:r>
    </w:p>
    <w:p w:rsidR="00000000" w:rsidDel="00000000" w:rsidP="00000000" w:rsidRDefault="00000000" w:rsidRPr="00000000" w14:paraId="000000A6">
      <w:pPr>
        <w:numPr>
          <w:ilvl w:val="0"/>
          <w:numId w:val="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By covering how to use the prospectus, legal notices, and key offering arrangements, this section guides investors in understanding the context and validity of the information presented.</w:t>
      </w:r>
    </w:p>
    <w:p w:rsidR="00000000" w:rsidDel="00000000" w:rsidP="00000000" w:rsidRDefault="00000000" w:rsidRPr="00000000" w14:paraId="000000A7">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8">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fvgs0ex1jphk" w:id="10"/>
      <w:bookmarkEnd w:id="10"/>
      <w:r w:rsidDel="00000000" w:rsidR="00000000" w:rsidRPr="00000000">
        <w:rPr>
          <w:rFonts w:ascii="Times New Roman" w:cs="Times New Roman" w:eastAsia="Times New Roman" w:hAnsi="Times New Roman"/>
          <w:b w:val="1"/>
          <w:bCs w:val="1"/>
          <w:sz w:val="34"/>
          <w:szCs w:val="34"/>
          <w:rtl w:val="0"/>
        </w:rPr>
        <w:t xml:space="preserve">Directors and Parties Involved in the Global Offering</w:t>
      </w:r>
    </w:p>
    <w:p w:rsidR="00000000" w:rsidDel="00000000" w:rsidP="00000000" w:rsidRDefault="00000000" w:rsidRPr="00000000" w14:paraId="000000A9">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Purpose &amp; format</w:t>
      </w:r>
    </w:p>
    <w:p w:rsidR="00000000" w:rsidDel="00000000" w:rsidP="00000000" w:rsidRDefault="00000000" w:rsidRPr="00000000" w14:paraId="000000AA">
      <w:pPr>
        <w:numPr>
          <w:ilvl w:val="0"/>
          <w:numId w:val="9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section lists the key individuals and firms involved in the IPO.</w:t>
      </w:r>
    </w:p>
    <w:p w:rsidR="00000000" w:rsidDel="00000000" w:rsidP="00000000" w:rsidRDefault="00000000" w:rsidRPr="00000000" w14:paraId="000000AB">
      <w:pPr>
        <w:numPr>
          <w:ilvl w:val="0"/>
          <w:numId w:val="9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should format this as a directory of names and roles.</w:t>
      </w:r>
    </w:p>
    <w:p w:rsidR="00000000" w:rsidDel="00000000" w:rsidP="00000000" w:rsidRDefault="00000000" w:rsidRPr="00000000" w14:paraId="000000A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Overall framework</w:t>
      </w:r>
    </w:p>
    <w:p w:rsidR="00000000" w:rsidDel="00000000" w:rsidP="00000000" w:rsidRDefault="00000000" w:rsidRPr="00000000" w14:paraId="000000AD">
      <w:pPr>
        <w:numPr>
          <w:ilvl w:val="0"/>
          <w:numId w:val="100"/>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content framework is typically divided into two parts: the Company’s directors and senior management, and the professional advisors/parties.</w:t>
      </w:r>
    </w:p>
    <w:p w:rsidR="00000000" w:rsidDel="00000000" w:rsidP="00000000" w:rsidRDefault="00000000" w:rsidRPr="00000000" w14:paraId="000000AE">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Directors and their details</w:t>
      </w:r>
    </w:p>
    <w:p w:rsidR="00000000" w:rsidDel="00000000" w:rsidP="00000000" w:rsidRDefault="00000000" w:rsidRPr="00000000" w14:paraId="000000AF">
      <w:pPr>
        <w:numPr>
          <w:ilvl w:val="0"/>
          <w:numId w:val="8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First, it names the directors of the company (often with their titles).</w:t>
      </w:r>
    </w:p>
    <w:p w:rsidR="00000000" w:rsidDel="00000000" w:rsidP="00000000" w:rsidRDefault="00000000" w:rsidRPr="00000000" w14:paraId="000000B0">
      <w:pPr>
        <w:numPr>
          <w:ilvl w:val="0"/>
          <w:numId w:val="8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Hong Kong prospectuses, this may include a table with columns for Name, Address, and Nationality of each director.</w:t>
      </w:r>
    </w:p>
    <w:p w:rsidR="00000000" w:rsidDel="00000000" w:rsidP="00000000" w:rsidRDefault="00000000" w:rsidRPr="00000000" w14:paraId="000000B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Transaction parties</w:t>
      </w:r>
    </w:p>
    <w:p w:rsidR="00000000" w:rsidDel="00000000" w:rsidP="00000000" w:rsidRDefault="00000000" w:rsidRPr="00000000" w14:paraId="000000B2">
      <w:pPr>
        <w:numPr>
          <w:ilvl w:val="0"/>
          <w:numId w:val="1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Right after directors, it may list the Joint Sponsors, Global Coordinators, Bookrunners, and Lead Managers, naming each investment bank involved in those underwriting roles.</w:t>
      </w:r>
    </w:p>
    <w:p w:rsidR="00000000" w:rsidDel="00000000" w:rsidP="00000000" w:rsidRDefault="00000000" w:rsidRPr="00000000" w14:paraId="000000B3">
      <w:pPr>
        <w:numPr>
          <w:ilvl w:val="0"/>
          <w:numId w:val="1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Then it includes other professional parties: the legal advisors (Hong Kong counsel, international counsel, PRC counsel – naming the law firms), the auditors/reporting accountants, valuers (if any), and other experts.</w:t>
      </w:r>
    </w:p>
    <w:p w:rsidR="00000000" w:rsidDel="00000000" w:rsidP="00000000" w:rsidRDefault="00000000" w:rsidRPr="00000000" w14:paraId="000000B4">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Per-entry requirements</w:t>
      </w:r>
    </w:p>
    <w:p w:rsidR="00000000" w:rsidDel="00000000" w:rsidP="00000000" w:rsidRDefault="00000000" w:rsidRPr="00000000" w14:paraId="000000B5">
      <w:pPr>
        <w:numPr>
          <w:ilvl w:val="0"/>
          <w:numId w:val="2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entry should include the name of the firm or person and their role or capacity.</w:t>
      </w:r>
    </w:p>
    <w:p w:rsidR="00000000" w:rsidDel="00000000" w:rsidP="00000000" w:rsidRDefault="00000000" w:rsidRPr="00000000" w14:paraId="000000B6">
      <w:pPr>
        <w:numPr>
          <w:ilvl w:val="0"/>
          <w:numId w:val="2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example, “Auditor and Reporting Accountant: XYZ &amp; Co., Certified Public Accountants”.</w:t>
      </w:r>
    </w:p>
    <w:p w:rsidR="00000000" w:rsidDel="00000000" w:rsidP="00000000" w:rsidRDefault="00000000" w:rsidRPr="00000000" w14:paraId="000000B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Addresses and completeness</w:t>
      </w:r>
    </w:p>
    <w:p w:rsidR="00000000" w:rsidDel="00000000" w:rsidP="00000000" w:rsidRDefault="00000000" w:rsidRPr="00000000" w14:paraId="000000B8">
      <w:pPr>
        <w:numPr>
          <w:ilvl w:val="0"/>
          <w:numId w:val="16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 also provides addresses for some parties, such as the company’s registered address (which might also appear in the Corporate Information section) and often the addresses of the sponsors or auditors.</w:t>
      </w:r>
    </w:p>
    <w:p w:rsidR="00000000" w:rsidDel="00000000" w:rsidP="00000000" w:rsidRDefault="00000000" w:rsidRPr="00000000" w14:paraId="000000B9">
      <w:pPr>
        <w:numPr>
          <w:ilvl w:val="0"/>
          <w:numId w:val="16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granularity is literal here: every significant party to the offering must be named exactly as in official records.</w:t>
      </w:r>
    </w:p>
    <w:p w:rsidR="00000000" w:rsidDel="00000000" w:rsidP="00000000" w:rsidRDefault="00000000" w:rsidRPr="00000000" w14:paraId="000000BA">
      <w:pPr>
        <w:numPr>
          <w:ilvl w:val="0"/>
          <w:numId w:val="16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AI’s output should ensure no party is omitted (including any compliance adviser, receiving bankers, share registrars, etc., if they are listed in this section of the template prospectus).</w:t>
      </w:r>
    </w:p>
    <w:p w:rsidR="00000000" w:rsidDel="00000000" w:rsidP="00000000" w:rsidRDefault="00000000" w:rsidRPr="00000000" w14:paraId="000000B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Style &amp; accuracy</w:t>
      </w:r>
    </w:p>
    <w:p w:rsidR="00000000" w:rsidDel="00000000" w:rsidP="00000000" w:rsidRDefault="00000000" w:rsidRPr="00000000" w14:paraId="000000BC">
      <w:pPr>
        <w:numPr>
          <w:ilvl w:val="0"/>
          <w:numId w:val="11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style is a straightforward listing, possibly using indentation or table format to clearly distinguish categories (e.g., Directors vs. Other Parties).</w:t>
      </w:r>
    </w:p>
    <w:p w:rsidR="00000000" w:rsidDel="00000000" w:rsidP="00000000" w:rsidRDefault="00000000" w:rsidRPr="00000000" w14:paraId="000000BD">
      <w:pPr>
        <w:numPr>
          <w:ilvl w:val="0"/>
          <w:numId w:val="11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Accuracy in spelling of names and inclusion of any professional qualifications (like “FCPA” for accountants, or law firm designations) is important.</w:t>
      </w:r>
    </w:p>
    <w:p w:rsidR="00000000" w:rsidDel="00000000" w:rsidP="00000000" w:rsidRDefault="00000000" w:rsidRPr="00000000" w14:paraId="000000BE">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 narrative</w:t>
      </w:r>
    </w:p>
    <w:p w:rsidR="00000000" w:rsidDel="00000000" w:rsidP="00000000" w:rsidRDefault="00000000" w:rsidRPr="00000000" w14:paraId="000000BF">
      <w:pPr>
        <w:numPr>
          <w:ilvl w:val="0"/>
          <w:numId w:val="5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section does not narrate, but rather serves as a who’s who directory for the transaction.</w:t>
      </w:r>
    </w:p>
    <w:p w:rsidR="00000000" w:rsidDel="00000000" w:rsidP="00000000" w:rsidRDefault="00000000" w:rsidRPr="00000000" w14:paraId="000000C0">
      <w:pPr>
        <w:numPr>
          <w:ilvl w:val="0"/>
          <w:numId w:val="5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 assures readers that all key players in the IPO process are disclosed, as required.</w:t>
      </w:r>
    </w:p>
    <w:p w:rsidR="00000000" w:rsidDel="00000000" w:rsidP="00000000" w:rsidRDefault="00000000" w:rsidRPr="00000000" w14:paraId="000000C1">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2">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372c3x3vpnkj" w:id="11"/>
      <w:bookmarkEnd w:id="11"/>
      <w:r w:rsidDel="00000000" w:rsidR="00000000" w:rsidRPr="00000000">
        <w:rPr>
          <w:rFonts w:ascii="Times New Roman" w:cs="Times New Roman" w:eastAsia="Times New Roman" w:hAnsi="Times New Roman"/>
          <w:b w:val="1"/>
          <w:bCs w:val="1"/>
          <w:sz w:val="34"/>
          <w:szCs w:val="34"/>
          <w:rtl w:val="0"/>
        </w:rPr>
        <w:t xml:space="preserve">Corporate Information</w:t>
      </w:r>
    </w:p>
    <w:p w:rsidR="00000000" w:rsidDel="00000000" w:rsidP="00000000" w:rsidRDefault="00000000" w:rsidRPr="00000000" w14:paraId="000000C3">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What it is</w:t>
      </w:r>
    </w:p>
    <w:p w:rsidR="00000000" w:rsidDel="00000000" w:rsidP="00000000" w:rsidRDefault="00000000" w:rsidRPr="00000000" w14:paraId="000000C4">
      <w:pPr>
        <w:numPr>
          <w:ilvl w:val="0"/>
          <w:numId w:val="12"/>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Corporate Information section provides basic data about the company’s corporate and contact details.</w:t>
      </w:r>
    </w:p>
    <w:p w:rsidR="00000000" w:rsidDel="00000000" w:rsidP="00000000" w:rsidRDefault="00000000" w:rsidRPr="00000000" w14:paraId="000000C5">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Format</w:t>
      </w:r>
    </w:p>
    <w:p w:rsidR="00000000" w:rsidDel="00000000" w:rsidP="00000000" w:rsidRDefault="00000000" w:rsidRPr="00000000" w14:paraId="000000C6">
      <w:pPr>
        <w:numPr>
          <w:ilvl w:val="0"/>
          <w:numId w:val="11"/>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should output this as a concise reference block.</w:t>
      </w:r>
    </w:p>
    <w:p w:rsidR="00000000" w:rsidDel="00000000" w:rsidP="00000000" w:rsidRDefault="00000000" w:rsidRPr="00000000" w14:paraId="000000C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Typical content (must include as applicable)</w:t>
      </w:r>
    </w:p>
    <w:p w:rsidR="00000000" w:rsidDel="00000000" w:rsidP="00000000" w:rsidRDefault="00000000" w:rsidRPr="00000000" w14:paraId="000000C8">
      <w:pPr>
        <w:numPr>
          <w:ilvl w:val="0"/>
          <w:numId w:val="6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 typically includes: Registered office (usually an address in the company’s jurisdiction of incorporation), Headquarters or principal executive office (if different, often an address in the company’s main place of business), Company’s website, Company Secretary (name of the company secretary), Authorized Representatives (names of individuals who act as liaisons with the stock exchange), and Compliance Advisor (if one is appointed for post-listing compliance, usually a financial firm’s name).</w:t>
      </w:r>
    </w:p>
    <w:p w:rsidR="00000000" w:rsidDel="00000000" w:rsidP="00000000" w:rsidRDefault="00000000" w:rsidRPr="00000000" w14:paraId="000000C9">
      <w:pPr>
        <w:numPr>
          <w:ilvl w:val="0"/>
          <w:numId w:val="6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 also names the Hong Kong share registrar (with address) if the company is listing in HK, and any other share registrars for other jurisdictions if applicable.</w:t>
      </w:r>
    </w:p>
    <w:p w:rsidR="00000000" w:rsidDel="00000000" w:rsidP="00000000" w:rsidRDefault="00000000" w:rsidRPr="00000000" w14:paraId="000000CA">
      <w:pPr>
        <w:numPr>
          <w:ilvl w:val="0"/>
          <w:numId w:val="6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Additionally, basic corporate particulars like the company’s date of incorporation and company number may be included, as well as the stock code (once assigned).</w:t>
      </w:r>
    </w:p>
    <w:p w:rsidR="00000000" w:rsidDel="00000000" w:rsidP="00000000" w:rsidRDefault="00000000" w:rsidRPr="00000000" w14:paraId="000000C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Example style</w:t>
      </w:r>
    </w:p>
    <w:p w:rsidR="00000000" w:rsidDel="00000000" w:rsidP="00000000" w:rsidRDefault="00000000" w:rsidRPr="00000000" w14:paraId="000000CC">
      <w:pPr>
        <w:numPr>
          <w:ilvl w:val="0"/>
          <w:numId w:val="7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standard content range is factual and formal.</w:t>
      </w:r>
    </w:p>
    <w:p w:rsidR="00000000" w:rsidDel="00000000" w:rsidP="00000000" w:rsidRDefault="00000000" w:rsidRPr="00000000" w14:paraId="000000CD">
      <w:pPr>
        <w:numPr>
          <w:ilvl w:val="0"/>
          <w:numId w:val="7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example, it would state, “Registered Office: 3-212 Governors Square, 23 Lime Tree Bay Avenue, Grand Cayman, Cayman Islands”, “Company’s principal place of business in Hong Kong: [address]”, “Company website:</w:t>
      </w:r>
      <w:hyperlink r:id="rId6">
        <w:r w:rsidDel="00000000" w:rsidR="00000000" w:rsidRPr="00000000">
          <w:rPr>
            <w:rFonts w:ascii="Times New Roman" w:cs="Times New Roman" w:eastAsia="Times New Roman" w:hAnsi="Times New Roman"/>
            <w:rtl w:val="0"/>
          </w:rPr>
          <w:t xml:space="preserve"> </w:t>
        </w:r>
      </w:hyperlink>
      <w:hyperlink r:id="rId7">
        <w:r w:rsidDel="00000000" w:rsidR="00000000" w:rsidRPr="00000000">
          <w:rPr>
            <w:rFonts w:ascii="Times New Roman" w:cs="Times New Roman" w:eastAsia="Times New Roman" w:hAnsi="Times New Roman"/>
            <w:color w:val="1155cc"/>
            <w:u w:val="single"/>
            <w:rtl w:val="0"/>
          </w:rPr>
          <w:t xml:space="preserve">www.xyz.com”</w:t>
        </w:r>
      </w:hyperlink>
      <w:r w:rsidDel="00000000" w:rsidR="00000000" w:rsidRPr="00000000">
        <w:rPr>
          <w:rFonts w:ascii="Times New Roman" w:cs="Times New Roman" w:eastAsia="Times New Roman" w:hAnsi="Times New Roman"/>
          <w:rtl w:val="0"/>
        </w:rPr>
        <w:t xml:space="preserve">, etc.</w:t>
      </w:r>
    </w:p>
    <w:p w:rsidR="00000000" w:rsidDel="00000000" w:rsidP="00000000" w:rsidRDefault="00000000" w:rsidRPr="00000000" w14:paraId="000000CE">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Granularity &amp; formatting</w:t>
      </w:r>
    </w:p>
    <w:p w:rsidR="00000000" w:rsidDel="00000000" w:rsidP="00000000" w:rsidRDefault="00000000" w:rsidRPr="00000000" w14:paraId="000000CF">
      <w:pPr>
        <w:numPr>
          <w:ilvl w:val="0"/>
          <w:numId w:val="17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granularity is specific: every key contact detail should be present.</w:t>
      </w:r>
    </w:p>
    <w:p w:rsidR="00000000" w:rsidDel="00000000" w:rsidP="00000000" w:rsidRDefault="00000000" w:rsidRPr="00000000" w14:paraId="000000D0">
      <w:pPr>
        <w:numPr>
          <w:ilvl w:val="0"/>
          <w:numId w:val="17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section usually does not have sentences, but a list of labels and information.</w:t>
      </w:r>
    </w:p>
    <w:p w:rsidR="00000000" w:rsidDel="00000000" w:rsidP="00000000" w:rsidRDefault="00000000" w:rsidRPr="00000000" w14:paraId="000000D1">
      <w:pPr>
        <w:numPr>
          <w:ilvl w:val="0"/>
          <w:numId w:val="17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should ensure formatting is neat (each piece of info on a separate line or separated by semicolons), making it easy for a reader to find these details at a glance.</w:t>
      </w:r>
    </w:p>
    <w:p w:rsidR="00000000" w:rsidDel="00000000" w:rsidP="00000000" w:rsidRDefault="00000000" w:rsidRPr="00000000" w14:paraId="000000D2">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Value</w:t>
      </w:r>
    </w:p>
    <w:p w:rsidR="00000000" w:rsidDel="00000000" w:rsidP="00000000" w:rsidRDefault="00000000" w:rsidRPr="00000000" w14:paraId="000000D3">
      <w:pPr>
        <w:numPr>
          <w:ilvl w:val="0"/>
          <w:numId w:val="205"/>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By compiling all fundamental corporate contacts and references here, the prospectus provides investors and regulatory readers with quick access to such information without searching through the document.</w:t>
      </w:r>
    </w:p>
    <w:p w:rsidR="00000000" w:rsidDel="00000000" w:rsidP="00000000" w:rsidRDefault="00000000" w:rsidRPr="00000000" w14:paraId="000000D4">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5">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bx2g4ybhrcy2" w:id="12"/>
      <w:bookmarkEnd w:id="12"/>
      <w:r w:rsidDel="00000000" w:rsidR="00000000" w:rsidRPr="00000000">
        <w:rPr>
          <w:rFonts w:ascii="Times New Roman" w:cs="Times New Roman" w:eastAsia="Times New Roman" w:hAnsi="Times New Roman"/>
          <w:b w:val="1"/>
          <w:bCs w:val="1"/>
          <w:sz w:val="34"/>
          <w:szCs w:val="34"/>
          <w:rtl w:val="0"/>
        </w:rPr>
        <w:t xml:space="preserve">Regulation (Regulatory Overview)</w:t>
      </w:r>
    </w:p>
    <w:p w:rsidR="00000000" w:rsidDel="00000000" w:rsidP="00000000" w:rsidRDefault="00000000" w:rsidRPr="00000000" w14:paraId="000000D6">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Purpose</w:t>
      </w:r>
    </w:p>
    <w:p w:rsidR="00000000" w:rsidDel="00000000" w:rsidP="00000000" w:rsidRDefault="00000000" w:rsidRPr="00000000" w14:paraId="000000D7">
      <w:pPr>
        <w:numPr>
          <w:ilvl w:val="0"/>
          <w:numId w:val="13"/>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Regulation section (sometimes titled “Regulatory Overview”) summarizes the key laws and regulations that govern the company’s business and industry.</w:t>
      </w:r>
    </w:p>
    <w:p w:rsidR="00000000" w:rsidDel="00000000" w:rsidP="00000000" w:rsidRDefault="00000000" w:rsidRPr="00000000" w14:paraId="000000D8">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Structure</w:t>
      </w:r>
    </w:p>
    <w:p w:rsidR="00000000" w:rsidDel="00000000" w:rsidP="00000000" w:rsidRDefault="00000000" w:rsidRPr="00000000" w14:paraId="000000D9">
      <w:pPr>
        <w:numPr>
          <w:ilvl w:val="0"/>
          <w:numId w:val="213"/>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agent should structure this in a logical, thematic order, breaking it down by categories of regulations.</w:t>
      </w:r>
    </w:p>
    <w:p w:rsidR="00000000" w:rsidDel="00000000" w:rsidP="00000000" w:rsidRDefault="00000000" w:rsidRPr="00000000" w14:paraId="000000DA">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Examples of categories</w:t>
      </w:r>
    </w:p>
    <w:p w:rsidR="00000000" w:rsidDel="00000000" w:rsidP="00000000" w:rsidRDefault="00000000" w:rsidRPr="00000000" w14:paraId="000000DB">
      <w:pPr>
        <w:numPr>
          <w:ilvl w:val="0"/>
          <w:numId w:val="123"/>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instance, if the company is in retail and online services (like Pop Mart), the categories might include Licensing for Online Services, Consumer Protection Laws, Intellectual Property Laws, Environmental and Safety Regulations, Foreign Investment Restrictions, etc.</w:t>
      </w:r>
    </w:p>
    <w:p w:rsidR="00000000" w:rsidDel="00000000" w:rsidP="00000000" w:rsidRDefault="00000000" w:rsidRPr="00000000" w14:paraId="000000D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What must be covered</w:t>
      </w:r>
    </w:p>
    <w:p w:rsidR="00000000" w:rsidDel="00000000" w:rsidP="00000000" w:rsidRDefault="00000000" w:rsidRPr="00000000" w14:paraId="000000DD">
      <w:pPr>
        <w:numPr>
          <w:ilvl w:val="0"/>
          <w:numId w:val="8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category should have a brief description of the relevant rules.</w:t>
      </w:r>
    </w:p>
    <w:p w:rsidR="00000000" w:rsidDel="00000000" w:rsidP="00000000" w:rsidRDefault="00000000" w:rsidRPr="00000000" w14:paraId="000000DE">
      <w:pPr>
        <w:numPr>
          <w:ilvl w:val="0"/>
          <w:numId w:val="8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content needs to cover what permits or approvals are required for the business, what ongoing compliance standards exist, and recent regulatory developments if any.</w:t>
      </w:r>
    </w:p>
    <w:p w:rsidR="00000000" w:rsidDel="00000000" w:rsidP="00000000" w:rsidRDefault="00000000" w:rsidRPr="00000000" w14:paraId="000000D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Illustrative regulatory logic</w:t>
      </w:r>
    </w:p>
    <w:p w:rsidR="00000000" w:rsidDel="00000000" w:rsidP="00000000" w:rsidRDefault="00000000" w:rsidRPr="00000000" w14:paraId="000000E0">
      <w:pPr>
        <w:numPr>
          <w:ilvl w:val="0"/>
          <w:numId w:val="13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example, if a company operates an internet platform in China, the overview would mention the laws on Internet content provision and online culture services, noting that PRC law prohibits foreign ownership of such services, which is why the company uses a VIE (contractual arrangements).</w:t>
      </w:r>
    </w:p>
    <w:p w:rsidR="00000000" w:rsidDel="00000000" w:rsidP="00000000" w:rsidRDefault="00000000" w:rsidRPr="00000000" w14:paraId="000000E1">
      <w:pPr>
        <w:numPr>
          <w:ilvl w:val="0"/>
          <w:numId w:val="13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 might outline the legal basis of those restrictions (e.g., reference the PRC Foreign Investment Negative List) and how the company complies (through local subsidiaries or contracts).</w:t>
      </w:r>
    </w:p>
    <w:p w:rsidR="00000000" w:rsidDel="00000000" w:rsidP="00000000" w:rsidRDefault="00000000" w:rsidRPr="00000000" w14:paraId="000000E2">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How to describe rules</w:t>
      </w:r>
    </w:p>
    <w:p w:rsidR="00000000" w:rsidDel="00000000" w:rsidP="00000000" w:rsidRDefault="00000000" w:rsidRPr="00000000" w14:paraId="000000E3">
      <w:pPr>
        <w:numPr>
          <w:ilvl w:val="0"/>
          <w:numId w:val="64"/>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advertising or product safety, it will cite the key legislation like the Advertising Law or product quality standards, summarizing requirements (e.g., “No advertisement shall contain false or misleading information” as per the PRC Advertising Law).</w:t>
      </w:r>
    </w:p>
    <w:p w:rsidR="00000000" w:rsidDel="00000000" w:rsidP="00000000" w:rsidRDefault="00000000" w:rsidRPr="00000000" w14:paraId="000000E4">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Granularity &amp; risk signaling</w:t>
      </w:r>
    </w:p>
    <w:p w:rsidR="00000000" w:rsidDel="00000000" w:rsidP="00000000" w:rsidRDefault="00000000" w:rsidRPr="00000000" w14:paraId="000000E5">
      <w:pPr>
        <w:numPr>
          <w:ilvl w:val="0"/>
          <w:numId w:val="7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granularity should be enough to inform investors of the regulatory environment risk and compliance: each mentioned law should include its name and a short explanation of its scope or what it requires/prohibits.</w:t>
      </w:r>
    </w:p>
    <w:p w:rsidR="00000000" w:rsidDel="00000000" w:rsidP="00000000" w:rsidRDefault="00000000" w:rsidRPr="00000000" w14:paraId="000000E6">
      <w:pPr>
        <w:numPr>
          <w:ilvl w:val="0"/>
          <w:numId w:val="7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there are specific regulatory risks (e.g., laws that might change or are particularly stringent), this section may foreshadow them (though detailed consequences often appear in Risk Factors).</w:t>
      </w:r>
    </w:p>
    <w:p w:rsidR="00000000" w:rsidDel="00000000" w:rsidP="00000000" w:rsidRDefault="00000000" w:rsidRPr="00000000" w14:paraId="000000E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Licenses and status</w:t>
      </w:r>
    </w:p>
    <w:p w:rsidR="00000000" w:rsidDel="00000000" w:rsidP="00000000" w:rsidRDefault="00000000" w:rsidRPr="00000000" w14:paraId="000000E8">
      <w:pPr>
        <w:numPr>
          <w:ilvl w:val="0"/>
          <w:numId w:val="137"/>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 may also note if the company has all necessary licenses as of the Latest Practicable Date, or if certain applications are pending, since that is material information.</w:t>
      </w:r>
    </w:p>
    <w:p w:rsidR="00000000" w:rsidDel="00000000" w:rsidP="00000000" w:rsidRDefault="00000000" w:rsidRPr="00000000" w14:paraId="000000E9">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Tone &amp; outcome</w:t>
      </w:r>
    </w:p>
    <w:p w:rsidR="00000000" w:rsidDel="00000000" w:rsidP="00000000" w:rsidRDefault="00000000" w:rsidRPr="00000000" w14:paraId="000000EA">
      <w:pPr>
        <w:numPr>
          <w:ilvl w:val="0"/>
          <w:numId w:val="3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AI’s tone should be neutral and informative, as this is a factual overview.</w:t>
      </w:r>
    </w:p>
    <w:p w:rsidR="00000000" w:rsidDel="00000000" w:rsidP="00000000" w:rsidRDefault="00000000" w:rsidRPr="00000000" w14:paraId="000000EB">
      <w:pPr>
        <w:numPr>
          <w:ilvl w:val="0"/>
          <w:numId w:val="3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Essentially, this section frames the legal landscape the company operates in, giving readers context on how government policies and regulations could affect the business and what the company must adhere to.</w:t>
      </w:r>
    </w:p>
    <w:p w:rsidR="00000000" w:rsidDel="00000000" w:rsidP="00000000" w:rsidRDefault="00000000" w:rsidRPr="00000000" w14:paraId="000000EC">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D">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va97pp82384n" w:id="13"/>
      <w:bookmarkEnd w:id="13"/>
      <w:r w:rsidDel="00000000" w:rsidR="00000000" w:rsidRPr="00000000">
        <w:rPr>
          <w:rFonts w:ascii="Times New Roman" w:cs="Times New Roman" w:eastAsia="Times New Roman" w:hAnsi="Times New Roman"/>
          <w:b w:val="1"/>
          <w:bCs w:val="1"/>
          <w:sz w:val="34"/>
          <w:szCs w:val="34"/>
          <w:rtl w:val="0"/>
        </w:rPr>
        <w:t xml:space="preserve">Industry Overview</w:t>
      </w:r>
    </w:p>
    <w:p w:rsidR="00000000" w:rsidDel="00000000" w:rsidP="00000000" w:rsidRDefault="00000000" w:rsidRPr="00000000" w14:paraId="000000EE">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Purpose</w:t>
      </w:r>
    </w:p>
    <w:p w:rsidR="00000000" w:rsidDel="00000000" w:rsidP="00000000" w:rsidRDefault="00000000" w:rsidRPr="00000000" w14:paraId="000000EF">
      <w:pPr>
        <w:numPr>
          <w:ilvl w:val="0"/>
          <w:numId w:val="105"/>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Industry Overview provides background on the market or industry in which the company operates, often supported by third-party research.</w:t>
      </w:r>
    </w:p>
    <w:p w:rsidR="00000000" w:rsidDel="00000000" w:rsidP="00000000" w:rsidRDefault="00000000" w:rsidRPr="00000000" w14:paraId="000000F0">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Required sub-parts</w:t>
      </w:r>
    </w:p>
    <w:p w:rsidR="00000000" w:rsidDel="00000000" w:rsidP="00000000" w:rsidRDefault="00000000" w:rsidRPr="00000000" w14:paraId="000000F1">
      <w:pPr>
        <w:numPr>
          <w:ilvl w:val="0"/>
          <w:numId w:val="128"/>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should divide this section into sub-parts that cover: definition of the industry, market size and growth trends, competitive landscape, and possibly future outlook.</w:t>
      </w:r>
    </w:p>
    <w:p w:rsidR="00000000" w:rsidDel="00000000" w:rsidP="00000000" w:rsidRDefault="00000000" w:rsidRPr="00000000" w14:paraId="000000F2">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Typical flow</w:t>
      </w:r>
    </w:p>
    <w:p w:rsidR="00000000" w:rsidDel="00000000" w:rsidP="00000000" w:rsidRDefault="00000000" w:rsidRPr="00000000" w14:paraId="000000F3">
      <w:pPr>
        <w:numPr>
          <w:ilvl w:val="0"/>
          <w:numId w:val="15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 usually begins by defining key terms or segments of the industry (for example, explaining what “pop toys” are in Pop Mart’s case, as per an industry definition).</w:t>
      </w:r>
    </w:p>
    <w:p w:rsidR="00000000" w:rsidDel="00000000" w:rsidP="00000000" w:rsidRDefault="00000000" w:rsidRPr="00000000" w14:paraId="000000F4">
      <w:pPr>
        <w:numPr>
          <w:ilvl w:val="0"/>
          <w:numId w:val="15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Then it presents data on the industry’s historical and projected market size, typically including figures and compound annual growth rates, sourced from an independent market research firm.</w:t>
      </w:r>
    </w:p>
    <w:p w:rsidR="00000000" w:rsidDel="00000000" w:rsidP="00000000" w:rsidRDefault="00000000" w:rsidRPr="00000000" w14:paraId="000000F5">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Source attribution</w:t>
      </w:r>
    </w:p>
    <w:p w:rsidR="00000000" w:rsidDel="00000000" w:rsidP="00000000" w:rsidRDefault="00000000" w:rsidRPr="00000000" w14:paraId="000000F6">
      <w:pPr>
        <w:numPr>
          <w:ilvl w:val="0"/>
          <w:numId w:val="163"/>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must cite such data as coming from sources like Frost &amp; Sullivan or other consultants, as the prospectus does (e.g., “according to the Frost &amp; Sullivan Report, the market size of China’s pop toy retailing was RMBX in 2019 and is expected to reach RMBY by 2024”).</w:t>
      </w:r>
    </w:p>
    <w:p w:rsidR="00000000" w:rsidDel="00000000" w:rsidP="00000000" w:rsidRDefault="00000000" w:rsidRPr="00000000" w14:paraId="000000F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Coverage expectations</w:t>
      </w:r>
    </w:p>
    <w:p w:rsidR="00000000" w:rsidDel="00000000" w:rsidP="00000000" w:rsidRDefault="00000000" w:rsidRPr="00000000" w14:paraId="000000F8">
      <w:pPr>
        <w:numPr>
          <w:ilvl w:val="0"/>
          <w:numId w:val="58"/>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content range should cover both global context (if relevant) and the specific region of the company (e.g., the Chinese market for a Chinese issuer), highlighting drivers of growth or recent trends (such as increasing disposable incomes, urbanization, consumer preferences for certain products).</w:t>
      </w:r>
    </w:p>
    <w:p w:rsidR="00000000" w:rsidDel="00000000" w:rsidP="00000000" w:rsidRDefault="00000000" w:rsidRPr="00000000" w14:paraId="000000F9">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Competition discussion</w:t>
      </w:r>
    </w:p>
    <w:p w:rsidR="00000000" w:rsidDel="00000000" w:rsidP="00000000" w:rsidRDefault="00000000" w:rsidRPr="00000000" w14:paraId="000000FA">
      <w:pPr>
        <w:numPr>
          <w:ilvl w:val="0"/>
          <w:numId w:val="171"/>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Additionally, the competitive landscape is described: how fragmented or consolidated the industry is, the company’s rank or market share if available, and key competitors (with possibly a statement like “the top five players accounted for X% of the market, with Company ranked first at 8.5% share”).</w:t>
      </w:r>
    </w:p>
    <w:p w:rsidR="00000000" w:rsidDel="00000000" w:rsidP="00000000" w:rsidRDefault="00000000" w:rsidRPr="00000000" w14:paraId="000000F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Other influencing factors</w:t>
      </w:r>
    </w:p>
    <w:p w:rsidR="00000000" w:rsidDel="00000000" w:rsidP="00000000" w:rsidRDefault="00000000" w:rsidRPr="00000000" w14:paraId="000000FC">
      <w:pPr>
        <w:numPr>
          <w:ilvl w:val="0"/>
          <w:numId w:val="198"/>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industry is influenced by government policy or technological change, those factors are outlined as well.</w:t>
      </w:r>
    </w:p>
    <w:p w:rsidR="00000000" w:rsidDel="00000000" w:rsidP="00000000" w:rsidRDefault="00000000" w:rsidRPr="00000000" w14:paraId="000000FD">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Granularity &amp; presentation</w:t>
      </w:r>
    </w:p>
    <w:p w:rsidR="00000000" w:rsidDel="00000000" w:rsidP="00000000" w:rsidRDefault="00000000" w:rsidRPr="00000000" w14:paraId="000000FE">
      <w:pPr>
        <w:numPr>
          <w:ilvl w:val="0"/>
          <w:numId w:val="2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granularity involves specific statistics and rankings, growth percentages, and qualitative analysis of trends.</w:t>
      </w:r>
    </w:p>
    <w:p w:rsidR="00000000" w:rsidDel="00000000" w:rsidP="00000000" w:rsidRDefault="00000000" w:rsidRPr="00000000" w14:paraId="000000FF">
      <w:pPr>
        <w:numPr>
          <w:ilvl w:val="0"/>
          <w:numId w:val="2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AI’s language should remain objective and analytic, not promotional – this section is about the industry, not the company specifically.</w:t>
      </w:r>
    </w:p>
    <w:p w:rsidR="00000000" w:rsidDel="00000000" w:rsidP="00000000" w:rsidRDefault="00000000" w:rsidRPr="00000000" w14:paraId="00000100">
      <w:pPr>
        <w:numPr>
          <w:ilvl w:val="0"/>
          <w:numId w:val="2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use of charts or tables is common, although if only text is being generated, the AI should describe any notable figures clearly in prose.</w:t>
      </w:r>
    </w:p>
    <w:p w:rsidR="00000000" w:rsidDel="00000000" w:rsidP="00000000" w:rsidRDefault="00000000" w:rsidRPr="00000000" w14:paraId="0000010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Closing outlook</w:t>
      </w:r>
    </w:p>
    <w:p w:rsidR="00000000" w:rsidDel="00000000" w:rsidP="00000000" w:rsidRDefault="00000000" w:rsidRPr="00000000" w14:paraId="00000102">
      <w:pPr>
        <w:numPr>
          <w:ilvl w:val="0"/>
          <w:numId w:val="159"/>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 may end with a short outlook discussing how the industry is expected to evolve in the next few years (again citing the research source for any forecasts).</w:t>
      </w:r>
    </w:p>
    <w:p w:rsidR="00000000" w:rsidDel="00000000" w:rsidP="00000000" w:rsidRDefault="00000000" w:rsidRPr="00000000" w14:paraId="00000103">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Investor value</w:t>
      </w:r>
    </w:p>
    <w:p w:rsidR="00000000" w:rsidDel="00000000" w:rsidP="00000000" w:rsidRDefault="00000000" w:rsidRPr="00000000" w14:paraId="00000104">
      <w:pPr>
        <w:numPr>
          <w:ilvl w:val="0"/>
          <w:numId w:val="21"/>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By thoroughly covering the industry context, this section helps investors understand the broader environment and opportunity set that the company operates within.</w:t>
      </w:r>
    </w:p>
    <w:p w:rsidR="00000000" w:rsidDel="00000000" w:rsidP="00000000" w:rsidRDefault="00000000" w:rsidRPr="00000000" w14:paraId="00000105">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06">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b7rk1p5ijrfm" w:id="14"/>
      <w:bookmarkEnd w:id="14"/>
      <w:r w:rsidDel="00000000" w:rsidR="00000000" w:rsidRPr="00000000">
        <w:rPr>
          <w:rFonts w:ascii="Times New Roman" w:cs="Times New Roman" w:eastAsia="Times New Roman" w:hAnsi="Times New Roman"/>
          <w:b w:val="1"/>
          <w:bCs w:val="1"/>
          <w:sz w:val="34"/>
          <w:szCs w:val="34"/>
          <w:rtl w:val="0"/>
        </w:rPr>
        <w:t xml:space="preserve">History, Reorganization, and Corporate Structure</w:t>
      </w:r>
    </w:p>
    <w:p w:rsidR="00000000" w:rsidDel="00000000" w:rsidP="00000000" w:rsidRDefault="00000000" w:rsidRPr="00000000" w14:paraId="0000010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Purpose</w:t>
      </w:r>
    </w:p>
    <w:p w:rsidR="00000000" w:rsidDel="00000000" w:rsidP="00000000" w:rsidRDefault="00000000" w:rsidRPr="00000000" w14:paraId="00000108">
      <w:pPr>
        <w:numPr>
          <w:ilvl w:val="0"/>
          <w:numId w:val="138"/>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section outlines the company’s background and how it came to its current form.</w:t>
      </w:r>
    </w:p>
    <w:p w:rsidR="00000000" w:rsidDel="00000000" w:rsidP="00000000" w:rsidRDefault="00000000" w:rsidRPr="00000000" w14:paraId="00000109">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Chronological history</w:t>
      </w:r>
    </w:p>
    <w:p w:rsidR="00000000" w:rsidDel="00000000" w:rsidP="00000000" w:rsidRDefault="00000000" w:rsidRPr="00000000" w14:paraId="0000010A">
      <w:pPr>
        <w:numPr>
          <w:ilvl w:val="0"/>
          <w:numId w:val="110"/>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AI’s output should chronologically narrate the company’s key milestones since inception: the founding date, important business milestones (product launches, expansions, any major awards or achievements), and changes in corporate structure.</w:t>
      </w:r>
    </w:p>
    <w:p w:rsidR="00000000" w:rsidDel="00000000" w:rsidP="00000000" w:rsidRDefault="00000000" w:rsidRPr="00000000" w14:paraId="0000010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Reorganization for IPO</w:t>
      </w:r>
    </w:p>
    <w:p w:rsidR="00000000" w:rsidDel="00000000" w:rsidP="00000000" w:rsidRDefault="00000000" w:rsidRPr="00000000" w14:paraId="0000010C">
      <w:pPr>
        <w:numPr>
          <w:ilvl w:val="0"/>
          <w:numId w:val="3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major component is describing the reorganization steps undertaken to prepare for the IPO.</w:t>
      </w:r>
    </w:p>
    <w:p w:rsidR="00000000" w:rsidDel="00000000" w:rsidP="00000000" w:rsidRDefault="00000000" w:rsidRPr="00000000" w14:paraId="0000010D">
      <w:pPr>
        <w:numPr>
          <w:ilvl w:val="0"/>
          <w:numId w:val="3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many cases, companies restructure shareholdings or set up holding companies prior to listing.</w:t>
      </w:r>
    </w:p>
    <w:p w:rsidR="00000000" w:rsidDel="00000000" w:rsidP="00000000" w:rsidRDefault="00000000" w:rsidRPr="00000000" w14:paraId="0000010E">
      <w:pPr>
        <w:numPr>
          <w:ilvl w:val="0"/>
          <w:numId w:val="3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should explain these transactions in simple terms – for example, “in [month year], the Company underwent a reorganization whereby a new Cayman Islands holding company (the issuer) was incorporated to become the listing vehicle, and the equity interests of the operating subsidiaries were transferred under this holding structure.”</w:t>
      </w:r>
    </w:p>
    <w:p w:rsidR="00000000" w:rsidDel="00000000" w:rsidP="00000000" w:rsidRDefault="00000000" w:rsidRPr="00000000" w14:paraId="0000010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Other structural events</w:t>
      </w:r>
    </w:p>
    <w:p w:rsidR="00000000" w:rsidDel="00000000" w:rsidP="00000000" w:rsidRDefault="00000000" w:rsidRPr="00000000" w14:paraId="00000110">
      <w:pPr>
        <w:numPr>
          <w:ilvl w:val="0"/>
          <w:numId w:val="3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Any mergers, spinoffs, or capital changes as part of the reorganization should be noted.</w:t>
      </w:r>
    </w:p>
    <w:p w:rsidR="00000000" w:rsidDel="00000000" w:rsidP="00000000" w:rsidRDefault="00000000" w:rsidRPr="00000000" w14:paraId="00000111">
      <w:pPr>
        <w:numPr>
          <w:ilvl w:val="0"/>
          <w:numId w:val="3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there were significant pre-IPO investments (like series funding rounds by investors), this section might briefly mention those and how they affected ownership.</w:t>
      </w:r>
    </w:p>
    <w:p w:rsidR="00000000" w:rsidDel="00000000" w:rsidP="00000000" w:rsidRDefault="00000000" w:rsidRPr="00000000" w14:paraId="00000112">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Corporate structure description</w:t>
      </w:r>
    </w:p>
    <w:p w:rsidR="00000000" w:rsidDel="00000000" w:rsidP="00000000" w:rsidRDefault="00000000" w:rsidRPr="00000000" w14:paraId="00000113">
      <w:pPr>
        <w:numPr>
          <w:ilvl w:val="0"/>
          <w:numId w:val="7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Corporate Structure part usually includes one or more diagrams or descriptions of the group’s legal entities.</w:t>
      </w:r>
    </w:p>
    <w:p w:rsidR="00000000" w:rsidDel="00000000" w:rsidP="00000000" w:rsidRDefault="00000000" w:rsidRPr="00000000" w14:paraId="00000114">
      <w:pPr>
        <w:numPr>
          <w:ilvl w:val="0"/>
          <w:numId w:val="7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should describe the group structure, stating the main subsidiaries and their ownership.</w:t>
      </w:r>
    </w:p>
    <w:p w:rsidR="00000000" w:rsidDel="00000000" w:rsidP="00000000" w:rsidRDefault="00000000" w:rsidRPr="00000000" w14:paraId="00000115">
      <w:pPr>
        <w:numPr>
          <w:ilvl w:val="0"/>
          <w:numId w:val="7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example: “The following diagram illustrates our corporate and shareholding structure immediately before and after the Global Offering…”.</w:t>
      </w:r>
    </w:p>
    <w:p w:rsidR="00000000" w:rsidDel="00000000" w:rsidP="00000000" w:rsidRDefault="00000000" w:rsidRPr="00000000" w14:paraId="00000116">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 and post-IPO structure</w:t>
      </w:r>
    </w:p>
    <w:p w:rsidR="00000000" w:rsidDel="00000000" w:rsidP="00000000" w:rsidRDefault="00000000" w:rsidRPr="00000000" w14:paraId="00000117">
      <w:pPr>
        <w:numPr>
          <w:ilvl w:val="0"/>
          <w:numId w:val="4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 should list the key subsidiaries, their jurisdictions, and percentage ownership.</w:t>
      </w:r>
    </w:p>
    <w:p w:rsidR="00000000" w:rsidDel="00000000" w:rsidP="00000000" w:rsidRDefault="00000000" w:rsidRPr="00000000" w14:paraId="00000118">
      <w:pPr>
        <w:numPr>
          <w:ilvl w:val="0"/>
          <w:numId w:val="4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prospectus provides two structures (pre-IPO and post-IPO), the AI should explain both: who the major shareholders were before listing and how that changes after listing (e.g., after issuing new shares in the IPO and executing any Capitalization Issue or stock split).</w:t>
      </w:r>
    </w:p>
    <w:p w:rsidR="00000000" w:rsidDel="00000000" w:rsidP="00000000" w:rsidRDefault="00000000" w:rsidRPr="00000000" w14:paraId="00000119">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Granularity</w:t>
      </w:r>
    </w:p>
    <w:p w:rsidR="00000000" w:rsidDel="00000000" w:rsidP="00000000" w:rsidRDefault="00000000" w:rsidRPr="00000000" w14:paraId="0000011A">
      <w:pPr>
        <w:numPr>
          <w:ilvl w:val="0"/>
          <w:numId w:val="34"/>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granularity should include names of major subsidiaries and intermediate holding companies, especially any material operating entities, and any VIE (contractual arrangement) entities if those exist (though details of VIE go in another section).</w:t>
      </w:r>
    </w:p>
    <w:p w:rsidR="00000000" w:rsidDel="00000000" w:rsidP="00000000" w:rsidRDefault="00000000" w:rsidRPr="00000000" w14:paraId="0000011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Outcome</w:t>
      </w:r>
    </w:p>
    <w:p w:rsidR="00000000" w:rsidDel="00000000" w:rsidP="00000000" w:rsidRDefault="00000000" w:rsidRPr="00000000" w14:paraId="0000011C">
      <w:pPr>
        <w:numPr>
          <w:ilvl w:val="0"/>
          <w:numId w:val="121"/>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Essentially, by the end of this section, a reader should understand the lineage and evolution of the company and see a clear picture of the group’s makeup.</w:t>
      </w:r>
    </w:p>
    <w:p w:rsidR="00000000" w:rsidDel="00000000" w:rsidP="00000000" w:rsidRDefault="00000000" w:rsidRPr="00000000" w14:paraId="0000011D">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Illustrative detail that should be captured if present</w:t>
      </w:r>
    </w:p>
    <w:p w:rsidR="00000000" w:rsidDel="00000000" w:rsidP="00000000" w:rsidRDefault="00000000" w:rsidRPr="00000000" w14:paraId="0000011E">
      <w:pPr>
        <w:numPr>
          <w:ilvl w:val="0"/>
          <w:numId w:val="30"/>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might involve stating “Our company was founded in [year] by [Founder’s Name] in [city]” and then describing growth (e.g., opened first store in 2010, expanded to X cities by 2015, etc.), culminating in the steps taken in the last year to reorganize for the IPO.</w:t>
      </w:r>
    </w:p>
    <w:p w:rsidR="00000000" w:rsidDel="00000000" w:rsidP="00000000" w:rsidRDefault="00000000" w:rsidRPr="00000000" w14:paraId="0000011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Tone and diagram handling</w:t>
      </w:r>
    </w:p>
    <w:p w:rsidR="00000000" w:rsidDel="00000000" w:rsidP="00000000" w:rsidRDefault="00000000" w:rsidRPr="00000000" w14:paraId="00000120">
      <w:pPr>
        <w:numPr>
          <w:ilvl w:val="0"/>
          <w:numId w:val="21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AI’s tone remains factual and chronological.</w:t>
      </w:r>
    </w:p>
    <w:p w:rsidR="00000000" w:rsidDel="00000000" w:rsidP="00000000" w:rsidRDefault="00000000" w:rsidRPr="00000000" w14:paraId="00000121">
      <w:pPr>
        <w:numPr>
          <w:ilvl w:val="0"/>
          <w:numId w:val="21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Diagrams themselves can be described in text if needed (e.g., “See chart below for corporate structure”), but primarily the agent should ensure all pieces of the corporate puzzle are mentioned in text form: significant entities, founders, investor stakes, and any noteworthy structural notes (like dual-class shares if any, or WVR beneficiaries if relevant).</w:t>
      </w:r>
    </w:p>
    <w:p w:rsidR="00000000" w:rsidDel="00000000" w:rsidP="00000000" w:rsidRDefault="00000000" w:rsidRPr="00000000" w14:paraId="00000122">
      <w:pPr>
        <w:numPr>
          <w:ilvl w:val="0"/>
          <w:numId w:val="21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Consistency with what’s shown in any accompanying diagram is critical.</w:t>
      </w:r>
    </w:p>
    <w:p w:rsidR="00000000" w:rsidDel="00000000" w:rsidP="00000000" w:rsidRDefault="00000000" w:rsidRPr="00000000" w14:paraId="00000123">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4">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w10z0q18ctc6" w:id="15"/>
      <w:bookmarkEnd w:id="15"/>
      <w:r w:rsidDel="00000000" w:rsidR="00000000" w:rsidRPr="00000000">
        <w:rPr>
          <w:rFonts w:ascii="Times New Roman" w:cs="Times New Roman" w:eastAsia="Times New Roman" w:hAnsi="Times New Roman"/>
          <w:b w:val="1"/>
          <w:bCs w:val="1"/>
          <w:sz w:val="34"/>
          <w:szCs w:val="34"/>
          <w:rtl w:val="0"/>
        </w:rPr>
        <w:t xml:space="preserve">Business</w:t>
      </w:r>
    </w:p>
    <w:p w:rsidR="00000000" w:rsidDel="00000000" w:rsidP="00000000" w:rsidRDefault="00000000" w:rsidRPr="00000000" w14:paraId="00000125">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Overall role</w:t>
      </w:r>
    </w:p>
    <w:p w:rsidR="00000000" w:rsidDel="00000000" w:rsidP="00000000" w:rsidRDefault="00000000" w:rsidRPr="00000000" w14:paraId="00000126">
      <w:pPr>
        <w:numPr>
          <w:ilvl w:val="0"/>
          <w:numId w:val="21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Business section is one of the longest and most detailed parts of the prospectus, giving investors a deep dive into the company’s operations and strategies.</w:t>
      </w:r>
    </w:p>
    <w:p w:rsidR="00000000" w:rsidDel="00000000" w:rsidP="00000000" w:rsidRDefault="00000000" w:rsidRPr="00000000" w14:paraId="00000127">
      <w:pPr>
        <w:numPr>
          <w:ilvl w:val="0"/>
          <w:numId w:val="21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should organize this section into subsections covering all aspects of the business.</w:t>
      </w:r>
    </w:p>
    <w:p w:rsidR="00000000" w:rsidDel="00000000" w:rsidP="00000000" w:rsidRDefault="00000000" w:rsidRPr="00000000" w14:paraId="00000128">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Core subsections to include</w:t>
      </w:r>
    </w:p>
    <w:p w:rsidR="00000000" w:rsidDel="00000000" w:rsidP="00000000" w:rsidRDefault="00000000" w:rsidRPr="00000000" w14:paraId="00000129">
      <w:pPr>
        <w:numPr>
          <w:ilvl w:val="0"/>
          <w:numId w:val="150"/>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Key elements to include are: Business Overview, Products and Services, Business Model, Sales and Marketing, Operations, Technology, Competitive Strengths, Growth Strategies, Intellectual Property, Employees, Properties, and Environmental/Social/Legal Compliance related to operations.</w:t>
      </w:r>
    </w:p>
    <w:p w:rsidR="00000000" w:rsidDel="00000000" w:rsidP="00000000" w:rsidRDefault="00000000" w:rsidRPr="00000000" w14:paraId="0000012A">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Opening overview</w:t>
      </w:r>
    </w:p>
    <w:p w:rsidR="00000000" w:rsidDel="00000000" w:rsidP="00000000" w:rsidRDefault="00000000" w:rsidRPr="00000000" w14:paraId="0000012B">
      <w:pPr>
        <w:numPr>
          <w:ilvl w:val="0"/>
          <w:numId w:val="212"/>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 often begins with a general overview paragraph summing up what the company does and its position in the industry (e.g., “We are the largest and fastest-growing pop toy company in China, specializing in the design and sale of trendy collectible figurines.”).</w:t>
      </w:r>
    </w:p>
    <w:p w:rsidR="00000000" w:rsidDel="00000000" w:rsidP="00000000" w:rsidRDefault="00000000" w:rsidRPr="00000000" w14:paraId="0000012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Products and development</w:t>
      </w:r>
    </w:p>
    <w:p w:rsidR="00000000" w:rsidDel="00000000" w:rsidP="00000000" w:rsidRDefault="00000000" w:rsidRPr="00000000" w14:paraId="0000012D">
      <w:pPr>
        <w:numPr>
          <w:ilvl w:val="0"/>
          <w:numId w:val="17"/>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should then delve into product lines or services: describing the main categories of products, the brands or IPs involved, and how the company develops them (for instance, an outline of the process of product design and collaboration with artists, since Pop Mart’s business involves IP collaborations).</w:t>
      </w:r>
    </w:p>
    <w:p w:rsidR="00000000" w:rsidDel="00000000" w:rsidP="00000000" w:rsidRDefault="00000000" w:rsidRPr="00000000" w14:paraId="0000012E">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Business model and revenue streams</w:t>
      </w:r>
    </w:p>
    <w:p w:rsidR="00000000" w:rsidDel="00000000" w:rsidP="00000000" w:rsidRDefault="00000000" w:rsidRPr="00000000" w14:paraId="0000012F">
      <w:pPr>
        <w:numPr>
          <w:ilvl w:val="0"/>
          <w:numId w:val="17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Next, it should describe the business model and revenue streams – how the company makes money.</w:t>
      </w:r>
    </w:p>
    <w:p w:rsidR="00000000" w:rsidDel="00000000" w:rsidP="00000000" w:rsidRDefault="00000000" w:rsidRPr="00000000" w14:paraId="00000130">
      <w:pPr>
        <w:numPr>
          <w:ilvl w:val="0"/>
          <w:numId w:val="17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a retail company like Pop Mart, this includes an explanation of sales channels (own retail stores, online store, vending machine “roboshops”, wholesale to distributors, etc.) and their relative importance.</w:t>
      </w:r>
    </w:p>
    <w:p w:rsidR="00000000" w:rsidDel="00000000" w:rsidP="00000000" w:rsidRDefault="00000000" w:rsidRPr="00000000" w14:paraId="00000131">
      <w:pPr>
        <w:numPr>
          <w:ilvl w:val="0"/>
          <w:numId w:val="17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should highlight the number of outlets or presence (e.g., “As of June 30, 2020, we operated X flagship stores and Y roboshops, and had a distribution network covering 21 countries.”).</w:t>
      </w:r>
    </w:p>
    <w:p w:rsidR="00000000" w:rsidDel="00000000" w:rsidP="00000000" w:rsidRDefault="00000000" w:rsidRPr="00000000" w14:paraId="00000132">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Competitive strengths</w:t>
      </w:r>
    </w:p>
    <w:p w:rsidR="00000000" w:rsidDel="00000000" w:rsidP="00000000" w:rsidRDefault="00000000" w:rsidRPr="00000000" w14:paraId="00000133">
      <w:pPr>
        <w:numPr>
          <w:ilvl w:val="0"/>
          <w:numId w:val="13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Then, competitive strengths: although not explicitly labeled in the contents for Pop Mart, prospectuses typically discuss why the company is successful – e.g., strong brand community (millions of registered members), integrated platform from IP creation to retail, etc.</w:t>
      </w:r>
    </w:p>
    <w:p w:rsidR="00000000" w:rsidDel="00000000" w:rsidP="00000000" w:rsidRDefault="00000000" w:rsidRPr="00000000" w14:paraId="00000134">
      <w:pPr>
        <w:numPr>
          <w:ilvl w:val="0"/>
          <w:numId w:val="139"/>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should enumerate these strengths in a persuasive but factual tone, as subheadings or bold lead-ins, supported by facts (like community size, market share, unique model).</w:t>
      </w:r>
    </w:p>
    <w:p w:rsidR="00000000" w:rsidDel="00000000" w:rsidP="00000000" w:rsidRDefault="00000000" w:rsidRPr="00000000" w14:paraId="00000135">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Growth strategies</w:t>
      </w:r>
    </w:p>
    <w:p w:rsidR="00000000" w:rsidDel="00000000" w:rsidP="00000000" w:rsidRDefault="00000000" w:rsidRPr="00000000" w14:paraId="00000136">
      <w:pPr>
        <w:numPr>
          <w:ilvl w:val="0"/>
          <w:numId w:val="50"/>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Growth strategies usually follow, detailing how the company plans to expand – for example, international expansion, new product lines, more stores, digital initiatives, etc., showing a forward-looking plan (without making it a forward-looking statement – phrasing should be like “we intend to…”).</w:t>
      </w:r>
    </w:p>
    <w:p w:rsidR="00000000" w:rsidDel="00000000" w:rsidP="00000000" w:rsidRDefault="00000000" w:rsidRPr="00000000" w14:paraId="0000013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Operations</w:t>
      </w:r>
    </w:p>
    <w:p w:rsidR="00000000" w:rsidDel="00000000" w:rsidP="00000000" w:rsidRDefault="00000000" w:rsidRPr="00000000" w14:paraId="00000138">
      <w:pPr>
        <w:numPr>
          <w:ilvl w:val="0"/>
          <w:numId w:val="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Business section should also cover operational details: supply chain and manufacturing (does the company produce in-house or outsource? key suppliers, production capacity, quality control measures), logistics (how products are distributed), and inventory management.</w:t>
      </w:r>
    </w:p>
    <w:p w:rsidR="00000000" w:rsidDel="00000000" w:rsidP="00000000" w:rsidRDefault="00000000" w:rsidRPr="00000000" w14:paraId="00000139">
      <w:pPr>
        <w:numPr>
          <w:ilvl w:val="0"/>
          <w:numId w:val="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Any seasonal fluctuation or backlog issues could be mentioned if relevant.</w:t>
      </w:r>
    </w:p>
    <w:p w:rsidR="00000000" w:rsidDel="00000000" w:rsidP="00000000" w:rsidRDefault="00000000" w:rsidRPr="00000000" w14:paraId="0000013A">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Marketing &amp; customer engagement</w:t>
      </w:r>
    </w:p>
    <w:p w:rsidR="00000000" w:rsidDel="00000000" w:rsidP="00000000" w:rsidRDefault="00000000" w:rsidRPr="00000000" w14:paraId="0000013B">
      <w:pPr>
        <w:numPr>
          <w:ilvl w:val="0"/>
          <w:numId w:val="5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Marketing and customer engagement is another area – e.g., description of membership programs, fan events (Pop Mart hosts toy conventions, etc.), social media presence (number of followers, app users).</w:t>
      </w:r>
    </w:p>
    <w:p w:rsidR="00000000" w:rsidDel="00000000" w:rsidP="00000000" w:rsidRDefault="00000000" w:rsidRPr="00000000" w14:paraId="0000013C">
      <w:pPr>
        <w:numPr>
          <w:ilvl w:val="0"/>
          <w:numId w:val="59"/>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should mention these tangible metrics to illustrate how the company engages its customers.</w:t>
      </w:r>
    </w:p>
    <w:p w:rsidR="00000000" w:rsidDel="00000000" w:rsidP="00000000" w:rsidRDefault="00000000" w:rsidRPr="00000000" w14:paraId="0000013D">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Intellectual property</w:t>
      </w:r>
    </w:p>
    <w:p w:rsidR="00000000" w:rsidDel="00000000" w:rsidP="00000000" w:rsidRDefault="00000000" w:rsidRPr="00000000" w14:paraId="0000013E">
      <w:pPr>
        <w:numPr>
          <w:ilvl w:val="0"/>
          <w:numId w:val="44"/>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Intellectual Property: if the business relies on IP (own IP or licensed IP), detail how IP is acquired or licensed, how many proprietary characters the company has, and IP protection measures.</w:t>
      </w:r>
    </w:p>
    <w:p w:rsidR="00000000" w:rsidDel="00000000" w:rsidP="00000000" w:rsidRDefault="00000000" w:rsidRPr="00000000" w14:paraId="0000013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Competition positioning</w:t>
      </w:r>
    </w:p>
    <w:p w:rsidR="00000000" w:rsidDel="00000000" w:rsidP="00000000" w:rsidRDefault="00000000" w:rsidRPr="00000000" w14:paraId="00000140">
      <w:pPr>
        <w:numPr>
          <w:ilvl w:val="0"/>
          <w:numId w:val="24"/>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Competition: identify main competitors and on what basis the company competes (price, product uniqueness, brand, etc. – some of this info may have been in Industry section, but here it can be tailored to the company’s perspective).</w:t>
      </w:r>
    </w:p>
    <w:p w:rsidR="00000000" w:rsidDel="00000000" w:rsidP="00000000" w:rsidRDefault="00000000" w:rsidRPr="00000000" w14:paraId="0000014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Operational regulatory compliance</w:t>
      </w:r>
    </w:p>
    <w:p w:rsidR="00000000" w:rsidDel="00000000" w:rsidP="00000000" w:rsidRDefault="00000000" w:rsidRPr="00000000" w14:paraId="00000142">
      <w:pPr>
        <w:numPr>
          <w:ilvl w:val="0"/>
          <w:numId w:val="153"/>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Regulatory compliance in operations: e.g., if there are specific regulations like safety standards or online sales laws, state that the company has obtained required licenses (with specifics, such as any license numbers or regulatory approvals if important).</w:t>
      </w:r>
    </w:p>
    <w:p w:rsidR="00000000" w:rsidDel="00000000" w:rsidP="00000000" w:rsidRDefault="00000000" w:rsidRPr="00000000" w14:paraId="00000143">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People, assets, and risk management</w:t>
      </w:r>
    </w:p>
    <w:p w:rsidR="00000000" w:rsidDel="00000000" w:rsidP="00000000" w:rsidRDefault="00000000" w:rsidRPr="00000000" w14:paraId="00000144">
      <w:pPr>
        <w:numPr>
          <w:ilvl w:val="0"/>
          <w:numId w:val="8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Employees and training: number of employees, how critical human capital is, maybe mention any specialized teams (like design team, R&amp;D team).</w:t>
      </w:r>
    </w:p>
    <w:p w:rsidR="00000000" w:rsidDel="00000000" w:rsidP="00000000" w:rsidRDefault="00000000" w:rsidRPr="00000000" w14:paraId="00000145">
      <w:pPr>
        <w:numPr>
          <w:ilvl w:val="0"/>
          <w:numId w:val="8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Properties: list of principal properties like office headquarters, warehouses, etc., including if they are leased or owned.</w:t>
      </w:r>
    </w:p>
    <w:p w:rsidR="00000000" w:rsidDel="00000000" w:rsidP="00000000" w:rsidRDefault="00000000" w:rsidRPr="00000000" w14:paraId="00000146">
      <w:pPr>
        <w:numPr>
          <w:ilvl w:val="0"/>
          <w:numId w:val="8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Insurance: mention coverage (e.g., “we maintain insurance policies including product liability, property insurance, etc., in line with industry practice”).</w:t>
      </w:r>
    </w:p>
    <w:p w:rsidR="00000000" w:rsidDel="00000000" w:rsidP="00000000" w:rsidRDefault="00000000" w:rsidRPr="00000000" w14:paraId="0000014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Granularity expectation</w:t>
      </w:r>
    </w:p>
    <w:p w:rsidR="00000000" w:rsidDel="00000000" w:rsidP="00000000" w:rsidRDefault="00000000" w:rsidRPr="00000000" w14:paraId="00000148">
      <w:pPr>
        <w:numPr>
          <w:ilvl w:val="0"/>
          <w:numId w:val="21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Throughout, the granularity is high: this section is meant to be very informative.</w:t>
      </w:r>
    </w:p>
    <w:p w:rsidR="00000000" w:rsidDel="00000000" w:rsidP="00000000" w:rsidRDefault="00000000" w:rsidRPr="00000000" w14:paraId="00000149">
      <w:pPr>
        <w:numPr>
          <w:ilvl w:val="0"/>
          <w:numId w:val="219"/>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should include concrete numbers and examples wherever possible (store counts, user counts, years of experience, etc.), drawn from the prospectus data.</w:t>
      </w:r>
    </w:p>
    <w:p w:rsidR="00000000" w:rsidDel="00000000" w:rsidP="00000000" w:rsidRDefault="00000000" w:rsidRPr="00000000" w14:paraId="0000014A">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Illustrative metrics and unique components</w:t>
      </w:r>
    </w:p>
    <w:p w:rsidR="00000000" w:rsidDel="00000000" w:rsidP="00000000" w:rsidRDefault="00000000" w:rsidRPr="00000000" w14:paraId="0000014B">
      <w:pPr>
        <w:numPr>
          <w:ilvl w:val="0"/>
          <w:numId w:val="8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instance, including specific membership numbers (“3.6 million registered members as of June 30, 2020”), or distribution footprint (“21 overseas countries and regions”).</w:t>
      </w:r>
    </w:p>
    <w:p w:rsidR="00000000" w:rsidDel="00000000" w:rsidP="00000000" w:rsidRDefault="00000000" w:rsidRPr="00000000" w14:paraId="0000014C">
      <w:pPr>
        <w:numPr>
          <w:ilvl w:val="0"/>
          <w:numId w:val="8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 should also incorporate any unique business components – e.g., for Pop Mart, mention the concept of “blind boxes” and how they drive consumer excitement, and the use of data analytics or “big data and AI technologies” to track customer preferences.</w:t>
      </w:r>
    </w:p>
    <w:p w:rsidR="00000000" w:rsidDel="00000000" w:rsidP="00000000" w:rsidRDefault="00000000" w:rsidRPr="00000000" w14:paraId="0000014D">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Tone</w:t>
      </w:r>
    </w:p>
    <w:p w:rsidR="00000000" w:rsidDel="00000000" w:rsidP="00000000" w:rsidRDefault="00000000" w:rsidRPr="00000000" w14:paraId="0000014E">
      <w:pPr>
        <w:numPr>
          <w:ilvl w:val="0"/>
          <w:numId w:val="20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tone is descriptive and confident, but not promotional; it should showcase the business in a positive light by highlighting strengths and achievements, yet remain grounded in factual statements (since everything must be supportable).</w:t>
      </w:r>
    </w:p>
    <w:p w:rsidR="00000000" w:rsidDel="00000000" w:rsidP="00000000" w:rsidRDefault="00000000" w:rsidRPr="00000000" w14:paraId="0000014F">
      <w:pPr>
        <w:numPr>
          <w:ilvl w:val="0"/>
          <w:numId w:val="20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Using present tense for current operations and past tense for history is appropriate, and occasionally future tense for planned strategies.</w:t>
      </w:r>
    </w:p>
    <w:p w:rsidR="00000000" w:rsidDel="00000000" w:rsidP="00000000" w:rsidRDefault="00000000" w:rsidRPr="00000000" w14:paraId="00000150">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Outcome</w:t>
      </w:r>
    </w:p>
    <w:p w:rsidR="00000000" w:rsidDel="00000000" w:rsidP="00000000" w:rsidRDefault="00000000" w:rsidRPr="00000000" w14:paraId="00000151">
      <w:pPr>
        <w:numPr>
          <w:ilvl w:val="0"/>
          <w:numId w:val="38"/>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By thoroughly covering who the company is, what it does, how it does it, and why it believes it can succeed, this section provides investors with a foundation to evaluate the company’s commercial viability.</w:t>
      </w:r>
    </w:p>
    <w:p w:rsidR="00000000" w:rsidDel="00000000" w:rsidP="00000000" w:rsidRDefault="00000000" w:rsidRPr="00000000" w14:paraId="00000152">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53">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kw5006ppylsj" w:id="16"/>
      <w:bookmarkEnd w:id="16"/>
      <w:r w:rsidDel="00000000" w:rsidR="00000000" w:rsidRPr="00000000">
        <w:rPr>
          <w:rFonts w:ascii="Times New Roman" w:cs="Times New Roman" w:eastAsia="Times New Roman" w:hAnsi="Times New Roman"/>
          <w:b w:val="1"/>
          <w:bCs w:val="1"/>
          <w:sz w:val="34"/>
          <w:szCs w:val="34"/>
          <w:rtl w:val="0"/>
        </w:rPr>
        <w:t xml:space="preserve">Contractual Arrangements (Variable Interest Entities)</w:t>
      </w:r>
    </w:p>
    <w:p w:rsidR="00000000" w:rsidDel="00000000" w:rsidP="00000000" w:rsidRDefault="00000000" w:rsidRPr="00000000" w14:paraId="00000154">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When this section appears</w:t>
      </w:r>
    </w:p>
    <w:p w:rsidR="00000000" w:rsidDel="00000000" w:rsidP="00000000" w:rsidRDefault="00000000" w:rsidRPr="00000000" w14:paraId="00000155">
      <w:pPr>
        <w:numPr>
          <w:ilvl w:val="0"/>
          <w:numId w:val="130"/>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company operates through a Variable Interest Entity (VIE) structure due to foreign investment restrictions (common for Chinese issuers in restricted sectors), this dedicated section explains those arrangements.</w:t>
      </w:r>
    </w:p>
    <w:p w:rsidR="00000000" w:rsidDel="00000000" w:rsidP="00000000" w:rsidRDefault="00000000" w:rsidRPr="00000000" w14:paraId="00000156">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Opening explanation</w:t>
      </w:r>
    </w:p>
    <w:p w:rsidR="00000000" w:rsidDel="00000000" w:rsidP="00000000" w:rsidRDefault="00000000" w:rsidRPr="00000000" w14:paraId="00000157">
      <w:pPr>
        <w:numPr>
          <w:ilvl w:val="0"/>
          <w:numId w:val="14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should begin by stating why contractual arrangements are needed: which part of the business cannot be directly owned by the listing entity due to regulations.</w:t>
      </w:r>
    </w:p>
    <w:p w:rsidR="00000000" w:rsidDel="00000000" w:rsidP="00000000" w:rsidRDefault="00000000" w:rsidRPr="00000000" w14:paraId="00000158">
      <w:pPr>
        <w:numPr>
          <w:ilvl w:val="0"/>
          <w:numId w:val="14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example, “We launched Paqu Huyu, our online platform for pop toy culture services, which is subject to PRC laws restricting foreign ownership of internet content service providers. As a result, we conduct that portion of our business through contractual arrangements with a domestic entity”.</w:t>
      </w:r>
    </w:p>
    <w:p w:rsidR="00000000" w:rsidDel="00000000" w:rsidP="00000000" w:rsidRDefault="00000000" w:rsidRPr="00000000" w14:paraId="00000159">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Structure description</w:t>
      </w:r>
    </w:p>
    <w:p w:rsidR="00000000" w:rsidDel="00000000" w:rsidP="00000000" w:rsidRDefault="00000000" w:rsidRPr="00000000" w14:paraId="0000015A">
      <w:pPr>
        <w:numPr>
          <w:ilvl w:val="0"/>
          <w:numId w:val="182"/>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 should then describe the structure: name the wholly foreign-owned enterprise (WFOE) that the company owns, the operating company (VIE) held by PRC nationals (often founders or designees), and state that a series of contracts between them confer control and economic benefits of the VIE to the listed group.</w:t>
      </w:r>
    </w:p>
    <w:p w:rsidR="00000000" w:rsidDel="00000000" w:rsidP="00000000" w:rsidRDefault="00000000" w:rsidRPr="00000000" w14:paraId="0000015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Agreements that must be covered</w:t>
      </w:r>
    </w:p>
    <w:p w:rsidR="00000000" w:rsidDel="00000000" w:rsidP="00000000" w:rsidRDefault="00000000" w:rsidRPr="00000000" w14:paraId="0000015C">
      <w:pPr>
        <w:numPr>
          <w:ilvl w:val="0"/>
          <w:numId w:val="8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information framework must detail each major agreement in the VIE structure: typically, (i) Exclusive Business Cooperation/Service Agreement (for transferring fees), (ii) Equity Pledge Agreement (securing the VIE owners’ shares to the WFOE), (iii) Exclusive Option Agreement (WFOE’s right to acquire the VIE equity), (iv) Powers of Attorney or Shareholders’ Voting Proxy (authorizing WFOE/its designee to exercise voting rights of the VIE’s shareholders).</w:t>
      </w:r>
    </w:p>
    <w:p w:rsidR="00000000" w:rsidDel="00000000" w:rsidP="00000000" w:rsidRDefault="00000000" w:rsidRPr="00000000" w14:paraId="0000015D">
      <w:pPr>
        <w:numPr>
          <w:ilvl w:val="0"/>
          <w:numId w:val="8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should summarize what each of these contracts does.</w:t>
      </w:r>
    </w:p>
    <w:p w:rsidR="00000000" w:rsidDel="00000000" w:rsidP="00000000" w:rsidRDefault="00000000" w:rsidRPr="00000000" w14:paraId="0000015E">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Illustrative explanation</w:t>
      </w:r>
    </w:p>
    <w:p w:rsidR="00000000" w:rsidDel="00000000" w:rsidP="00000000" w:rsidRDefault="00000000" w:rsidRPr="00000000" w14:paraId="0000015F">
      <w:pPr>
        <w:numPr>
          <w:ilvl w:val="0"/>
          <w:numId w:val="152"/>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instance: “Under the Exclusive Option Agreement, the WFOE has the right to purchase all or part of the equity interests in the VIE at a nominal price, when permitted by Chinese law.”</w:t>
      </w:r>
    </w:p>
    <w:p w:rsidR="00000000" w:rsidDel="00000000" w:rsidP="00000000" w:rsidRDefault="00000000" w:rsidRPr="00000000" w14:paraId="00000160">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Consolidation and diagrams</w:t>
      </w:r>
    </w:p>
    <w:p w:rsidR="00000000" w:rsidDel="00000000" w:rsidP="00000000" w:rsidRDefault="00000000" w:rsidRPr="00000000" w14:paraId="00000161">
      <w:pPr>
        <w:numPr>
          <w:ilvl w:val="0"/>
          <w:numId w:val="18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 should also mention that through these contracts, the company is able to consolidate the VIE’s results in its financial statements as if it were a subsidiary.</w:t>
      </w:r>
    </w:p>
    <w:p w:rsidR="00000000" w:rsidDel="00000000" w:rsidP="00000000" w:rsidRDefault="00000000" w:rsidRPr="00000000" w14:paraId="00000162">
      <w:pPr>
        <w:numPr>
          <w:ilvl w:val="0"/>
          <w:numId w:val="18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diagram is often used in the prospectus; the AI can describe it textually, e.g., “(See diagram illustrating the flow of control: our WFOE, Beijing Pop Mart, has contracts with Paqu Huyu and its shareholders that give us effective control and allow transfer of profits to our Group.)”</w:t>
      </w:r>
    </w:p>
    <w:p w:rsidR="00000000" w:rsidDel="00000000" w:rsidP="00000000" w:rsidRDefault="00000000" w:rsidRPr="00000000" w14:paraId="00000163">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Risk acknowledgment</w:t>
      </w:r>
    </w:p>
    <w:p w:rsidR="00000000" w:rsidDel="00000000" w:rsidP="00000000" w:rsidRDefault="00000000" w:rsidRPr="00000000" w14:paraId="00000164">
      <w:pPr>
        <w:numPr>
          <w:ilvl w:val="0"/>
          <w:numId w:val="5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section must also candidly highlight the risks of this arrangement (though detailed risks appear in Risk Factors, here a brief mention is good): e.g., that the contracts may not be as effective as direct ownership and that if the VIE shareholders fail to perform their obligations or if PRC authorities found the setup illegal, the company’s business could be materially affected.</w:t>
      </w:r>
    </w:p>
    <w:p w:rsidR="00000000" w:rsidDel="00000000" w:rsidP="00000000" w:rsidRDefault="00000000" w:rsidRPr="00000000" w14:paraId="00000165">
      <w:pPr>
        <w:numPr>
          <w:ilvl w:val="0"/>
          <w:numId w:val="5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 should reference that investors are buying shares of the Cayman entity which does not directly own the restricted business assets.</w:t>
      </w:r>
    </w:p>
    <w:p w:rsidR="00000000" w:rsidDel="00000000" w:rsidP="00000000" w:rsidRDefault="00000000" w:rsidRPr="00000000" w14:paraId="00000166">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Legal opinions</w:t>
      </w:r>
    </w:p>
    <w:p w:rsidR="00000000" w:rsidDel="00000000" w:rsidP="00000000" w:rsidRDefault="00000000" w:rsidRPr="00000000" w14:paraId="00000167">
      <w:pPr>
        <w:numPr>
          <w:ilvl w:val="0"/>
          <w:numId w:val="120"/>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Additionally, it should confirm whether the company’s PRC legal counsel has advised that these contracts are valid and enforceable under PRC law (this is usually stated, albeit with the caveat of uncertainties in enforcement).</w:t>
      </w:r>
    </w:p>
    <w:p w:rsidR="00000000" w:rsidDel="00000000" w:rsidP="00000000" w:rsidRDefault="00000000" w:rsidRPr="00000000" w14:paraId="00000168">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Granularity requirements</w:t>
      </w:r>
    </w:p>
    <w:p w:rsidR="00000000" w:rsidDel="00000000" w:rsidP="00000000" w:rsidRDefault="00000000" w:rsidRPr="00000000" w14:paraId="00000169">
      <w:pPr>
        <w:numPr>
          <w:ilvl w:val="0"/>
          <w:numId w:val="15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Granularity is important: list the actual names of the entities involved (WFOE name, VIE name) and the specific contracts.</w:t>
      </w:r>
    </w:p>
    <w:p w:rsidR="00000000" w:rsidDel="00000000" w:rsidP="00000000" w:rsidRDefault="00000000" w:rsidRPr="00000000" w14:paraId="0000016A">
      <w:pPr>
        <w:numPr>
          <w:ilvl w:val="0"/>
          <w:numId w:val="15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there are any unique terms or arrangements (like arrangements to ensure the VIE’s profits get transferred as fees or loans), describe those.</w:t>
      </w:r>
    </w:p>
    <w:p w:rsidR="00000000" w:rsidDel="00000000" w:rsidP="00000000" w:rsidRDefault="00000000" w:rsidRPr="00000000" w14:paraId="0000016B">
      <w:pPr>
        <w:numPr>
          <w:ilvl w:val="0"/>
          <w:numId w:val="15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Also, mention any regulatory approval or filing of these agreements if applicable.</w:t>
      </w:r>
    </w:p>
    <w:p w:rsidR="00000000" w:rsidDel="00000000" w:rsidP="00000000" w:rsidRDefault="00000000" w:rsidRPr="00000000" w14:paraId="0000016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Clarity for non-specialist investors</w:t>
      </w:r>
    </w:p>
    <w:p w:rsidR="00000000" w:rsidDel="00000000" w:rsidP="00000000" w:rsidRDefault="00000000" w:rsidRPr="00000000" w14:paraId="0000016D">
      <w:pPr>
        <w:numPr>
          <w:ilvl w:val="0"/>
          <w:numId w:val="20"/>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should ensure the explanation remains clear to an investor who may not be familiar with VIE structures – essentially conveying that “although we don’t legally own part of our business, we control it via contracts”.</w:t>
      </w:r>
    </w:p>
    <w:p w:rsidR="00000000" w:rsidDel="00000000" w:rsidP="00000000" w:rsidRDefault="00000000" w:rsidRPr="00000000" w14:paraId="0000016E">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Tone and compliance</w:t>
      </w:r>
    </w:p>
    <w:p w:rsidR="00000000" w:rsidDel="00000000" w:rsidP="00000000" w:rsidRDefault="00000000" w:rsidRPr="00000000" w14:paraId="0000016F">
      <w:pPr>
        <w:numPr>
          <w:ilvl w:val="0"/>
          <w:numId w:val="92"/>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section is crucial for compliance and transparency due to the complex nature of VIEs, and the AI’s output should reflect the formal, cautious tone, emphasizing that this is common practice in restricted sectors in China and that the company has taken steps to mitigate associated risks.</w:t>
      </w:r>
    </w:p>
    <w:p w:rsidR="00000000" w:rsidDel="00000000" w:rsidP="00000000" w:rsidRDefault="00000000" w:rsidRPr="00000000" w14:paraId="00000170">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71">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f1r61qjpj83w" w:id="17"/>
      <w:bookmarkEnd w:id="17"/>
      <w:r w:rsidDel="00000000" w:rsidR="00000000" w:rsidRPr="00000000">
        <w:rPr>
          <w:rFonts w:ascii="Times New Roman" w:cs="Times New Roman" w:eastAsia="Times New Roman" w:hAnsi="Times New Roman"/>
          <w:b w:val="1"/>
          <w:bCs w:val="1"/>
          <w:sz w:val="34"/>
          <w:szCs w:val="34"/>
          <w:rtl w:val="0"/>
        </w:rPr>
        <w:t xml:space="preserve">Relationship with Our Controlling Shareholders</w:t>
      </w:r>
    </w:p>
    <w:p w:rsidR="00000000" w:rsidDel="00000000" w:rsidP="00000000" w:rsidRDefault="00000000" w:rsidRPr="00000000" w14:paraId="00000172">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Purpose</w:t>
      </w:r>
    </w:p>
    <w:p w:rsidR="00000000" w:rsidDel="00000000" w:rsidP="00000000" w:rsidRDefault="00000000" w:rsidRPr="00000000" w14:paraId="00000173">
      <w:pPr>
        <w:numPr>
          <w:ilvl w:val="0"/>
          <w:numId w:val="114"/>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this section, the prospectus discloses details about shareholders who will retain control after the offering and addresses any potential conflicts of interest.</w:t>
      </w:r>
    </w:p>
    <w:p w:rsidR="00000000" w:rsidDel="00000000" w:rsidP="00000000" w:rsidRDefault="00000000" w:rsidRPr="00000000" w14:paraId="00000174">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Identification &amp; control statement</w:t>
      </w:r>
    </w:p>
    <w:p w:rsidR="00000000" w:rsidDel="00000000" w:rsidP="00000000" w:rsidRDefault="00000000" w:rsidRPr="00000000" w14:paraId="00000175">
      <w:pPr>
        <w:numPr>
          <w:ilvl w:val="0"/>
          <w:numId w:val="4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should identify the controlling shareholder(s) by name and stake.</w:t>
      </w:r>
    </w:p>
    <w:p w:rsidR="00000000" w:rsidDel="00000000" w:rsidP="00000000" w:rsidRDefault="00000000" w:rsidRPr="00000000" w14:paraId="00000176">
      <w:pPr>
        <w:numPr>
          <w:ilvl w:val="0"/>
          <w:numId w:val="4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example, “Mr. Wang Ning, our founder, Chairman and CEO, will be able to exercise approximately 43.58% of the voting rights in our Company immediately following the Global Offering, and thus will remain as our Controlling Shareholder.”</w:t>
      </w:r>
    </w:p>
    <w:p w:rsidR="00000000" w:rsidDel="00000000" w:rsidP="00000000" w:rsidRDefault="00000000" w:rsidRPr="00000000" w14:paraId="00000177">
      <w:pPr>
        <w:numPr>
          <w:ilvl w:val="0"/>
          <w:numId w:val="4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control is held through a trust or a holding vehicle, those should be named as well (e.g., “Mr. X through ABC Holding Ltd. and the XYZ Family Trust”).</w:t>
      </w:r>
    </w:p>
    <w:p w:rsidR="00000000" w:rsidDel="00000000" w:rsidP="00000000" w:rsidRDefault="00000000" w:rsidRPr="00000000" w14:paraId="00000178">
      <w:pPr>
        <w:numPr>
          <w:ilvl w:val="0"/>
          <w:numId w:val="4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content needs to confirm these persons meet the definition of controlling shareholders under the listing rules (usually meaning 30%+ of voting power or significant influence).</w:t>
      </w:r>
    </w:p>
    <w:p w:rsidR="00000000" w:rsidDel="00000000" w:rsidP="00000000" w:rsidRDefault="00000000" w:rsidRPr="00000000" w14:paraId="00000179">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Independence safeguards</w:t>
      </w:r>
    </w:p>
    <w:p w:rsidR="00000000" w:rsidDel="00000000" w:rsidP="00000000" w:rsidRDefault="00000000" w:rsidRPr="00000000" w14:paraId="0000017A">
      <w:pPr>
        <w:numPr>
          <w:ilvl w:val="0"/>
          <w:numId w:val="11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Then, the AI should outline measures taken to manage conflicts of interest and ensure independence of the listed company from the controlling shareholders.</w:t>
      </w:r>
    </w:p>
    <w:p w:rsidR="00000000" w:rsidDel="00000000" w:rsidP="00000000" w:rsidRDefault="00000000" w:rsidRPr="00000000" w14:paraId="0000017B">
      <w:pPr>
        <w:numPr>
          <w:ilvl w:val="0"/>
          <w:numId w:val="11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typically includes sub-sections on Independence: covering management independence, operational independence, financial independence, and an absence of competition.</w:t>
      </w:r>
    </w:p>
    <w:p w:rsidR="00000000" w:rsidDel="00000000" w:rsidP="00000000" w:rsidRDefault="00000000" w:rsidRPr="00000000" w14:paraId="0000017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What “independence” should look like in text</w:t>
      </w:r>
    </w:p>
    <w:p w:rsidR="00000000" w:rsidDel="00000000" w:rsidP="00000000" w:rsidRDefault="00000000" w:rsidRPr="00000000" w14:paraId="0000017D">
      <w:pPr>
        <w:numPr>
          <w:ilvl w:val="0"/>
          <w:numId w:val="6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instance, the prospectus will assert that the company can operate independently of the controlling shareholder because it has its own separate business operations, separate management team, and no undue reliance on the controlling party.</w:t>
      </w:r>
    </w:p>
    <w:p w:rsidR="00000000" w:rsidDel="00000000" w:rsidP="00000000" w:rsidRDefault="00000000" w:rsidRPr="00000000" w14:paraId="0000017E">
      <w:pPr>
        <w:numPr>
          <w:ilvl w:val="0"/>
          <w:numId w:val="6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should enumerate these points: e.g., “We have our own independent management and administrative capabilities, and all business decisions are made by our Board and senior management. Our Controlling Shareholder does not interfere with the day-to-day operations. We have sufficient operational resources (customers, suppliers, systems) to operate without reliance on the Controlling Shareholder.”</w:t>
      </w:r>
    </w:p>
    <w:p w:rsidR="00000000" w:rsidDel="00000000" w:rsidP="00000000" w:rsidRDefault="00000000" w:rsidRPr="00000000" w14:paraId="0000017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Non-competition undertakings</w:t>
      </w:r>
    </w:p>
    <w:p w:rsidR="00000000" w:rsidDel="00000000" w:rsidP="00000000" w:rsidRDefault="00000000" w:rsidRPr="00000000" w14:paraId="00000180">
      <w:pPr>
        <w:numPr>
          <w:ilvl w:val="0"/>
          <w:numId w:val="9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Another critical part is the Non-competition Undertaking: controlling shareholders typically provide an undertaking that they (and their other businesses) will not compete with the company’s business.</w:t>
      </w:r>
    </w:p>
    <w:p w:rsidR="00000000" w:rsidDel="00000000" w:rsidP="00000000" w:rsidRDefault="00000000" w:rsidRPr="00000000" w14:paraId="00000181">
      <w:pPr>
        <w:numPr>
          <w:ilvl w:val="0"/>
          <w:numId w:val="9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should mention that: “Our Controlling Shareholders have provided a written non-compete undertaking in favor of our Company, confirming that neither they nor their associates will engage in any business that competes with our Group’s business.”</w:t>
      </w:r>
    </w:p>
    <w:p w:rsidR="00000000" w:rsidDel="00000000" w:rsidP="00000000" w:rsidRDefault="00000000" w:rsidRPr="00000000" w14:paraId="00000182">
      <w:pPr>
        <w:numPr>
          <w:ilvl w:val="0"/>
          <w:numId w:val="99"/>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controlling shareholder does have other businesses in related fields, those should be disclosed along with why they are not in competition or how they are handled (maybe placed in a trust or carved out).</w:t>
      </w:r>
    </w:p>
    <w:p w:rsidR="00000000" w:rsidDel="00000000" w:rsidP="00000000" w:rsidRDefault="00000000" w:rsidRPr="00000000" w14:paraId="00000183">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Connected transactions cross-reference</w:t>
      </w:r>
    </w:p>
    <w:p w:rsidR="00000000" w:rsidDel="00000000" w:rsidP="00000000" w:rsidRDefault="00000000" w:rsidRPr="00000000" w14:paraId="00000184">
      <w:pPr>
        <w:numPr>
          <w:ilvl w:val="0"/>
          <w:numId w:val="135"/>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Additionally, any ongoing or past connected transactions with the controlling shareholders should be cross-referenced (though details are in Connected Transactions section) – for example, leases or shared services, and how they are on arm’s-length terms.</w:t>
      </w:r>
    </w:p>
    <w:p w:rsidR="00000000" w:rsidDel="00000000" w:rsidP="00000000" w:rsidRDefault="00000000" w:rsidRPr="00000000" w14:paraId="00000185">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Granularity</w:t>
      </w:r>
    </w:p>
    <w:p w:rsidR="00000000" w:rsidDel="00000000" w:rsidP="00000000" w:rsidRDefault="00000000" w:rsidRPr="00000000" w14:paraId="00000186">
      <w:pPr>
        <w:numPr>
          <w:ilvl w:val="0"/>
          <w:numId w:val="7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granularity here requires naming specific entities and individuals and giving numeric shareholding percentages to show the extent of control.</w:t>
      </w:r>
    </w:p>
    <w:p w:rsidR="00000000" w:rsidDel="00000000" w:rsidP="00000000" w:rsidRDefault="00000000" w:rsidRPr="00000000" w14:paraId="00000187">
      <w:pPr>
        <w:numPr>
          <w:ilvl w:val="0"/>
          <w:numId w:val="7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 should also clearly state the arrangements ensuring independence: e.g., any separate offices, no loan guarantees by controlling shareholder, independent access to financing, etc., as given in the prospectus narrative.</w:t>
      </w:r>
    </w:p>
    <w:p w:rsidR="00000000" w:rsidDel="00000000" w:rsidP="00000000" w:rsidRDefault="00000000" w:rsidRPr="00000000" w14:paraId="00000188">
      <w:pPr>
        <w:numPr>
          <w:ilvl w:val="0"/>
          <w:numId w:val="79"/>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should replicate any formal confirmation language from directors like: “The Directors are satisfied that our Group is capable of carrying on its business independently of our Controlling Shareholders after listing.”</w:t>
      </w:r>
    </w:p>
    <w:p w:rsidR="00000000" w:rsidDel="00000000" w:rsidP="00000000" w:rsidRDefault="00000000" w:rsidRPr="00000000" w14:paraId="00000189">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Listing Rules reference</w:t>
      </w:r>
    </w:p>
    <w:p w:rsidR="00000000" w:rsidDel="00000000" w:rsidP="00000000" w:rsidRDefault="00000000" w:rsidRPr="00000000" w14:paraId="0000018A">
      <w:pPr>
        <w:numPr>
          <w:ilvl w:val="0"/>
          <w:numId w:val="49"/>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Finally, mention compliance with Listing Rule 8.10 (which requires disclosure of competing interests): typically, “Our Controlling Shareholders have confirmed that they do not have any interest in a business that competes with ours, and if in the future there is a potential conflict, they will abstain from voting”.</w:t>
      </w:r>
    </w:p>
    <w:p w:rsidR="00000000" w:rsidDel="00000000" w:rsidP="00000000" w:rsidRDefault="00000000" w:rsidRPr="00000000" w14:paraId="0000018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Tone</w:t>
      </w:r>
    </w:p>
    <w:p w:rsidR="00000000" w:rsidDel="00000000" w:rsidP="00000000" w:rsidRDefault="00000000" w:rsidRPr="00000000" w14:paraId="0000018C">
      <w:pPr>
        <w:numPr>
          <w:ilvl w:val="0"/>
          <w:numId w:val="10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tone is formal and assuring, giving comfort to investors that although one party will have significant control, mechanisms are in place to protect minority shareholders and ensure the company’s decisions are made in its own best interest, not just the controlling party’s interest.</w:t>
      </w:r>
    </w:p>
    <w:p w:rsidR="00000000" w:rsidDel="00000000" w:rsidP="00000000" w:rsidRDefault="00000000" w:rsidRPr="00000000" w14:paraId="0000018D">
      <w:pPr>
        <w:numPr>
          <w:ilvl w:val="0"/>
          <w:numId w:val="10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section is critical for governance transparency, and the AI must cover all points thoroughly, following the prospectus template closely.</w:t>
      </w:r>
    </w:p>
    <w:p w:rsidR="00000000" w:rsidDel="00000000" w:rsidP="00000000" w:rsidRDefault="00000000" w:rsidRPr="00000000" w14:paraId="0000018E">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8F">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kqcpncbgy9hx" w:id="18"/>
      <w:bookmarkEnd w:id="18"/>
      <w:r w:rsidDel="00000000" w:rsidR="00000000" w:rsidRPr="00000000">
        <w:rPr>
          <w:rFonts w:ascii="Times New Roman" w:cs="Times New Roman" w:eastAsia="Times New Roman" w:hAnsi="Times New Roman"/>
          <w:b w:val="1"/>
          <w:bCs w:val="1"/>
          <w:sz w:val="34"/>
          <w:szCs w:val="34"/>
          <w:rtl w:val="0"/>
        </w:rPr>
        <w:t xml:space="preserve">Connected Transactions</w:t>
      </w:r>
    </w:p>
    <w:p w:rsidR="00000000" w:rsidDel="00000000" w:rsidP="00000000" w:rsidRDefault="00000000" w:rsidRPr="00000000" w14:paraId="00000190">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Purpose</w:t>
      </w:r>
    </w:p>
    <w:p w:rsidR="00000000" w:rsidDel="00000000" w:rsidP="00000000" w:rsidRDefault="00000000" w:rsidRPr="00000000" w14:paraId="00000191">
      <w:pPr>
        <w:numPr>
          <w:ilvl w:val="0"/>
          <w:numId w:val="149"/>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section discloses any transactions the company has entered into with related parties (connected persons), which typically include the controlling shareholders, directors, or their associates.</w:t>
      </w:r>
    </w:p>
    <w:p w:rsidR="00000000" w:rsidDel="00000000" w:rsidP="00000000" w:rsidRDefault="00000000" w:rsidRPr="00000000" w14:paraId="00000192">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Core requirements</w:t>
      </w:r>
    </w:p>
    <w:p w:rsidR="00000000" w:rsidDel="00000000" w:rsidP="00000000" w:rsidRDefault="00000000" w:rsidRPr="00000000" w14:paraId="00000193">
      <w:pPr>
        <w:numPr>
          <w:ilvl w:val="0"/>
          <w:numId w:val="16"/>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should identify each connected transaction and explain its nature, terms, and whether it will continue after listing.</w:t>
      </w:r>
    </w:p>
    <w:p w:rsidR="00000000" w:rsidDel="00000000" w:rsidP="00000000" w:rsidRDefault="00000000" w:rsidRPr="00000000" w14:paraId="00000194">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Typical sub-categories</w:t>
      </w:r>
    </w:p>
    <w:p w:rsidR="00000000" w:rsidDel="00000000" w:rsidP="00000000" w:rsidRDefault="00000000" w:rsidRPr="00000000" w14:paraId="00000195">
      <w:pPr>
        <w:numPr>
          <w:ilvl w:val="0"/>
          <w:numId w:val="6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There are usually sub-categories: Continuing Connected Transactions (ongoing relationships like service agreements, leases, or in Pop Mart’s case the Contractual Arrangements with the VIE) and any One-off Connected Transactions (like a pre-IPO asset purchase from a connected person).</w:t>
      </w:r>
    </w:p>
    <w:p w:rsidR="00000000" w:rsidDel="00000000" w:rsidP="00000000" w:rsidRDefault="00000000" w:rsidRPr="00000000" w14:paraId="00000196">
      <w:pPr>
        <w:numPr>
          <w:ilvl w:val="0"/>
          <w:numId w:val="6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each, the prospectus states why it falls under connected transaction rules and what approvals or waivers are in place.</w:t>
      </w:r>
    </w:p>
    <w:p w:rsidR="00000000" w:rsidDel="00000000" w:rsidP="00000000" w:rsidRDefault="00000000" w:rsidRPr="00000000" w14:paraId="0000019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Connected persons list</w:t>
      </w:r>
    </w:p>
    <w:p w:rsidR="00000000" w:rsidDel="00000000" w:rsidP="00000000" w:rsidRDefault="00000000" w:rsidRPr="00000000" w14:paraId="00000198">
      <w:pPr>
        <w:numPr>
          <w:ilvl w:val="0"/>
          <w:numId w:val="16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content range should include a listing of who the connected persons are.</w:t>
      </w:r>
    </w:p>
    <w:p w:rsidR="00000000" w:rsidDel="00000000" w:rsidP="00000000" w:rsidRDefault="00000000" w:rsidRPr="00000000" w14:paraId="00000199">
      <w:pPr>
        <w:numPr>
          <w:ilvl w:val="0"/>
          <w:numId w:val="16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example, it might start by naming “Connected Persons” – often repeating the controlling shareholders and any other major related parties that have dealings with the company.</w:t>
      </w:r>
    </w:p>
    <w:p w:rsidR="00000000" w:rsidDel="00000000" w:rsidP="00000000" w:rsidRDefault="00000000" w:rsidRPr="00000000" w14:paraId="0000019A">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Per-transaction description</w:t>
      </w:r>
    </w:p>
    <w:p w:rsidR="00000000" w:rsidDel="00000000" w:rsidP="00000000" w:rsidRDefault="00000000" w:rsidRPr="00000000" w14:paraId="0000019B">
      <w:pPr>
        <w:numPr>
          <w:ilvl w:val="0"/>
          <w:numId w:val="18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Then, for each transaction or type of transaction, describe it: e.g., “We have leased office space from [Controlling Shareholder’s company] since 2018. This lease will constitute a continuing connected transaction upon listing.”</w:t>
      </w:r>
    </w:p>
    <w:p w:rsidR="00000000" w:rsidDel="00000000" w:rsidP="00000000" w:rsidRDefault="00000000" w:rsidRPr="00000000" w14:paraId="0000019C">
      <w:pPr>
        <w:numPr>
          <w:ilvl w:val="0"/>
          <w:numId w:val="189"/>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key terms (lease duration, rent, whether rent is market rate) should be mentioned.</w:t>
      </w:r>
    </w:p>
    <w:p w:rsidR="00000000" w:rsidDel="00000000" w:rsidP="00000000" w:rsidRDefault="00000000" w:rsidRPr="00000000" w14:paraId="0000019D">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VIE as connected transactions (example logic)</w:t>
      </w:r>
    </w:p>
    <w:p w:rsidR="00000000" w:rsidDel="00000000" w:rsidP="00000000" w:rsidRDefault="00000000" w:rsidRPr="00000000" w14:paraId="0000019E">
      <w:pPr>
        <w:numPr>
          <w:ilvl w:val="0"/>
          <w:numId w:val="6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significant connected transaction in Pop Mart’s case is the Contractual Arrangements themselves, which are technically transactions with the VIE’s owners (who are directors and hence connected persons).</w:t>
      </w:r>
    </w:p>
    <w:p w:rsidR="00000000" w:rsidDel="00000000" w:rsidP="00000000" w:rsidRDefault="00000000" w:rsidRPr="00000000" w14:paraId="0000019F">
      <w:pPr>
        <w:numPr>
          <w:ilvl w:val="0"/>
          <w:numId w:val="6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should note that: “The service fees paid under the Contractual Arrangements between our WFOE and the VIE are classified as continuing connected transactions under Chapter 14A of the Listing Rules. We have applied for, and the Stock Exchange has granted, a waiver from strict compliance with the announcement, circular and independent shareholders’ approval requirements for these transactions, on the basis that they are essential to our business and are on normal commercial terms.”</w:t>
      </w:r>
    </w:p>
    <w:p w:rsidR="00000000" w:rsidDel="00000000" w:rsidP="00000000" w:rsidRDefault="00000000" w:rsidRPr="00000000" w14:paraId="000001A0">
      <w:pPr>
        <w:numPr>
          <w:ilvl w:val="0"/>
          <w:numId w:val="6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highlights any waivers for connected transactions (which is common, because it’s impractical for VIE fees to require shareholder approval every year).</w:t>
      </w:r>
    </w:p>
    <w:p w:rsidR="00000000" w:rsidDel="00000000" w:rsidP="00000000" w:rsidRDefault="00000000" w:rsidRPr="00000000" w14:paraId="000001A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Annual caps and opinions</w:t>
      </w:r>
    </w:p>
    <w:p w:rsidR="00000000" w:rsidDel="00000000" w:rsidP="00000000" w:rsidRDefault="00000000" w:rsidRPr="00000000" w14:paraId="000001A2">
      <w:pPr>
        <w:numPr>
          <w:ilvl w:val="0"/>
          <w:numId w:val="16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each continuing connected transaction, if the prospectus provides annual caps (projected maximum transaction amounts for the next three years) or terms, the AI should include those data points, explaining that these caps are set based on reasonable assumptions.</w:t>
      </w:r>
    </w:p>
    <w:p w:rsidR="00000000" w:rsidDel="00000000" w:rsidP="00000000" w:rsidRDefault="00000000" w:rsidRPr="00000000" w14:paraId="000001A3">
      <w:pPr>
        <w:numPr>
          <w:ilvl w:val="0"/>
          <w:numId w:val="16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 should also mention if an independent financial adviser has opined on these transactions (sometimes included in the prospectus that they are fair and reasonable).</w:t>
      </w:r>
    </w:p>
    <w:p w:rsidR="00000000" w:rsidDel="00000000" w:rsidP="00000000" w:rsidRDefault="00000000" w:rsidRPr="00000000" w14:paraId="000001A4">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Ongoing compliance statements</w:t>
      </w:r>
    </w:p>
    <w:p w:rsidR="00000000" w:rsidDel="00000000" w:rsidP="00000000" w:rsidRDefault="00000000" w:rsidRPr="00000000" w14:paraId="000001A5">
      <w:pPr>
        <w:numPr>
          <w:ilvl w:val="0"/>
          <w:numId w:val="7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section should reassure compliance: that the company will comply with applicable listing rules for connected transactions going forward – e.g., that the Audit Committee will review such transactions annually and the company will make proper disclosures.</w:t>
      </w:r>
    </w:p>
    <w:p w:rsidR="00000000" w:rsidDel="00000000" w:rsidP="00000000" w:rsidRDefault="00000000" w:rsidRPr="00000000" w14:paraId="000001A6">
      <w:pPr>
        <w:numPr>
          <w:ilvl w:val="0"/>
          <w:numId w:val="7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Indeed, prospectuses often contain undertakings: “Our independent non-executive Directors will review and our auditors will confirm the continuing connected transactions annually, in compliance with the Listing Rules”. The AI should echo such commitments to transparency and regulation.</w:t>
      </w:r>
    </w:p>
    <w:p w:rsidR="00000000" w:rsidDel="00000000" w:rsidP="00000000" w:rsidRDefault="00000000" w:rsidRPr="00000000" w14:paraId="000001A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Granularity</w:t>
      </w:r>
    </w:p>
    <w:p w:rsidR="00000000" w:rsidDel="00000000" w:rsidP="00000000" w:rsidRDefault="00000000" w:rsidRPr="00000000" w14:paraId="000001A8">
      <w:pPr>
        <w:numPr>
          <w:ilvl w:val="0"/>
          <w:numId w:val="17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Granularity: each connected transaction must be clearly described by naming the connected party and the transaction terms.</w:t>
      </w:r>
    </w:p>
    <w:p w:rsidR="00000000" w:rsidDel="00000000" w:rsidP="00000000" w:rsidRDefault="00000000" w:rsidRPr="00000000" w14:paraId="000001A9">
      <w:pPr>
        <w:numPr>
          <w:ilvl w:val="0"/>
          <w:numId w:val="17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prospectus lists them in a table or bullet format, do similarly.</w:t>
      </w:r>
    </w:p>
    <w:p w:rsidR="00000000" w:rsidDel="00000000" w:rsidP="00000000" w:rsidRDefault="00000000" w:rsidRPr="00000000" w14:paraId="000001AA">
      <w:pPr>
        <w:numPr>
          <w:ilvl w:val="0"/>
          <w:numId w:val="17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Include monetary values or percentages if given (e.g., if a certain percent of an expense is paid to a related party).</w:t>
      </w:r>
    </w:p>
    <w:p w:rsidR="00000000" w:rsidDel="00000000" w:rsidP="00000000" w:rsidRDefault="00000000" w:rsidRPr="00000000" w14:paraId="000001AB">
      <w:pPr>
        <w:numPr>
          <w:ilvl w:val="0"/>
          <w:numId w:val="17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Also mention if any of these will terminate upon listing or have been unwound as part of reorganization (sometimes, companies clean up certain connections pre-IPO). If none, that should be clear too.</w:t>
      </w:r>
    </w:p>
    <w:p w:rsidR="00000000" w:rsidDel="00000000" w:rsidP="00000000" w:rsidRDefault="00000000" w:rsidRPr="00000000" w14:paraId="000001A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Tone &amp; typical phrasing</w:t>
      </w:r>
    </w:p>
    <w:p w:rsidR="00000000" w:rsidDel="00000000" w:rsidP="00000000" w:rsidRDefault="00000000" w:rsidRPr="00000000" w14:paraId="000001AD">
      <w:pPr>
        <w:numPr>
          <w:ilvl w:val="0"/>
          <w:numId w:val="7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tone is factual and compliance-oriented.</w:t>
      </w:r>
    </w:p>
    <w:p w:rsidR="00000000" w:rsidDel="00000000" w:rsidP="00000000" w:rsidRDefault="00000000" w:rsidRPr="00000000" w14:paraId="000001AE">
      <w:pPr>
        <w:numPr>
          <w:ilvl w:val="0"/>
          <w:numId w:val="7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should avoid any suggestion that connected transactions are advantageous; instead, they are disclosed for investor awareness and typically stated to be conducted on “arm’s length” or normal commercial terms.</w:t>
      </w:r>
    </w:p>
    <w:p w:rsidR="00000000" w:rsidDel="00000000" w:rsidP="00000000" w:rsidRDefault="00000000" w:rsidRPr="00000000" w14:paraId="000001AF">
      <w:pPr>
        <w:numPr>
          <w:ilvl w:val="0"/>
          <w:numId w:val="7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Phrases like “unduly burdensome and impracticable” might appear if explaining why a waiver from strict compliance was needed – if so, including that language provides authenticity.</w:t>
      </w:r>
    </w:p>
    <w:p w:rsidR="00000000" w:rsidDel="00000000" w:rsidP="00000000" w:rsidRDefault="00000000" w:rsidRPr="00000000" w14:paraId="000001B0">
      <w:pPr>
        <w:numPr>
          <w:ilvl w:val="0"/>
          <w:numId w:val="7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By comprehensively listing and explaining these transactions, this section helps ensure all related-party dealings are transparent to investors.</w:t>
      </w:r>
    </w:p>
    <w:p w:rsidR="00000000" w:rsidDel="00000000" w:rsidP="00000000" w:rsidRDefault="00000000" w:rsidRPr="00000000" w14:paraId="000001B1">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B2">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veb3y4w85t0a" w:id="19"/>
      <w:bookmarkEnd w:id="19"/>
      <w:r w:rsidDel="00000000" w:rsidR="00000000" w:rsidRPr="00000000">
        <w:rPr>
          <w:rFonts w:ascii="Times New Roman" w:cs="Times New Roman" w:eastAsia="Times New Roman" w:hAnsi="Times New Roman"/>
          <w:b w:val="1"/>
          <w:bCs w:val="1"/>
          <w:sz w:val="34"/>
          <w:szCs w:val="34"/>
          <w:rtl w:val="0"/>
        </w:rPr>
        <w:t xml:space="preserve">Directors and Senior Management</w:t>
      </w:r>
    </w:p>
    <w:p w:rsidR="00000000" w:rsidDel="00000000" w:rsidP="00000000" w:rsidRDefault="00000000" w:rsidRPr="00000000" w14:paraId="000001B3">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Purpose</w:t>
      </w:r>
    </w:p>
    <w:p w:rsidR="00000000" w:rsidDel="00000000" w:rsidP="00000000" w:rsidRDefault="00000000" w:rsidRPr="00000000" w14:paraId="000001B4">
      <w:pPr>
        <w:numPr>
          <w:ilvl w:val="0"/>
          <w:numId w:val="41"/>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this section, the prospectus provides biographical and relevant information about the directors and senior management team.</w:t>
      </w:r>
    </w:p>
    <w:p w:rsidR="00000000" w:rsidDel="00000000" w:rsidP="00000000" w:rsidRDefault="00000000" w:rsidRPr="00000000" w14:paraId="000001B5">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Organization</w:t>
      </w:r>
    </w:p>
    <w:p w:rsidR="00000000" w:rsidDel="00000000" w:rsidP="00000000" w:rsidRDefault="00000000" w:rsidRPr="00000000" w14:paraId="000001B6">
      <w:pPr>
        <w:numPr>
          <w:ilvl w:val="0"/>
          <w:numId w:val="94"/>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should structure this by grouping individuals into categories: Board of Directors (further split into Executive Directors, Non-executive Directors if any, and Independent Non-executive Directors), and Senior Management (which could overlap with executive directors if they hold management roles, plus other key executives).</w:t>
      </w:r>
    </w:p>
    <w:p w:rsidR="00000000" w:rsidDel="00000000" w:rsidP="00000000" w:rsidRDefault="00000000" w:rsidRPr="00000000" w14:paraId="000001B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Per-person profile</w:t>
      </w:r>
    </w:p>
    <w:p w:rsidR="00000000" w:rsidDel="00000000" w:rsidP="00000000" w:rsidRDefault="00000000" w:rsidRPr="00000000" w14:paraId="000001B8">
      <w:pPr>
        <w:numPr>
          <w:ilvl w:val="0"/>
          <w:numId w:val="15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Each person’s profile should be a paragraph or two summarizing their age, current positions, experience, and qualifications.</w:t>
      </w:r>
    </w:p>
    <w:p w:rsidR="00000000" w:rsidDel="00000000" w:rsidP="00000000" w:rsidRDefault="00000000" w:rsidRPr="00000000" w14:paraId="000001B9">
      <w:pPr>
        <w:numPr>
          <w:ilvl w:val="0"/>
          <w:numId w:val="15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example: “Mr. Wang Ning, aged 33, is our executive Director, Chairman of the Board and Chief Executive Officer. Mr. Wang founded our Group in 2010 and is responsible for overall strategic direction and management. He has over X years of experience in the pop culture toy industry. Under his leadership, our Company has grown to be a market leader in China.”</w:t>
      </w:r>
    </w:p>
    <w:p w:rsidR="00000000" w:rsidDel="00000000" w:rsidP="00000000" w:rsidRDefault="00000000" w:rsidRPr="00000000" w14:paraId="000001BA">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Content elements that must be included if present</w:t>
      </w:r>
    </w:p>
    <w:p w:rsidR="00000000" w:rsidDel="00000000" w:rsidP="00000000" w:rsidRDefault="00000000" w:rsidRPr="00000000" w14:paraId="000001BB">
      <w:pPr>
        <w:numPr>
          <w:ilvl w:val="0"/>
          <w:numId w:val="1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covers current role and contribution.</w:t>
      </w:r>
    </w:p>
    <w:p w:rsidR="00000000" w:rsidDel="00000000" w:rsidP="00000000" w:rsidRDefault="00000000" w:rsidRPr="00000000" w14:paraId="000001BC">
      <w:pPr>
        <w:numPr>
          <w:ilvl w:val="0"/>
          <w:numId w:val="15"/>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 should then mention past experience: e.g., “Prior to founding our Company, Mr. Wang graduated from [University] with a degree in [field] and worked at [relevant previous job]” (if the prospectus provides that detail).</w:t>
      </w:r>
    </w:p>
    <w:p w:rsidR="00000000" w:rsidDel="00000000" w:rsidP="00000000" w:rsidRDefault="00000000" w:rsidRPr="00000000" w14:paraId="000001BD">
      <w:pPr>
        <w:numPr>
          <w:ilvl w:val="0"/>
          <w:numId w:val="1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Similar treatments should be given to other executive directors (COO, CFO, etc.) stating their primary responsibilities and backgrounds.</w:t>
      </w:r>
    </w:p>
    <w:p w:rsidR="00000000" w:rsidDel="00000000" w:rsidP="00000000" w:rsidRDefault="00000000" w:rsidRPr="00000000" w14:paraId="000001BE">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INEDs and oversight</w:t>
      </w:r>
    </w:p>
    <w:p w:rsidR="00000000" w:rsidDel="00000000" w:rsidP="00000000" w:rsidRDefault="00000000" w:rsidRPr="00000000" w14:paraId="000001BF">
      <w:pPr>
        <w:numPr>
          <w:ilvl w:val="0"/>
          <w:numId w:val="155"/>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independent non-executive directors (INEDs), describe their background: e.g., “Mr. X, aged Y, is an independent non-executive Director. He has 20 years of experience in finance and is currently a professor/served as CFO in [industry]. He provides independent oversight and chairs the audit committee.”</w:t>
      </w:r>
    </w:p>
    <w:p w:rsidR="00000000" w:rsidDel="00000000" w:rsidP="00000000" w:rsidRDefault="00000000" w:rsidRPr="00000000" w14:paraId="000001C0">
      <w:pPr>
        <w:numPr>
          <w:ilvl w:val="0"/>
          <w:numId w:val="155"/>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Include any notable positions or honors if relevant.</w:t>
      </w:r>
    </w:p>
    <w:p w:rsidR="00000000" w:rsidDel="00000000" w:rsidP="00000000" w:rsidRDefault="00000000" w:rsidRPr="00000000" w14:paraId="000001C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Other executives</w:t>
      </w:r>
    </w:p>
    <w:p w:rsidR="00000000" w:rsidDel="00000000" w:rsidP="00000000" w:rsidRDefault="00000000" w:rsidRPr="00000000" w14:paraId="000001C2">
      <w:pPr>
        <w:numPr>
          <w:ilvl w:val="0"/>
          <w:numId w:val="95"/>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senior management who are not directors (like vice presidents, general managers of divisions), provide their role and experience in a similar manner.</w:t>
      </w:r>
    </w:p>
    <w:p w:rsidR="00000000" w:rsidDel="00000000" w:rsidP="00000000" w:rsidRDefault="00000000" w:rsidRPr="00000000" w14:paraId="000001C3">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Relationships and other appointments</w:t>
      </w:r>
    </w:p>
    <w:p w:rsidR="00000000" w:rsidDel="00000000" w:rsidP="00000000" w:rsidRDefault="00000000" w:rsidRPr="00000000" w14:paraId="000001C4">
      <w:pPr>
        <w:numPr>
          <w:ilvl w:val="0"/>
          <w:numId w:val="16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Additionally, disclose any relationships among directors (if a director is related to a substantial shareholder or has family ties within management, etc., it should be stated to maintain transparency).</w:t>
      </w:r>
    </w:p>
    <w:p w:rsidR="00000000" w:rsidDel="00000000" w:rsidP="00000000" w:rsidRDefault="00000000" w:rsidRPr="00000000" w14:paraId="000001C5">
      <w:pPr>
        <w:numPr>
          <w:ilvl w:val="0"/>
          <w:numId w:val="16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Also mention if any directors hold positions in other companies or organizations that are relevant (especially if they are INEDs of other listed companies).</w:t>
      </w:r>
    </w:p>
    <w:p w:rsidR="00000000" w:rsidDel="00000000" w:rsidP="00000000" w:rsidRDefault="00000000" w:rsidRPr="00000000" w14:paraId="000001C6">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Board capability</w:t>
      </w:r>
    </w:p>
    <w:p w:rsidR="00000000" w:rsidDel="00000000" w:rsidP="00000000" w:rsidRDefault="00000000" w:rsidRPr="00000000" w14:paraId="000001C7">
      <w:pPr>
        <w:numPr>
          <w:ilvl w:val="0"/>
          <w:numId w:val="97"/>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section should confirm that all directors have sufficient experience and there’s a diversity of expertise on the board (often this is implicit but can be emphasized by listing various professional qualifications: e.g., someone might be a CPA for audit committee, another an attorney, etc.).</w:t>
      </w:r>
    </w:p>
    <w:p w:rsidR="00000000" w:rsidDel="00000000" w:rsidP="00000000" w:rsidRDefault="00000000" w:rsidRPr="00000000" w14:paraId="000001C8">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Service contracts / rotation</w:t>
      </w:r>
    </w:p>
    <w:p w:rsidR="00000000" w:rsidDel="00000000" w:rsidP="00000000" w:rsidRDefault="00000000" w:rsidRPr="00000000" w14:paraId="000001C9">
      <w:pPr>
        <w:numPr>
          <w:ilvl w:val="0"/>
          <w:numId w:val="46"/>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prospectus often includes a statement that each director has a service contract and is subject to retirement by rotation according to the Articles of Association – which can be briefly noted (though details may also be in an appendix).</w:t>
      </w:r>
    </w:p>
    <w:p w:rsidR="00000000" w:rsidDel="00000000" w:rsidP="00000000" w:rsidRDefault="00000000" w:rsidRPr="00000000" w14:paraId="000001CA">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Granularity</w:t>
      </w:r>
    </w:p>
    <w:p w:rsidR="00000000" w:rsidDel="00000000" w:rsidP="00000000" w:rsidRDefault="00000000" w:rsidRPr="00000000" w14:paraId="000001CB">
      <w:pPr>
        <w:numPr>
          <w:ilvl w:val="0"/>
          <w:numId w:val="13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granularity is moderate: it must include each person’s key personal details (full name and age), their titles, and a digest of their career highlights, but not an exhaustive CV.</w:t>
      </w:r>
    </w:p>
    <w:p w:rsidR="00000000" w:rsidDel="00000000" w:rsidP="00000000" w:rsidRDefault="00000000" w:rsidRPr="00000000" w14:paraId="000001CC">
      <w:pPr>
        <w:numPr>
          <w:ilvl w:val="0"/>
          <w:numId w:val="13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Education (like highest degrees and institutions) is often mentioned for credibility, especially if from prestigious universities or relevant to their job (e.g., CFO with an MBA or CPA qualification).</w:t>
      </w:r>
    </w:p>
    <w:p w:rsidR="00000000" w:rsidDel="00000000" w:rsidP="00000000" w:rsidRDefault="00000000" w:rsidRPr="00000000" w14:paraId="000001CD">
      <w:pPr>
        <w:numPr>
          <w:ilvl w:val="0"/>
          <w:numId w:val="13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Any professional qualifications (CPA, CFA, etc.) or industry awards can be noted.</w:t>
      </w:r>
    </w:p>
    <w:p w:rsidR="00000000" w:rsidDel="00000000" w:rsidP="00000000" w:rsidRDefault="00000000" w:rsidRPr="00000000" w14:paraId="000001CE">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Compliance disclosures</w:t>
      </w:r>
    </w:p>
    <w:p w:rsidR="00000000" w:rsidDel="00000000" w:rsidP="00000000" w:rsidRDefault="00000000" w:rsidRPr="00000000" w14:paraId="000001CF">
      <w:pPr>
        <w:numPr>
          <w:ilvl w:val="0"/>
          <w:numId w:val="22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compliance, any past directorships in listed companies in the last 3 years are often listed, as well as any other major appointments.</w:t>
      </w:r>
    </w:p>
    <w:p w:rsidR="00000000" w:rsidDel="00000000" w:rsidP="00000000" w:rsidRDefault="00000000" w:rsidRPr="00000000" w14:paraId="000001D0">
      <w:pPr>
        <w:numPr>
          <w:ilvl w:val="0"/>
          <w:numId w:val="22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 director has something to disclose like past bankruptcies or convictions (in most cases not, but if yes, must be disclosed), the AI should include exactly as the prospectus says.</w:t>
      </w:r>
    </w:p>
    <w:p w:rsidR="00000000" w:rsidDel="00000000" w:rsidP="00000000" w:rsidRDefault="00000000" w:rsidRPr="00000000" w14:paraId="000001D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Tone</w:t>
      </w:r>
    </w:p>
    <w:p w:rsidR="00000000" w:rsidDel="00000000" w:rsidP="00000000" w:rsidRDefault="00000000" w:rsidRPr="00000000" w14:paraId="000001D2">
      <w:pPr>
        <w:numPr>
          <w:ilvl w:val="0"/>
          <w:numId w:val="11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tone is positive and factual, highlighting experience.</w:t>
      </w:r>
    </w:p>
    <w:p w:rsidR="00000000" w:rsidDel="00000000" w:rsidP="00000000" w:rsidRDefault="00000000" w:rsidRPr="00000000" w14:paraId="000001D3">
      <w:pPr>
        <w:numPr>
          <w:ilvl w:val="0"/>
          <w:numId w:val="11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 should implicitly give comfort that the company is led by qualified and experienced individuals.</w:t>
      </w:r>
    </w:p>
    <w:p w:rsidR="00000000" w:rsidDel="00000000" w:rsidP="00000000" w:rsidRDefault="00000000" w:rsidRPr="00000000" w14:paraId="000001D4">
      <w:pPr>
        <w:numPr>
          <w:ilvl w:val="0"/>
          <w:numId w:val="11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example, using phrases like “extensive experience in [industry]” or “instrumental in developing our business”.</w:t>
      </w:r>
    </w:p>
    <w:p w:rsidR="00000000" w:rsidDel="00000000" w:rsidP="00000000" w:rsidRDefault="00000000" w:rsidRPr="00000000" w14:paraId="000001D5">
      <w:pPr>
        <w:numPr>
          <w:ilvl w:val="0"/>
          <w:numId w:val="11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However, it should not exaggerate – stick to what the prospectus information provides.</w:t>
      </w:r>
    </w:p>
    <w:p w:rsidR="00000000" w:rsidDel="00000000" w:rsidP="00000000" w:rsidRDefault="00000000" w:rsidRPr="00000000" w14:paraId="000001D6">
      <w:pPr>
        <w:numPr>
          <w:ilvl w:val="0"/>
          <w:numId w:val="11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summary, this section should instill confidence in the management by outlining their background and competence.</w:t>
      </w:r>
    </w:p>
    <w:p w:rsidR="00000000" w:rsidDel="00000000" w:rsidP="00000000" w:rsidRDefault="00000000" w:rsidRPr="00000000" w14:paraId="000001D7">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D8">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8rqzwk1wd4sk" w:id="20"/>
      <w:bookmarkEnd w:id="20"/>
      <w:r w:rsidDel="00000000" w:rsidR="00000000" w:rsidRPr="00000000">
        <w:rPr>
          <w:rFonts w:ascii="Times New Roman" w:cs="Times New Roman" w:eastAsia="Times New Roman" w:hAnsi="Times New Roman"/>
          <w:b w:val="1"/>
          <w:bCs w:val="1"/>
          <w:sz w:val="34"/>
          <w:szCs w:val="34"/>
          <w:rtl w:val="0"/>
        </w:rPr>
        <w:t xml:space="preserve">Substantial Shareholders</w:t>
      </w:r>
    </w:p>
    <w:p w:rsidR="00000000" w:rsidDel="00000000" w:rsidP="00000000" w:rsidRDefault="00000000" w:rsidRPr="00000000" w14:paraId="000001D9">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Purpose</w:t>
      </w:r>
    </w:p>
    <w:p w:rsidR="00000000" w:rsidDel="00000000" w:rsidP="00000000" w:rsidRDefault="00000000" w:rsidRPr="00000000" w14:paraId="000001DA">
      <w:pPr>
        <w:numPr>
          <w:ilvl w:val="0"/>
          <w:numId w:val="54"/>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Substantial Shareholders section lists those shareholders who hold a significant portion of the company’s shares (typically defined as 5% or more of the issued share capital) prior to or after the IPO.</w:t>
      </w:r>
    </w:p>
    <w:p w:rsidR="00000000" w:rsidDel="00000000" w:rsidP="00000000" w:rsidRDefault="00000000" w:rsidRPr="00000000" w14:paraId="000001D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Standard opening statement</w:t>
      </w:r>
    </w:p>
    <w:p w:rsidR="00000000" w:rsidDel="00000000" w:rsidP="00000000" w:rsidRDefault="00000000" w:rsidRPr="00000000" w14:paraId="000001DC">
      <w:pPr>
        <w:numPr>
          <w:ilvl w:val="0"/>
          <w:numId w:val="111"/>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 usually begins with a statement: “So far as the Directors are aware, immediately following the completion of the Global Offering, the following persons will be entitled to exercise, or control the exercise of, 5% or more of the voting power at general meetings of our Company.”</w:t>
      </w:r>
    </w:p>
    <w:p w:rsidR="00000000" w:rsidDel="00000000" w:rsidP="00000000" w:rsidRDefault="00000000" w:rsidRPr="00000000" w14:paraId="000001DD">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What must be listed</w:t>
      </w:r>
    </w:p>
    <w:p w:rsidR="00000000" w:rsidDel="00000000" w:rsidP="00000000" w:rsidRDefault="00000000" w:rsidRPr="00000000" w14:paraId="000001DE">
      <w:pPr>
        <w:numPr>
          <w:ilvl w:val="0"/>
          <w:numId w:val="10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Then list the names of the substantial shareholders, and their shareholding percentages before and after the offering.</w:t>
      </w:r>
    </w:p>
    <w:p w:rsidR="00000000" w:rsidDel="00000000" w:rsidP="00000000" w:rsidRDefault="00000000" w:rsidRPr="00000000" w14:paraId="000001DF">
      <w:pPr>
        <w:numPr>
          <w:ilvl w:val="0"/>
          <w:numId w:val="10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example: “Mr. Wang Ning – approximately X% of our issued share capital immediately after Listing (through GWF Holding and Tianjin Paqu Holding Limited)”.</w:t>
      </w:r>
    </w:p>
    <w:p w:rsidR="00000000" w:rsidDel="00000000" w:rsidP="00000000" w:rsidRDefault="00000000" w:rsidRPr="00000000" w14:paraId="000001E0">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Intermediary entities</w:t>
      </w:r>
    </w:p>
    <w:p w:rsidR="00000000" w:rsidDel="00000000" w:rsidP="00000000" w:rsidRDefault="00000000" w:rsidRPr="00000000" w14:paraId="000001E1">
      <w:pPr>
        <w:numPr>
          <w:ilvl w:val="0"/>
          <w:numId w:val="22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shares are held through intermediary entities or trusts, those should be named and it should be explained that the individual is the ultimate owner.</w:t>
      </w:r>
    </w:p>
    <w:p w:rsidR="00000000" w:rsidDel="00000000" w:rsidP="00000000" w:rsidRDefault="00000000" w:rsidRPr="00000000" w14:paraId="000001E2">
      <w:pPr>
        <w:numPr>
          <w:ilvl w:val="0"/>
          <w:numId w:val="22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Pop Mart’s case, Mr. Wang held shares via entities like GWF Holding, so the prospectus likely lists GWF Holding (BVI company) with the percentage and notes Mr. Wang is behind it.</w:t>
      </w:r>
    </w:p>
    <w:p w:rsidR="00000000" w:rsidDel="00000000" w:rsidP="00000000" w:rsidRDefault="00000000" w:rsidRPr="00000000" w14:paraId="000001E3">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Other substantial holders</w:t>
      </w:r>
    </w:p>
    <w:p w:rsidR="00000000" w:rsidDel="00000000" w:rsidP="00000000" w:rsidRDefault="00000000" w:rsidRPr="00000000" w14:paraId="000001E4">
      <w:pPr>
        <w:numPr>
          <w:ilvl w:val="0"/>
          <w:numId w:val="18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same goes for any co-founders or large investors.</w:t>
      </w:r>
    </w:p>
    <w:p w:rsidR="00000000" w:rsidDel="00000000" w:rsidP="00000000" w:rsidRDefault="00000000" w:rsidRPr="00000000" w14:paraId="000001E5">
      <w:pPr>
        <w:numPr>
          <w:ilvl w:val="0"/>
          <w:numId w:val="18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there were pre-IPO investors whose holdings remain above 5%, list them too (e.g., venture capital funds or strategic partners). Provide the entity name and percentage.</w:t>
      </w:r>
    </w:p>
    <w:p w:rsidR="00000000" w:rsidDel="00000000" w:rsidP="00000000" w:rsidRDefault="00000000" w:rsidRPr="00000000" w14:paraId="000001E6">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Relationships</w:t>
      </w:r>
    </w:p>
    <w:p w:rsidR="00000000" w:rsidDel="00000000" w:rsidP="00000000" w:rsidRDefault="00000000" w:rsidRPr="00000000" w14:paraId="000001E7">
      <w:pPr>
        <w:numPr>
          <w:ilvl w:val="0"/>
          <w:numId w:val="226"/>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any of these are also directors or connected persons, mention that relationship (though it might have been earlier, it can be cross-referenced).</w:t>
      </w:r>
    </w:p>
    <w:p w:rsidR="00000000" w:rsidDel="00000000" w:rsidP="00000000" w:rsidRDefault="00000000" w:rsidRPr="00000000" w14:paraId="000001E8">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Typical presentation format</w:t>
      </w:r>
    </w:p>
    <w:p w:rsidR="00000000" w:rsidDel="00000000" w:rsidP="00000000" w:rsidRDefault="00000000" w:rsidRPr="00000000" w14:paraId="000001E9">
      <w:pPr>
        <w:numPr>
          <w:ilvl w:val="0"/>
          <w:numId w:val="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section might be formatted as a table with columns: Name of Shareholder, Number of Shares, % before, % after.</w:t>
      </w:r>
    </w:p>
    <w:p w:rsidR="00000000" w:rsidDel="00000000" w:rsidP="00000000" w:rsidRDefault="00000000" w:rsidRPr="00000000" w14:paraId="000001EA">
      <w:pPr>
        <w:numPr>
          <w:ilvl w:val="0"/>
          <w:numId w:val="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can describe or list in text with percentages.</w:t>
      </w:r>
    </w:p>
    <w:p w:rsidR="00000000" w:rsidDel="00000000" w:rsidP="00000000" w:rsidRDefault="00000000" w:rsidRPr="00000000" w14:paraId="000001E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Relationship to controlling shareholder</w:t>
      </w:r>
    </w:p>
    <w:p w:rsidR="00000000" w:rsidDel="00000000" w:rsidP="00000000" w:rsidRDefault="00000000" w:rsidRPr="00000000" w14:paraId="000001EC">
      <w:pPr>
        <w:numPr>
          <w:ilvl w:val="0"/>
          <w:numId w:val="17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Often, the controlling shareholders are part of this list; their stakes have been discussed in the controlling shareholder section, but here it’s formalized with exact numbers.</w:t>
      </w:r>
    </w:p>
    <w:p w:rsidR="00000000" w:rsidDel="00000000" w:rsidP="00000000" w:rsidRDefault="00000000" w:rsidRPr="00000000" w14:paraId="000001ED">
      <w:pPr>
        <w:numPr>
          <w:ilvl w:val="0"/>
          <w:numId w:val="17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 might also clarify if any substantial shareholders are part of a concert party (acting together).</w:t>
      </w:r>
    </w:p>
    <w:p w:rsidR="00000000" w:rsidDel="00000000" w:rsidP="00000000" w:rsidRDefault="00000000" w:rsidRPr="00000000" w14:paraId="000001EE">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Public float note</w:t>
      </w:r>
    </w:p>
    <w:p w:rsidR="00000000" w:rsidDel="00000000" w:rsidP="00000000" w:rsidRDefault="00000000" w:rsidRPr="00000000" w14:paraId="000001EF">
      <w:pPr>
        <w:numPr>
          <w:ilvl w:val="0"/>
          <w:numId w:val="2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content should also mention if the public float (shares not owned by these substantial holders or directors) will be at least the required minimum (usually 25%).</w:t>
      </w:r>
    </w:p>
    <w:p w:rsidR="00000000" w:rsidDel="00000000" w:rsidP="00000000" w:rsidRDefault="00000000" w:rsidRPr="00000000" w14:paraId="000001F0">
      <w:pPr>
        <w:numPr>
          <w:ilvl w:val="0"/>
          <w:numId w:val="29"/>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Usually not explicitly written here, but indirectly obvious from percentages given.</w:t>
      </w:r>
    </w:p>
    <w:p w:rsidR="00000000" w:rsidDel="00000000" w:rsidP="00000000" w:rsidRDefault="00000000" w:rsidRPr="00000000" w14:paraId="000001F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Granularity</w:t>
      </w:r>
    </w:p>
    <w:p w:rsidR="00000000" w:rsidDel="00000000" w:rsidP="00000000" w:rsidRDefault="00000000" w:rsidRPr="00000000" w14:paraId="000001F2">
      <w:pPr>
        <w:numPr>
          <w:ilvl w:val="0"/>
          <w:numId w:val="22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Granularity requires precise percentage figures (rounded to two decimal places typically) and the names as registered (if a trust, its name; if a company, full name).</w:t>
      </w:r>
    </w:p>
    <w:p w:rsidR="00000000" w:rsidDel="00000000" w:rsidP="00000000" w:rsidRDefault="00000000" w:rsidRPr="00000000" w14:paraId="000001F3">
      <w:pPr>
        <w:numPr>
          <w:ilvl w:val="0"/>
          <w:numId w:val="22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any substantial shareholder is an entity, sometimes a brief description like “a company incorporated in [jurisdiction]” is added.</w:t>
      </w:r>
    </w:p>
    <w:p w:rsidR="00000000" w:rsidDel="00000000" w:rsidP="00000000" w:rsidRDefault="00000000" w:rsidRPr="00000000" w14:paraId="000001F4">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Lock-up (if relevant)</w:t>
      </w:r>
    </w:p>
    <w:p w:rsidR="00000000" w:rsidDel="00000000" w:rsidP="00000000" w:rsidRDefault="00000000" w:rsidRPr="00000000" w14:paraId="000001F5">
      <w:pPr>
        <w:numPr>
          <w:ilvl w:val="0"/>
          <w:numId w:val="6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Additionally, this section or an adjacent one often mentions any lock-up arrangements (e.g., controlling shareholders undertaking not to dispose of shares for a certain period post-IPO).</w:t>
      </w:r>
    </w:p>
    <w:p w:rsidR="00000000" w:rsidDel="00000000" w:rsidP="00000000" w:rsidRDefault="00000000" w:rsidRPr="00000000" w14:paraId="000001F6">
      <w:pPr>
        <w:numPr>
          <w:ilvl w:val="0"/>
          <w:numId w:val="6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relevant, the AI should include: “Our Controlling Shareholder(s) will be subject to a lock-up of X months from the Listing Date, during which they will not dispose of any Shares” (these details might be also in Underwriting section, but summarizing here is useful).</w:t>
      </w:r>
    </w:p>
    <w:p w:rsidR="00000000" w:rsidDel="00000000" w:rsidP="00000000" w:rsidRDefault="00000000" w:rsidRPr="00000000" w14:paraId="000001F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Ultimate control transparency</w:t>
      </w:r>
    </w:p>
    <w:p w:rsidR="00000000" w:rsidDel="00000000" w:rsidP="00000000" w:rsidRDefault="00000000" w:rsidRPr="00000000" w14:paraId="000001F8">
      <w:pPr>
        <w:numPr>
          <w:ilvl w:val="0"/>
          <w:numId w:val="10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Finally, it may note if any substantial shareholder is a corporate entity that is ultimately controlled by someone (for transparency).</w:t>
      </w:r>
    </w:p>
    <w:p w:rsidR="00000000" w:rsidDel="00000000" w:rsidP="00000000" w:rsidRDefault="00000000" w:rsidRPr="00000000" w14:paraId="000001F9">
      <w:pPr>
        <w:numPr>
          <w:ilvl w:val="0"/>
          <w:numId w:val="10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instance, “ABC Fund holds 6%, and its general partner is XYZ Capital, which is managed by Mr. John Doe.”</w:t>
      </w:r>
    </w:p>
    <w:p w:rsidR="00000000" w:rsidDel="00000000" w:rsidP="00000000" w:rsidRDefault="00000000" w:rsidRPr="00000000" w14:paraId="000001FA">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Tone &amp; outcome</w:t>
      </w:r>
    </w:p>
    <w:p w:rsidR="00000000" w:rsidDel="00000000" w:rsidP="00000000" w:rsidRDefault="00000000" w:rsidRPr="00000000" w14:paraId="000001FB">
      <w:pPr>
        <w:numPr>
          <w:ilvl w:val="0"/>
          <w:numId w:val="20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tone is straightforward and factual.</w:t>
      </w:r>
    </w:p>
    <w:p w:rsidR="00000000" w:rsidDel="00000000" w:rsidP="00000000" w:rsidRDefault="00000000" w:rsidRPr="00000000" w14:paraId="000001FC">
      <w:pPr>
        <w:numPr>
          <w:ilvl w:val="0"/>
          <w:numId w:val="20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 essentially informs new investors who the major owners of the company are, which is important for understanding control and potential influence.</w:t>
      </w:r>
    </w:p>
    <w:p w:rsidR="00000000" w:rsidDel="00000000" w:rsidP="00000000" w:rsidRDefault="00000000" w:rsidRPr="00000000" w14:paraId="000001FD">
      <w:pPr>
        <w:numPr>
          <w:ilvl w:val="0"/>
          <w:numId w:val="20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By listing these, along with their stakes, investors can gauge the concentration of ownership post-IPO.</w:t>
      </w:r>
    </w:p>
    <w:p w:rsidR="00000000" w:rsidDel="00000000" w:rsidP="00000000" w:rsidRDefault="00000000" w:rsidRPr="00000000" w14:paraId="000001FE">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F">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6y301jacwcui" w:id="21"/>
      <w:bookmarkEnd w:id="21"/>
      <w:r w:rsidDel="00000000" w:rsidR="00000000" w:rsidRPr="00000000">
        <w:rPr>
          <w:rFonts w:ascii="Times New Roman" w:cs="Times New Roman" w:eastAsia="Times New Roman" w:hAnsi="Times New Roman"/>
          <w:b w:val="1"/>
          <w:bCs w:val="1"/>
          <w:sz w:val="34"/>
          <w:szCs w:val="34"/>
          <w:rtl w:val="0"/>
        </w:rPr>
        <w:t xml:space="preserve">Share Capital</w:t>
      </w:r>
    </w:p>
    <w:p w:rsidR="00000000" w:rsidDel="00000000" w:rsidP="00000000" w:rsidRDefault="00000000" w:rsidRPr="00000000" w14:paraId="00000200">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Purpose</w:t>
      </w:r>
    </w:p>
    <w:p w:rsidR="00000000" w:rsidDel="00000000" w:rsidP="00000000" w:rsidRDefault="00000000" w:rsidRPr="00000000" w14:paraId="00000201">
      <w:pPr>
        <w:numPr>
          <w:ilvl w:val="0"/>
          <w:numId w:val="185"/>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Share Capital section describes the company’s capital structure and the changes to it through the offering.</w:t>
      </w:r>
    </w:p>
    <w:p w:rsidR="00000000" w:rsidDel="00000000" w:rsidP="00000000" w:rsidRDefault="00000000" w:rsidRPr="00000000" w14:paraId="00000202">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Core disclosures</w:t>
      </w:r>
    </w:p>
    <w:p w:rsidR="00000000" w:rsidDel="00000000" w:rsidP="00000000" w:rsidRDefault="00000000" w:rsidRPr="00000000" w14:paraId="00000203">
      <w:pPr>
        <w:numPr>
          <w:ilvl w:val="0"/>
          <w:numId w:val="5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should begin with a statement of the authorized share capital and the issued share capital before the IPO, and then detail the changes after the IPO.</w:t>
      </w:r>
    </w:p>
    <w:p w:rsidR="00000000" w:rsidDel="00000000" w:rsidP="00000000" w:rsidRDefault="00000000" w:rsidRPr="00000000" w14:paraId="00000204">
      <w:pPr>
        <w:numPr>
          <w:ilvl w:val="0"/>
          <w:numId w:val="5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instance, it will say something like: “Our authorized share capital is US$500,000 divided into 5,000,000,000 Shares of US$0.0001 each. Prior to the Global Offering, we had 124,586,515 Shares in issue. Immediately following the completion of the Capitalization Issue and the Global Offering, we will have 1,381,580,350 Shares in issue.”</w:t>
      </w:r>
    </w:p>
    <w:p w:rsidR="00000000" w:rsidDel="00000000" w:rsidP="00000000" w:rsidRDefault="00000000" w:rsidRPr="00000000" w14:paraId="00000205">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How to present</w:t>
      </w:r>
    </w:p>
    <w:p w:rsidR="00000000" w:rsidDel="00000000" w:rsidP="00000000" w:rsidRDefault="00000000" w:rsidRPr="00000000" w14:paraId="00000206">
      <w:pPr>
        <w:numPr>
          <w:ilvl w:val="0"/>
          <w:numId w:val="169"/>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should present these figures, usually as a mini-table or neatly in text, to show the stepwise changes (as seen in the prospectus example where they list shares in issue before, the new shares from capitalization, new shares from the offering, and total after).</w:t>
      </w:r>
    </w:p>
    <w:p w:rsidR="00000000" w:rsidDel="00000000" w:rsidP="00000000" w:rsidRDefault="00000000" w:rsidRPr="00000000" w14:paraId="0000020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Capitalization Issue explanation</w:t>
      </w:r>
    </w:p>
    <w:p w:rsidR="00000000" w:rsidDel="00000000" w:rsidP="00000000" w:rsidRDefault="00000000" w:rsidRPr="00000000" w14:paraId="00000208">
      <w:pPr>
        <w:numPr>
          <w:ilvl w:val="0"/>
          <w:numId w:val="21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“Capitalization Issue” (or capitalisation of reserves, also known as a bonus issue or stock split allotted to existing shareholders) is a common step, and the AI must describe it: basically the company issuing a large number of new shares for free to existing shareholders to increase the share count (often to a round number) by converting share premium into share capital.</w:t>
      </w:r>
    </w:p>
    <w:p w:rsidR="00000000" w:rsidDel="00000000" w:rsidP="00000000" w:rsidRDefault="00000000" w:rsidRPr="00000000" w14:paraId="00000209">
      <w:pPr>
        <w:numPr>
          <w:ilvl w:val="0"/>
          <w:numId w:val="21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E.g., “conditional on the share premium account being credited with the IPO proceeds, X number of shares will be issued and allotted as fully paid to the existing shareholders on the register as of [date] by way of capitalization of HK$Y from the share premium account”.</w:t>
      </w:r>
    </w:p>
    <w:p w:rsidR="00000000" w:rsidDel="00000000" w:rsidP="00000000" w:rsidRDefault="00000000" w:rsidRPr="00000000" w14:paraId="0000020A">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Share rights</w:t>
      </w:r>
    </w:p>
    <w:p w:rsidR="00000000" w:rsidDel="00000000" w:rsidP="00000000" w:rsidRDefault="00000000" w:rsidRPr="00000000" w14:paraId="0000020B">
      <w:pPr>
        <w:numPr>
          <w:ilvl w:val="0"/>
          <w:numId w:val="166"/>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section should also clarify the par value of shares and that the Offer Shares (new shares being sold) will rank pari passu with existing shares in all respects (i.e., same rights to dividends, etc.).</w:t>
      </w:r>
    </w:p>
    <w:p w:rsidR="00000000" w:rsidDel="00000000" w:rsidP="00000000" w:rsidRDefault="00000000" w:rsidRPr="00000000" w14:paraId="0000020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Multiple classes / WVR</w:t>
      </w:r>
    </w:p>
    <w:p w:rsidR="00000000" w:rsidDel="00000000" w:rsidP="00000000" w:rsidRDefault="00000000" w:rsidRPr="00000000" w14:paraId="0000020D">
      <w:pPr>
        <w:numPr>
          <w:ilvl w:val="0"/>
          <w:numId w:val="8"/>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Additionally, if the company has any other classes of shares or special share structures (like dual-class stock, preferred shares, etc.), they should be described.</w:t>
      </w:r>
    </w:p>
    <w:p w:rsidR="00000000" w:rsidDel="00000000" w:rsidP="00000000" w:rsidRDefault="00000000" w:rsidRPr="00000000" w14:paraId="0000020E">
      <w:pPr>
        <w:numPr>
          <w:ilvl w:val="0"/>
          <w:numId w:val="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our context, both Pop Mart and Li Auto were ordinary shares (Li Auto had WVR structure possibly, but as a HK listing with WVR, that might involve Class A and Class B shares – if so, describe the differences in voting rights and how many of each class).</w:t>
      </w:r>
    </w:p>
    <w:p w:rsidR="00000000" w:rsidDel="00000000" w:rsidP="00000000" w:rsidRDefault="00000000" w:rsidRPr="00000000" w14:paraId="0000020F">
      <w:pPr>
        <w:numPr>
          <w:ilvl w:val="0"/>
          <w:numId w:val="8"/>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question specifically references Pop Mart and Li Auto, and Li Auto was a WVR company in HK (with class B shares to the founder).</w:t>
      </w:r>
    </w:p>
    <w:p w:rsidR="00000000" w:rsidDel="00000000" w:rsidP="00000000" w:rsidRDefault="00000000" w:rsidRPr="00000000" w14:paraId="00000210">
      <w:pPr>
        <w:numPr>
          <w:ilvl w:val="0"/>
          <w:numId w:val="8"/>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 if applicable, the AI should describe that: e.g., “Our share capital comprises Class A ordinary shares (each entitling one vote) and Class B ordinary shares (each entitling 10 votes) held by the Controlling Shareholder, to reflect a weighted voting rights structure.” And mention the numbers of each class pre- and post-IPO.</w:t>
      </w:r>
    </w:p>
    <w:p w:rsidR="00000000" w:rsidDel="00000000" w:rsidP="00000000" w:rsidRDefault="00000000" w:rsidRPr="00000000" w14:paraId="0000021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Other securities and mandates</w:t>
      </w:r>
    </w:p>
    <w:p w:rsidR="00000000" w:rsidDel="00000000" w:rsidP="00000000" w:rsidRDefault="00000000" w:rsidRPr="00000000" w14:paraId="00000212">
      <w:pPr>
        <w:numPr>
          <w:ilvl w:val="0"/>
          <w:numId w:val="4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section should also mention other securities: any options, RSUs, or convertible instruments outstanding.</w:t>
      </w:r>
    </w:p>
    <w:p w:rsidR="00000000" w:rsidDel="00000000" w:rsidP="00000000" w:rsidRDefault="00000000" w:rsidRPr="00000000" w14:paraId="00000213">
      <w:pPr>
        <w:numPr>
          <w:ilvl w:val="0"/>
          <w:numId w:val="4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example, number of share options granted under any pre-IPO scheme, and if there’s an ESOP (employee share option pool) reserved.</w:t>
      </w:r>
    </w:p>
    <w:p w:rsidR="00000000" w:rsidDel="00000000" w:rsidP="00000000" w:rsidRDefault="00000000" w:rsidRPr="00000000" w14:paraId="00000214">
      <w:pPr>
        <w:numPr>
          <w:ilvl w:val="0"/>
          <w:numId w:val="4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prospectus often lists the general mandates that will be sought from shareholders (e.g., a general mandate to issue shares not exceeding 20% of issued capital, and a mandate to repurchase up to 10%).</w:t>
      </w:r>
    </w:p>
    <w:p w:rsidR="00000000" w:rsidDel="00000000" w:rsidP="00000000" w:rsidRDefault="00000000" w:rsidRPr="00000000" w14:paraId="00000215">
      <w:pPr>
        <w:numPr>
          <w:ilvl w:val="0"/>
          <w:numId w:val="4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can mention that in brief: “At the annual general meeting, our Directors will have a general mandate to allot and issue new shares up to 20% of our then-issued share capital, and a mandate to repurchase shares up to 10%.”</w:t>
      </w:r>
    </w:p>
    <w:p w:rsidR="00000000" w:rsidDel="00000000" w:rsidP="00000000" w:rsidRDefault="00000000" w:rsidRPr="00000000" w14:paraId="00000216">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Granularity and assumptions</w:t>
      </w:r>
    </w:p>
    <w:p w:rsidR="00000000" w:rsidDel="00000000" w:rsidP="00000000" w:rsidRDefault="00000000" w:rsidRPr="00000000" w14:paraId="00000217">
      <w:pPr>
        <w:numPr>
          <w:ilvl w:val="0"/>
          <w:numId w:val="21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Granularity needed: exact numbers of shares and currency amounts (par value, total authorized capital).</w:t>
      </w:r>
    </w:p>
    <w:p w:rsidR="00000000" w:rsidDel="00000000" w:rsidP="00000000" w:rsidRDefault="00000000" w:rsidRPr="00000000" w14:paraId="00000218">
      <w:pPr>
        <w:numPr>
          <w:ilvl w:val="0"/>
          <w:numId w:val="21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These numbers are typically given to several decimal places or as exact figures, which the AI should mirror as seen.</w:t>
      </w:r>
    </w:p>
    <w:p w:rsidR="00000000" w:rsidDel="00000000" w:rsidP="00000000" w:rsidRDefault="00000000" w:rsidRPr="00000000" w14:paraId="00000219">
      <w:pPr>
        <w:numPr>
          <w:ilvl w:val="0"/>
          <w:numId w:val="21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 currency conversion is used for par (e.g., US$0.0001 per share, which is common for par in a Cayman company), include that.</w:t>
      </w:r>
    </w:p>
    <w:p w:rsidR="00000000" w:rsidDel="00000000" w:rsidP="00000000" w:rsidRDefault="00000000" w:rsidRPr="00000000" w14:paraId="0000021A">
      <w:pPr>
        <w:numPr>
          <w:ilvl w:val="0"/>
          <w:numId w:val="21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Also, any changes between prospectus date and listing (like if an over-allotment option could further increase the issued shares) should be noted: prospectus often says “assuming the Over-allotment Option is not exercised” in the calculations, and then states what happens if it is (maybe in a footnote or narrative).</w:t>
      </w:r>
    </w:p>
    <w:p w:rsidR="00000000" w:rsidDel="00000000" w:rsidP="00000000" w:rsidRDefault="00000000" w:rsidRPr="00000000" w14:paraId="0000021B">
      <w:pPr>
        <w:numPr>
          <w:ilvl w:val="0"/>
          <w:numId w:val="21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should incorporate that assumption language for completeness.</w:t>
      </w:r>
    </w:p>
    <w:p w:rsidR="00000000" w:rsidDel="00000000" w:rsidP="00000000" w:rsidRDefault="00000000" w:rsidRPr="00000000" w14:paraId="0000021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Tone &amp; investor value</w:t>
      </w:r>
    </w:p>
    <w:p w:rsidR="00000000" w:rsidDel="00000000" w:rsidP="00000000" w:rsidRDefault="00000000" w:rsidRPr="00000000" w14:paraId="0000021D">
      <w:pPr>
        <w:numPr>
          <w:ilvl w:val="0"/>
          <w:numId w:val="19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tone is formal and precise, with a lot of numerical information.</w:t>
      </w:r>
    </w:p>
    <w:p w:rsidR="00000000" w:rsidDel="00000000" w:rsidP="00000000" w:rsidRDefault="00000000" w:rsidRPr="00000000" w14:paraId="0000021E">
      <w:pPr>
        <w:numPr>
          <w:ilvl w:val="0"/>
          <w:numId w:val="19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section reads almost like a legal statement of capital facts.</w:t>
      </w:r>
    </w:p>
    <w:p w:rsidR="00000000" w:rsidDel="00000000" w:rsidP="00000000" w:rsidRDefault="00000000" w:rsidRPr="00000000" w14:paraId="0000021F">
      <w:pPr>
        <w:numPr>
          <w:ilvl w:val="0"/>
          <w:numId w:val="194"/>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 ensures investors know how many shares exist and will exist, and thus their ownership stakes if they buy shares.</w:t>
      </w:r>
    </w:p>
    <w:p w:rsidR="00000000" w:rsidDel="00000000" w:rsidP="00000000" w:rsidRDefault="00000000" w:rsidRPr="00000000" w14:paraId="00000220">
      <w:pPr>
        <w:numPr>
          <w:ilvl w:val="0"/>
          <w:numId w:val="19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By clearly outlining the share capital before and after the offering (and the mechanics like the capitalization issue), the AI’s output helps prevent any confusion about dilution or changes in capital structure.</w:t>
      </w:r>
    </w:p>
    <w:p w:rsidR="00000000" w:rsidDel="00000000" w:rsidP="00000000" w:rsidRDefault="00000000" w:rsidRPr="00000000" w14:paraId="00000221">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2">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uk60jk5808r5" w:id="22"/>
      <w:bookmarkEnd w:id="22"/>
      <w:r w:rsidDel="00000000" w:rsidR="00000000" w:rsidRPr="00000000">
        <w:rPr>
          <w:rFonts w:ascii="Times New Roman" w:cs="Times New Roman" w:eastAsia="Times New Roman" w:hAnsi="Times New Roman"/>
          <w:b w:val="1"/>
          <w:bCs w:val="1"/>
          <w:sz w:val="34"/>
          <w:szCs w:val="34"/>
          <w:rtl w:val="0"/>
        </w:rPr>
        <w:t xml:space="preserve">Financial Information</w:t>
      </w:r>
    </w:p>
    <w:p w:rsidR="00000000" w:rsidDel="00000000" w:rsidP="00000000" w:rsidRDefault="00000000" w:rsidRPr="00000000" w14:paraId="00000223">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Role</w:t>
      </w:r>
    </w:p>
    <w:p w:rsidR="00000000" w:rsidDel="00000000" w:rsidP="00000000" w:rsidRDefault="00000000" w:rsidRPr="00000000" w14:paraId="00000224">
      <w:pPr>
        <w:numPr>
          <w:ilvl w:val="0"/>
          <w:numId w:val="98"/>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Financial Information section (often essentially the “Management’s Discussion and Analysis” or MD&amp;A) provides a narrative analysis of the company’s financial performance and condition over the track record period.</w:t>
      </w:r>
    </w:p>
    <w:p w:rsidR="00000000" w:rsidDel="00000000" w:rsidP="00000000" w:rsidRDefault="00000000" w:rsidRPr="00000000" w14:paraId="00000225">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High-level structure</w:t>
      </w:r>
    </w:p>
    <w:p w:rsidR="00000000" w:rsidDel="00000000" w:rsidP="00000000" w:rsidRDefault="00000000" w:rsidRPr="00000000" w14:paraId="00000226">
      <w:pPr>
        <w:numPr>
          <w:ilvl w:val="0"/>
          <w:numId w:val="143"/>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should structure it with an overview followed by detailed discussions of income statement items, balance sheet items, liquidity, and other financial aspects.</w:t>
      </w:r>
    </w:p>
    <w:p w:rsidR="00000000" w:rsidDel="00000000" w:rsidP="00000000" w:rsidRDefault="00000000" w:rsidRPr="00000000" w14:paraId="0000022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Standard opening / scope statement</w:t>
      </w:r>
    </w:p>
    <w:p w:rsidR="00000000" w:rsidDel="00000000" w:rsidP="00000000" w:rsidRDefault="00000000" w:rsidRPr="00000000" w14:paraId="00000228">
      <w:pPr>
        <w:numPr>
          <w:ilvl w:val="0"/>
          <w:numId w:val="201"/>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 typically starts with a restatement of the scope: “The following discussion and analysis refer to our consolidated financial information for the years ended 2018, 2019, 2020 and the interim period of 2021, and should be read in conjunction with the Accountants’ Report in Appendix I” – such a preamble situates the reader.</w:t>
      </w:r>
    </w:p>
    <w:p w:rsidR="00000000" w:rsidDel="00000000" w:rsidP="00000000" w:rsidRDefault="00000000" w:rsidRPr="00000000" w14:paraId="00000229">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Overview of trends</w:t>
      </w:r>
    </w:p>
    <w:p w:rsidR="00000000" w:rsidDel="00000000" w:rsidP="00000000" w:rsidRDefault="00000000" w:rsidRPr="00000000" w14:paraId="0000022A">
      <w:pPr>
        <w:numPr>
          <w:ilvl w:val="0"/>
          <w:numId w:val="124"/>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Overview: The AI should summarize the key financial trends – e.g., “We have experienced rapid growth in recent years. Our revenue increased from RMB X in 2018 to RMB Y in 2019, and further to RMB Z in 2020, representing a CAGR of __%. We turned profitable in 2019 with a net profit of RMB A, compared to a net loss in 2018, and our net profit expanded to RMB B in 2020.” (Using actual figures if available from the prospectus summary financials).</w:t>
      </w:r>
    </w:p>
    <w:p w:rsidR="00000000" w:rsidDel="00000000" w:rsidP="00000000" w:rsidRDefault="00000000" w:rsidRPr="00000000" w14:paraId="0000022B">
      <w:pPr>
        <w:numPr>
          <w:ilvl w:val="0"/>
          <w:numId w:val="124"/>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 also might mention key factors driving the performance (like increase in number of stores or products launched, etc., if those are quantitatively significant).</w:t>
      </w:r>
    </w:p>
    <w:p w:rsidR="00000000" w:rsidDel="00000000" w:rsidP="00000000" w:rsidRDefault="00000000" w:rsidRPr="00000000" w14:paraId="0000022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Revenue breakdown</w:t>
      </w:r>
    </w:p>
    <w:p w:rsidR="00000000" w:rsidDel="00000000" w:rsidP="00000000" w:rsidRDefault="00000000" w:rsidRPr="00000000" w14:paraId="0000022D">
      <w:pPr>
        <w:numPr>
          <w:ilvl w:val="0"/>
          <w:numId w:val="9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Then Revenue analysis: The AI should break down revenue by segments or categories if the company does so (for example, revenue from retail stores vs. online vs. wholesale, or by product category) and discuss the growth in each, supported by percentages or amounts.</w:t>
      </w:r>
    </w:p>
    <w:p w:rsidR="00000000" w:rsidDel="00000000" w:rsidP="00000000" w:rsidRDefault="00000000" w:rsidRPr="00000000" w14:paraId="0000022E">
      <w:pPr>
        <w:numPr>
          <w:ilvl w:val="0"/>
          <w:numId w:val="90"/>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“Our revenue growth was primarily driven by the success of our core character lines such as Molly, which alone contributed X% of revenue in 2019. The introduction of new IPs and expansion of our store network also boosted sales.”</w:t>
      </w:r>
    </w:p>
    <w:p w:rsidR="00000000" w:rsidDel="00000000" w:rsidP="00000000" w:rsidRDefault="00000000" w:rsidRPr="00000000" w14:paraId="0000022F">
      <w:pPr>
        <w:numPr>
          <w:ilvl w:val="0"/>
          <w:numId w:val="9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there are any one-off factors (like a promotional event or COVID-19 impact), those should be described in context.</w:t>
      </w:r>
    </w:p>
    <w:p w:rsidR="00000000" w:rsidDel="00000000" w:rsidP="00000000" w:rsidRDefault="00000000" w:rsidRPr="00000000" w14:paraId="00000230">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Margins and costs</w:t>
      </w:r>
    </w:p>
    <w:p w:rsidR="00000000" w:rsidDel="00000000" w:rsidP="00000000" w:rsidRDefault="00000000" w:rsidRPr="00000000" w14:paraId="00000231">
      <w:pPr>
        <w:numPr>
          <w:ilvl w:val="0"/>
          <w:numId w:val="19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Cost of sales and gross profit: mention how cost of sales moved and gross profit margins.</w:t>
      </w:r>
    </w:p>
    <w:p w:rsidR="00000000" w:rsidDel="00000000" w:rsidP="00000000" w:rsidRDefault="00000000" w:rsidRPr="00000000" w14:paraId="00000232">
      <w:pPr>
        <w:numPr>
          <w:ilvl w:val="0"/>
          <w:numId w:val="192"/>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E.g., “Gross profit margin improved from A% in 2018 to B% in 2020 due to economies of scale and improved product mix.”</w:t>
      </w:r>
    </w:p>
    <w:p w:rsidR="00000000" w:rsidDel="00000000" w:rsidP="00000000" w:rsidRDefault="00000000" w:rsidRPr="00000000" w14:paraId="00000233">
      <w:pPr>
        <w:numPr>
          <w:ilvl w:val="0"/>
          <w:numId w:val="19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raw material or supplier info is relevant, note it.</w:t>
      </w:r>
    </w:p>
    <w:p w:rsidR="00000000" w:rsidDel="00000000" w:rsidP="00000000" w:rsidRDefault="00000000" w:rsidRPr="00000000" w14:paraId="00000234">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Operating expenses and other items</w:t>
      </w:r>
    </w:p>
    <w:p w:rsidR="00000000" w:rsidDel="00000000" w:rsidP="00000000" w:rsidRDefault="00000000" w:rsidRPr="00000000" w14:paraId="00000235">
      <w:pPr>
        <w:numPr>
          <w:ilvl w:val="0"/>
          <w:numId w:val="16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Other P&amp;L items: The AI should discuss major expenses – selling &amp; distribution costs, admin expenses, R&amp;D (if applicable).</w:t>
      </w:r>
    </w:p>
    <w:p w:rsidR="00000000" w:rsidDel="00000000" w:rsidP="00000000" w:rsidRDefault="00000000" w:rsidRPr="00000000" w14:paraId="00000236">
      <w:pPr>
        <w:numPr>
          <w:ilvl w:val="0"/>
          <w:numId w:val="16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any expense item materially increased or decreased as a percentage of revenue, explain why (hiring more staff, marketing campaign, share-based payments, etc.).</w:t>
      </w:r>
    </w:p>
    <w:p w:rsidR="00000000" w:rsidDel="00000000" w:rsidP="00000000" w:rsidRDefault="00000000" w:rsidRPr="00000000" w14:paraId="00000237">
      <w:pPr>
        <w:numPr>
          <w:ilvl w:val="0"/>
          <w:numId w:val="16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Also point out if the company had any significant other gains or losses (like fair value changes, government grants, etc.).</w:t>
      </w:r>
    </w:p>
    <w:p w:rsidR="00000000" w:rsidDel="00000000" w:rsidP="00000000" w:rsidRDefault="00000000" w:rsidRPr="00000000" w14:paraId="00000238">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Profitability measures</w:t>
      </w:r>
    </w:p>
    <w:p w:rsidR="00000000" w:rsidDel="00000000" w:rsidP="00000000" w:rsidRDefault="00000000" w:rsidRPr="00000000" w14:paraId="00000239">
      <w:pPr>
        <w:numPr>
          <w:ilvl w:val="0"/>
          <w:numId w:val="9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Profitability: If net profit or loss, and net profit margin, note those.</w:t>
      </w:r>
    </w:p>
    <w:p w:rsidR="00000000" w:rsidDel="00000000" w:rsidP="00000000" w:rsidRDefault="00000000" w:rsidRPr="00000000" w14:paraId="0000023A">
      <w:pPr>
        <w:numPr>
          <w:ilvl w:val="0"/>
          <w:numId w:val="9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Possibly mention EBITDA or adjusted profits if the company highlights those (some companies present a non-IFRS measure excluding certain expenses; if so, define it and provide the figure).</w:t>
      </w:r>
    </w:p>
    <w:p w:rsidR="00000000" w:rsidDel="00000000" w:rsidP="00000000" w:rsidRDefault="00000000" w:rsidRPr="00000000" w14:paraId="0000023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Balance sheet discussion</w:t>
      </w:r>
    </w:p>
    <w:p w:rsidR="00000000" w:rsidDel="00000000" w:rsidP="00000000" w:rsidRDefault="00000000" w:rsidRPr="00000000" w14:paraId="0000023C">
      <w:pPr>
        <w:numPr>
          <w:ilvl w:val="0"/>
          <w:numId w:val="11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Balance Sheet: The AI should comment on the company’s financial position – growth in assets like how cash and bank balances have changed, any major capital expenditures (increase in PPE), inventory levels and turnover, trade receivables (and any credit risk or bad debt allowances), etc.</w:t>
      </w:r>
    </w:p>
    <w:p w:rsidR="00000000" w:rsidDel="00000000" w:rsidP="00000000" w:rsidRDefault="00000000" w:rsidRPr="00000000" w14:paraId="0000023D">
      <w:pPr>
        <w:numPr>
          <w:ilvl w:val="0"/>
          <w:numId w:val="11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company has debt, discuss the borrowings and gearing.</w:t>
      </w:r>
    </w:p>
    <w:p w:rsidR="00000000" w:rsidDel="00000000" w:rsidP="00000000" w:rsidRDefault="00000000" w:rsidRPr="00000000" w14:paraId="0000023E">
      <w:pPr>
        <w:numPr>
          <w:ilvl w:val="0"/>
          <w:numId w:val="11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significant acquisitions happened, mention their effect on the balance sheet.</w:t>
      </w:r>
    </w:p>
    <w:p w:rsidR="00000000" w:rsidDel="00000000" w:rsidP="00000000" w:rsidRDefault="00000000" w:rsidRPr="00000000" w14:paraId="0000023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Liquidity and working capital</w:t>
      </w:r>
    </w:p>
    <w:p w:rsidR="00000000" w:rsidDel="00000000" w:rsidP="00000000" w:rsidRDefault="00000000" w:rsidRPr="00000000" w14:paraId="00000240">
      <w:pPr>
        <w:numPr>
          <w:ilvl w:val="0"/>
          <w:numId w:val="12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Liquidity and capital resources: Here, describe if operating cash flow is positive and sufficient, any major financing raised (like the proceeds of the IPO and how they will affect liquidity).</w:t>
      </w:r>
    </w:p>
    <w:p w:rsidR="00000000" w:rsidDel="00000000" w:rsidP="00000000" w:rsidRDefault="00000000" w:rsidRPr="00000000" w14:paraId="00000241">
      <w:pPr>
        <w:numPr>
          <w:ilvl w:val="0"/>
          <w:numId w:val="12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Also mention the working capital sufficiency statement (in HK prospectus, usually “our directors are of the opinion that, taking into account the net proceeds from the IPO and our available facilities, we have sufficient working capital for at least the next 12 months”). If given, the AI should incorporate that assurance.</w:t>
      </w:r>
    </w:p>
    <w:p w:rsidR="00000000" w:rsidDel="00000000" w:rsidP="00000000" w:rsidRDefault="00000000" w:rsidRPr="00000000" w14:paraId="00000242">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Indebtedness</w:t>
      </w:r>
    </w:p>
    <w:p w:rsidR="00000000" w:rsidDel="00000000" w:rsidP="00000000" w:rsidRDefault="00000000" w:rsidRPr="00000000" w14:paraId="00000243">
      <w:pPr>
        <w:numPr>
          <w:ilvl w:val="0"/>
          <w:numId w:val="5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Indebtedness: Possibly list any bank loans, and whether they’re secured or unsecured, and the maturity profile.</w:t>
      </w:r>
    </w:p>
    <w:p w:rsidR="00000000" w:rsidDel="00000000" w:rsidP="00000000" w:rsidRDefault="00000000" w:rsidRPr="00000000" w14:paraId="00000244">
      <w:pPr>
        <w:numPr>
          <w:ilvl w:val="0"/>
          <w:numId w:val="5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Confirm if gearing is low or high.</w:t>
      </w:r>
    </w:p>
    <w:p w:rsidR="00000000" w:rsidDel="00000000" w:rsidP="00000000" w:rsidRDefault="00000000" w:rsidRPr="00000000" w14:paraId="00000245">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Accounting policies and judgments</w:t>
      </w:r>
    </w:p>
    <w:p w:rsidR="00000000" w:rsidDel="00000000" w:rsidP="00000000" w:rsidRDefault="00000000" w:rsidRPr="00000000" w14:paraId="00000246">
      <w:pPr>
        <w:numPr>
          <w:ilvl w:val="0"/>
          <w:numId w:val="67"/>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Significant financial policies: sometimes a subsection highlights critical accounting policies (like how revenue is recognized, how inventory is valued, impairment policy, etc.).</w:t>
      </w:r>
    </w:p>
    <w:p w:rsidR="00000000" w:rsidDel="00000000" w:rsidP="00000000" w:rsidRDefault="00000000" w:rsidRPr="00000000" w14:paraId="00000247">
      <w:pPr>
        <w:numPr>
          <w:ilvl w:val="0"/>
          <w:numId w:val="67"/>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can summarize: “The significant accounting policies are set out in the Accountants’ Report; key judgments include revenue recognition for blind box sales and valuation of inventory, given the need to write down slow-moving stock.”</w:t>
      </w:r>
    </w:p>
    <w:p w:rsidR="00000000" w:rsidDel="00000000" w:rsidP="00000000" w:rsidRDefault="00000000" w:rsidRPr="00000000" w14:paraId="00000248">
      <w:pPr>
        <w:numPr>
          <w:ilvl w:val="0"/>
          <w:numId w:val="67"/>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any changes in accounting or one-time adjustments (like conversion of preferred shares to equity) took place, mention those and their effects.</w:t>
      </w:r>
    </w:p>
    <w:p w:rsidR="00000000" w:rsidDel="00000000" w:rsidP="00000000" w:rsidRDefault="00000000" w:rsidRPr="00000000" w14:paraId="00000249">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Ratios and operational metrics</w:t>
      </w:r>
    </w:p>
    <w:p w:rsidR="00000000" w:rsidDel="00000000" w:rsidP="00000000" w:rsidRDefault="00000000" w:rsidRPr="00000000" w14:paraId="0000024A">
      <w:pPr>
        <w:numPr>
          <w:ilvl w:val="0"/>
          <w:numId w:val="200"/>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Quantitative analysis: The section might include certain financial ratios or metrics.</w:t>
      </w:r>
    </w:p>
    <w:p w:rsidR="00000000" w:rsidDel="00000000" w:rsidP="00000000" w:rsidRDefault="00000000" w:rsidRPr="00000000" w14:paraId="0000024B">
      <w:pPr>
        <w:numPr>
          <w:ilvl w:val="0"/>
          <w:numId w:val="200"/>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 prospectus explicitly discusses things like inventory turnover days, trade receivable days, etc., the AI should reflect those (e.g., “Our inventory turnover days were 120 in 2018, improving to 90 days in 2020 due to better stock management.”).</w:t>
      </w:r>
    </w:p>
    <w:p w:rsidR="00000000" w:rsidDel="00000000" w:rsidP="00000000" w:rsidRDefault="00000000" w:rsidRPr="00000000" w14:paraId="0000024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Subsequent events / post-period trends</w:t>
      </w:r>
    </w:p>
    <w:p w:rsidR="00000000" w:rsidDel="00000000" w:rsidP="00000000" w:rsidRDefault="00000000" w:rsidRPr="00000000" w14:paraId="0000024D">
      <w:pPr>
        <w:numPr>
          <w:ilvl w:val="0"/>
          <w:numId w:val="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Future outlook in financial terms: The company might mention subsequent events or known trends post-period.</w:t>
      </w:r>
    </w:p>
    <w:p w:rsidR="00000000" w:rsidDel="00000000" w:rsidP="00000000" w:rsidRDefault="00000000" w:rsidRPr="00000000" w14:paraId="0000024E">
      <w:pPr>
        <w:numPr>
          <w:ilvl w:val="0"/>
          <w:numId w:val="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E.g., Covid-19 impact on Q1 2021 sales (for a 2020-year prospectus) – mention how Q1 2021 performed vs Q1 2020 if they gave numbers or commentary.</w:t>
      </w:r>
    </w:p>
    <w:p w:rsidR="00000000" w:rsidDel="00000000" w:rsidP="00000000" w:rsidRDefault="00000000" w:rsidRPr="00000000" w14:paraId="0000024F">
      <w:pPr>
        <w:numPr>
          <w:ilvl w:val="0"/>
          <w:numId w:val="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Or any material subsequent events like a new financing or a significant subsequent loss/profit in the interim.</w:t>
      </w:r>
    </w:p>
    <w:p w:rsidR="00000000" w:rsidDel="00000000" w:rsidP="00000000" w:rsidRDefault="00000000" w:rsidRPr="00000000" w14:paraId="00000250">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Granularity and “story behind the numbers”</w:t>
      </w:r>
    </w:p>
    <w:p w:rsidR="00000000" w:rsidDel="00000000" w:rsidP="00000000" w:rsidRDefault="00000000" w:rsidRPr="00000000" w14:paraId="00000251">
      <w:pPr>
        <w:numPr>
          <w:ilvl w:val="0"/>
          <w:numId w:val="119"/>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granularity should be such that an investor reading it understands the story behind the numbers, not just the numbers themselves.</w:t>
      </w:r>
    </w:p>
    <w:p w:rsidR="00000000" w:rsidDel="00000000" w:rsidP="00000000" w:rsidRDefault="00000000" w:rsidRPr="00000000" w14:paraId="00000252">
      <w:pPr>
        <w:numPr>
          <w:ilvl w:val="0"/>
          <w:numId w:val="119"/>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That means including percentage changes and reasons.</w:t>
      </w:r>
    </w:p>
    <w:p w:rsidR="00000000" w:rsidDel="00000000" w:rsidP="00000000" w:rsidRDefault="00000000" w:rsidRPr="00000000" w14:paraId="00000253">
      <w:pPr>
        <w:numPr>
          <w:ilvl w:val="0"/>
          <w:numId w:val="119"/>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example: “Selling and distribution expenses increased by 50% in 2019 due to the opening of 20 new retail stores and corresponding higher staff costs and rental expenses.”</w:t>
      </w:r>
    </w:p>
    <w:p w:rsidR="00000000" w:rsidDel="00000000" w:rsidP="00000000" w:rsidRDefault="00000000" w:rsidRPr="00000000" w14:paraId="00000254">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Exceptional items</w:t>
      </w:r>
    </w:p>
    <w:p w:rsidR="00000000" w:rsidDel="00000000" w:rsidP="00000000" w:rsidRDefault="00000000" w:rsidRPr="00000000" w14:paraId="00000255">
      <w:pPr>
        <w:numPr>
          <w:ilvl w:val="0"/>
          <w:numId w:val="15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there are any exceptional items (maybe fair value change of preferred shares, which are usually significant in pre-IPO financials of tech companies), mention how they affected profit and that those won’t recur after listing if those preferred shares converted to equity (thus cleaning up losses).</w:t>
      </w:r>
    </w:p>
    <w:p w:rsidR="00000000" w:rsidDel="00000000" w:rsidP="00000000" w:rsidRDefault="00000000" w:rsidRPr="00000000" w14:paraId="00000256">
      <w:pPr>
        <w:numPr>
          <w:ilvl w:val="0"/>
          <w:numId w:val="15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 Auto’s financials likely had such items – e.g., fair value changes of warrants or preferred shares; if Pop Mart had any fair value adjustments or share based payments, note those.</w:t>
      </w:r>
    </w:p>
    <w:p w:rsidR="00000000" w:rsidDel="00000000" w:rsidP="00000000" w:rsidRDefault="00000000" w:rsidRPr="00000000" w14:paraId="0000025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No fabrication + illustrative handling</w:t>
      </w:r>
    </w:p>
    <w:p w:rsidR="00000000" w:rsidDel="00000000" w:rsidP="00000000" w:rsidRDefault="00000000" w:rsidRPr="00000000" w14:paraId="00000258">
      <w:pPr>
        <w:numPr>
          <w:ilvl w:val="0"/>
          <w:numId w:val="193"/>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Everything should tie back to the actual figures that would be in the financial statements, citing them qualitatively.</w:t>
      </w:r>
    </w:p>
    <w:p w:rsidR="00000000" w:rsidDel="00000000" w:rsidP="00000000" w:rsidRDefault="00000000" w:rsidRPr="00000000" w14:paraId="00000259">
      <w:pPr>
        <w:numPr>
          <w:ilvl w:val="0"/>
          <w:numId w:val="193"/>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AI should not invent numbers, but use relative descriptions or example figures if not provided explicitly.</w:t>
      </w:r>
    </w:p>
    <w:p w:rsidR="00000000" w:rsidDel="00000000" w:rsidP="00000000" w:rsidRDefault="00000000" w:rsidRPr="00000000" w14:paraId="0000025A">
      <w:pPr>
        <w:numPr>
          <w:ilvl w:val="0"/>
          <w:numId w:val="193"/>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Given Pop Mart’s summary gave actual numbers, we can use those for illustration (like net profit from RMB1.6m to RMB99.5m, which is a fact we can cite).</w:t>
      </w:r>
    </w:p>
    <w:p w:rsidR="00000000" w:rsidDel="00000000" w:rsidP="00000000" w:rsidRDefault="00000000" w:rsidRPr="00000000" w14:paraId="0000025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Dividend policy</w:t>
      </w:r>
    </w:p>
    <w:p w:rsidR="00000000" w:rsidDel="00000000" w:rsidP="00000000" w:rsidRDefault="00000000" w:rsidRPr="00000000" w14:paraId="0000025C">
      <w:pPr>
        <w:numPr>
          <w:ilvl w:val="0"/>
          <w:numId w:val="140"/>
        </w:numPr>
        <w:spacing w:after="24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It’s also useful to mention any dividend policy if stated: some prospectuses say “we do not have a fixed dividend policy” or “we intend to distribute not less than X% of annual profit as dividend” – so include that if applicable.</w:t>
      </w:r>
    </w:p>
    <w:p w:rsidR="00000000" w:rsidDel="00000000" w:rsidP="00000000" w:rsidRDefault="00000000" w:rsidRPr="00000000" w14:paraId="0000025D">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Tone and credibility</w:t>
      </w:r>
    </w:p>
    <w:p w:rsidR="00000000" w:rsidDel="00000000" w:rsidP="00000000" w:rsidRDefault="00000000" w:rsidRPr="00000000" w14:paraId="0000025E">
      <w:pPr>
        <w:numPr>
          <w:ilvl w:val="0"/>
          <w:numId w:val="36"/>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tone throughout is analytical and objective.</w:t>
      </w:r>
    </w:p>
    <w:p w:rsidR="00000000" w:rsidDel="00000000" w:rsidP="00000000" w:rsidRDefault="00000000" w:rsidRPr="00000000" w14:paraId="0000025F">
      <w:pPr>
        <w:numPr>
          <w:ilvl w:val="0"/>
          <w:numId w:val="36"/>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 should not be promotional; any improvements are stated with their factual cause, and any negative trends are also explained (e.g., “our net profit margin slightly decreased in the interim 2020 due to temporary logistics disruptions from COVID-19” – acknowledging downsides).</w:t>
      </w:r>
    </w:p>
    <w:p w:rsidR="00000000" w:rsidDel="00000000" w:rsidP="00000000" w:rsidRDefault="00000000" w:rsidRPr="00000000" w14:paraId="00000260">
      <w:pPr>
        <w:numPr>
          <w:ilvl w:val="0"/>
          <w:numId w:val="36"/>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builds trust that management is transparently discussing performance.</w:t>
      </w:r>
    </w:p>
    <w:p w:rsidR="00000000" w:rsidDel="00000000" w:rsidP="00000000" w:rsidRDefault="00000000" w:rsidRPr="00000000" w14:paraId="00000261">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Outcome</w:t>
      </w:r>
    </w:p>
    <w:p w:rsidR="00000000" w:rsidDel="00000000" w:rsidP="00000000" w:rsidRDefault="00000000" w:rsidRPr="00000000" w14:paraId="00000262">
      <w:pPr>
        <w:numPr>
          <w:ilvl w:val="0"/>
          <w:numId w:val="202"/>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By thoroughly covering revenue, expenses, profits, and cash flows with explanatory context, the Financial Information section enables investors to understand the company’s financial health and viability.</w:t>
      </w:r>
    </w:p>
    <w:p w:rsidR="00000000" w:rsidDel="00000000" w:rsidP="00000000" w:rsidRDefault="00000000" w:rsidRPr="00000000" w14:paraId="00000263">
      <w:pPr>
        <w:numPr>
          <w:ilvl w:val="0"/>
          <w:numId w:val="202"/>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discussions should align with the audited numbers in the appendices, and the AI should ensure consistency and clarity in this critical analytical narrative.</w:t>
      </w:r>
    </w:p>
    <w:p w:rsidR="00000000" w:rsidDel="00000000" w:rsidP="00000000" w:rsidRDefault="00000000" w:rsidRPr="00000000" w14:paraId="00000264">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5">
      <w:pPr>
        <w:pStyle w:val="Heading2"/>
        <w:spacing w:after="240" w:before="240" w:lineRule="auto"/>
        <w:rPr>
          <w:b w:val="1"/>
          <w:bCs w:val="1"/>
        </w:rPr>
      </w:pPr>
      <w:bookmarkStart w:colFirst="0" w:colLast="0" w:name="_wnd051110y91" w:id="23"/>
      <w:bookmarkEnd w:id="23"/>
      <w:r w:rsidDel="00000000" w:rsidR="00000000" w:rsidRPr="00000000">
        <w:rPr>
          <w:rFonts w:ascii="Times New Roman" w:cs="Times New Roman" w:eastAsia="Times New Roman" w:hAnsi="Times New Roman"/>
          <w:b w:val="1"/>
          <w:bCs w:val="1"/>
          <w:rtl w:val="0"/>
        </w:rPr>
        <w:t xml:space="preserve">Future Plans and Use of Proceeds</w:t>
      </w:r>
      <w:r w:rsidDel="00000000" w:rsidR="00000000" w:rsidRPr="00000000">
        <w:rPr>
          <w:b w:val="1"/>
          <w:bCs w:val="1"/>
          <w:rtl w:val="0"/>
        </w:rPr>
        <w:br w:type="textWrapping"/>
      </w:r>
    </w:p>
    <w:p w:rsidR="00000000" w:rsidDel="00000000" w:rsidP="00000000" w:rsidRDefault="00000000" w:rsidRPr="00000000" w14:paraId="0000026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Purpose</w:t>
      </w:r>
      <w:r w:rsidDel="00000000" w:rsidR="00000000" w:rsidRPr="00000000">
        <w:rPr>
          <w:rFonts w:ascii="Times New Roman" w:cs="Times New Roman" w:eastAsia="Times New Roman" w:hAnsi="Times New Roman"/>
          <w:rtl w:val="0"/>
        </w:rPr>
        <w:br w:type="textWrapping"/>
        <w:t xml:space="preserve">This section explains how the net proceeds from the Global Offering will be applied and how such deployment supports the Company’s strategic development and operational priorities.</w:t>
      </w:r>
    </w:p>
    <w:p w:rsidR="00000000" w:rsidDel="00000000" w:rsidP="00000000" w:rsidRDefault="00000000" w:rsidRPr="00000000" w14:paraId="0000026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Format</w:t>
      </w:r>
      <w:r w:rsidDel="00000000" w:rsidR="00000000" w:rsidRPr="00000000">
        <w:rPr>
          <w:rFonts w:ascii="Times New Roman" w:cs="Times New Roman" w:eastAsia="Times New Roman" w:hAnsi="Times New Roman"/>
          <w:rtl w:val="0"/>
        </w:rPr>
        <w:br w:type="textWrapping"/>
        <w:t xml:space="preserve">The AI should present this section in a clear allocation-based structure, typically using bullet points or sub-headings for each use category. Percentages and/or indicative amounts should be provided for each use, and the language should be practical, specific, and consistent with disclosed strategy.</w:t>
      </w:r>
    </w:p>
    <w:p w:rsidR="00000000" w:rsidDel="00000000" w:rsidP="00000000" w:rsidRDefault="00000000" w:rsidRPr="00000000" w14:paraId="0000026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Strategic context</w:t>
      </w:r>
      <w:r w:rsidDel="00000000" w:rsidR="00000000" w:rsidRPr="00000000">
        <w:rPr>
          <w:rFonts w:ascii="Times New Roman" w:cs="Times New Roman" w:eastAsia="Times New Roman" w:hAnsi="Times New Roman"/>
          <w:rtl w:val="0"/>
        </w:rPr>
        <w:br w:type="textWrapping"/>
        <w:t xml:space="preserve">The AI should begin with a short strategic overview explaining the overall purpose of fundraising (e.g., business expansion, R&amp;D enhancement, capacity improvement, market penetration, international growth), ensuring alignment with the Company’s stated strategy elsewhere in the prospectus.</w:t>
      </w:r>
    </w:p>
    <w:p w:rsidR="00000000" w:rsidDel="00000000" w:rsidP="00000000" w:rsidRDefault="00000000" w:rsidRPr="00000000" w14:paraId="0000026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Net proceeds baseline</w:t>
      </w:r>
      <w:r w:rsidDel="00000000" w:rsidR="00000000" w:rsidRPr="00000000">
        <w:rPr>
          <w:rtl w:val="0"/>
        </w:rPr>
      </w:r>
    </w:p>
    <w:p w:rsidR="00000000" w:rsidDel="00000000" w:rsidP="00000000" w:rsidRDefault="00000000" w:rsidRPr="00000000" w14:paraId="0000026A">
      <w:pPr>
        <w:numPr>
          <w:ilvl w:val="0"/>
          <w:numId w:val="175"/>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AI should state the expected gross proceeds and net proceeds (after deducting underwriting commissions and estimated offering expenses), typically referencing an assumed offer price (often the mid-point of the indicative price range) if that is the standard drafting approach.</w:t>
      </w:r>
    </w:p>
    <w:p w:rsidR="00000000" w:rsidDel="00000000" w:rsidP="00000000" w:rsidRDefault="00000000" w:rsidRPr="00000000" w14:paraId="0000026B">
      <w:pPr>
        <w:numPr>
          <w:ilvl w:val="0"/>
          <w:numId w:val="175"/>
        </w:numPr>
        <w:spacing w:after="24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This provides a consistent base for the allocation percentages and enables investors to understand the scale of planned deployment.</w:t>
      </w:r>
    </w:p>
    <w:p w:rsidR="00000000" w:rsidDel="00000000" w:rsidP="00000000" w:rsidRDefault="00000000" w:rsidRPr="00000000" w14:paraId="0000026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Allocation categories and required specificity</w:t>
      </w:r>
    </w:p>
    <w:p w:rsidR="00000000" w:rsidDel="00000000" w:rsidP="00000000" w:rsidRDefault="00000000" w:rsidRPr="00000000" w14:paraId="0000026D">
      <w:pPr>
        <w:numPr>
          <w:ilvl w:val="0"/>
          <w:numId w:val="129"/>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AI should list each planned use of proceeds as a separate item, and for each item provide: the percentage (and/or indicative amount) allocated, the specific implementation plan, and any basic timing or priority cues if disclosed.</w:t>
      </w:r>
    </w:p>
    <w:p w:rsidR="00000000" w:rsidDel="00000000" w:rsidP="00000000" w:rsidRDefault="00000000" w:rsidRPr="00000000" w14:paraId="0000026E">
      <w:pPr>
        <w:numPr>
          <w:ilvl w:val="0"/>
          <w:numId w:val="129"/>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Common allocation items include expansion of sales channels or store network, product development and R&amp;D investment, capacity expansion and equipment purchases, strategic investments and acquisitions, marketing and international expansion, and general working capital.</w:t>
      </w:r>
    </w:p>
    <w:p w:rsidR="00000000" w:rsidDel="00000000" w:rsidP="00000000" w:rsidRDefault="00000000" w:rsidRPr="00000000" w14:paraId="0000026F">
      <w:pPr>
        <w:numPr>
          <w:ilvl w:val="0"/>
          <w:numId w:val="129"/>
        </w:numPr>
        <w:spacing w:after="24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Where the Company discloses concrete targets (e.g., number of stores to open, number of R&amp;D hires, facility buildout milestones), the AI should include those targets in a factual manner to enhance specificity and credibility.</w:t>
      </w:r>
    </w:p>
    <w:p w:rsidR="00000000" w:rsidDel="00000000" w:rsidP="00000000" w:rsidRDefault="00000000" w:rsidRPr="00000000" w14:paraId="0000027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Implementation priorities and sequencing</w:t>
      </w:r>
      <w:r w:rsidDel="00000000" w:rsidR="00000000" w:rsidRPr="00000000">
        <w:rPr>
          <w:rFonts w:ascii="Times New Roman" w:cs="Times New Roman" w:eastAsia="Times New Roman" w:hAnsi="Times New Roman"/>
          <w:rtl w:val="0"/>
        </w:rPr>
        <w:br w:type="textWrapping"/>
        <w:t xml:space="preserve">The AI may include short descriptions of execution sequencing (e.g., near-term vs. medium-term initiatives), ensuring each category is “actionable” rather than generic. The output should avoid vague statements that do not link to identifiable activities.</w:t>
      </w:r>
    </w:p>
    <w:p w:rsidR="00000000" w:rsidDel="00000000" w:rsidP="00000000" w:rsidRDefault="00000000" w:rsidRPr="00000000" w14:paraId="0000027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Adjustment mechanism for proceeds variance</w:t>
      </w:r>
      <w:r w:rsidDel="00000000" w:rsidR="00000000" w:rsidRPr="00000000">
        <w:rPr>
          <w:rtl w:val="0"/>
        </w:rPr>
      </w:r>
    </w:p>
    <w:p w:rsidR="00000000" w:rsidDel="00000000" w:rsidP="00000000" w:rsidRDefault="00000000" w:rsidRPr="00000000" w14:paraId="00000272">
      <w:pPr>
        <w:numPr>
          <w:ilvl w:val="0"/>
          <w:numId w:val="145"/>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AI should include a standard statement explaining how allocations may be adjusted if net proceeds are higher or lower than expected (e.g., due to pricing or exercise of the Over-allotment Option).</w:t>
      </w:r>
    </w:p>
    <w:p w:rsidR="00000000" w:rsidDel="00000000" w:rsidP="00000000" w:rsidRDefault="00000000" w:rsidRPr="00000000" w14:paraId="00000273">
      <w:pPr>
        <w:numPr>
          <w:ilvl w:val="0"/>
          <w:numId w:val="145"/>
        </w:numPr>
        <w:spacing w:after="24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disclosure should explain whether adjustments will be made proportionally or whether certain core priorities will be protected first, using cautious, governance-consistent language.</w:t>
      </w:r>
    </w:p>
    <w:p w:rsidR="00000000" w:rsidDel="00000000" w:rsidP="00000000" w:rsidRDefault="00000000" w:rsidRPr="00000000" w14:paraId="0000027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Closing consistency statement</w:t>
      </w:r>
      <w:r w:rsidDel="00000000" w:rsidR="00000000" w:rsidRPr="00000000">
        <w:rPr>
          <w:rFonts w:ascii="Times New Roman" w:cs="Times New Roman" w:eastAsia="Times New Roman" w:hAnsi="Times New Roman"/>
          <w:rtl w:val="0"/>
        </w:rPr>
        <w:br w:type="textWrapping"/>
        <w:t xml:space="preserve">The AI should conclude with a statement that the proposed uses of proceeds are consistent with the Company’s long-term strategy and are intended to strengthen growth and competitiveness, while avoiding promotional exaggeration.</w:t>
      </w:r>
    </w:p>
    <w:p w:rsidR="00000000" w:rsidDel="00000000" w:rsidP="00000000" w:rsidRDefault="00000000" w:rsidRPr="00000000" w14:paraId="0000027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Investor value</w:t>
      </w:r>
      <w:r w:rsidDel="00000000" w:rsidR="00000000" w:rsidRPr="00000000">
        <w:rPr>
          <w:rFonts w:ascii="Times New Roman" w:cs="Times New Roman" w:eastAsia="Times New Roman" w:hAnsi="Times New Roman"/>
          <w:rtl w:val="0"/>
        </w:rPr>
        <w:br w:type="textWrapping"/>
        <w:t xml:space="preserve">By linking fundraising amounts to specific deployment plans with clear allocation logic, this section enables investors to evaluate capital efficiency, strategic realism, and how the IPO proceeds translate into measurable business execution.</w:t>
      </w:r>
    </w:p>
    <w:p w:rsidR="00000000" w:rsidDel="00000000" w:rsidP="00000000" w:rsidRDefault="00000000" w:rsidRPr="00000000" w14:paraId="00000276">
      <w:pPr>
        <w:rPr>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7">
      <w:pPr>
        <w:pStyle w:val="Heading2"/>
        <w:spacing w:after="240" w:before="240" w:lineRule="auto"/>
        <w:rPr/>
      </w:pPr>
      <w:bookmarkStart w:colFirst="0" w:colLast="0" w:name="_mx2ucrekizd2" w:id="24"/>
      <w:bookmarkEnd w:id="24"/>
      <w:r w:rsidDel="00000000" w:rsidR="00000000" w:rsidRPr="00000000">
        <w:rPr>
          <w:rFonts w:ascii="Times New Roman" w:cs="Times New Roman" w:eastAsia="Times New Roman" w:hAnsi="Times New Roman"/>
          <w:b w:val="1"/>
          <w:bCs w:val="1"/>
          <w:rtl w:val="0"/>
        </w:rPr>
        <w:t xml:space="preserve">Underwriting</w:t>
      </w:r>
      <w:r w:rsidDel="00000000" w:rsidR="00000000" w:rsidRPr="00000000">
        <w:rPr>
          <w:rtl w:val="0"/>
        </w:rPr>
        <w:br w:type="textWrapping"/>
      </w:r>
    </w:p>
    <w:p w:rsidR="00000000" w:rsidDel="00000000" w:rsidP="00000000" w:rsidRDefault="00000000" w:rsidRPr="00000000" w14:paraId="0000027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Purpose</w:t>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27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section discloses the underwriting arrangements for the Global Offering, including participating underwriters, key underwriting terms, fees, conditions precedent, termination rights, and stabilisation-related provisions such as the over-allotment option.</w:t>
      </w:r>
    </w:p>
    <w:p w:rsidR="00000000" w:rsidDel="00000000" w:rsidP="00000000" w:rsidRDefault="00000000" w:rsidRPr="00000000" w14:paraId="0000027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Format</w:t>
      </w:r>
      <w:r w:rsidDel="00000000" w:rsidR="00000000" w:rsidRPr="00000000">
        <w:rPr>
          <w:rFonts w:ascii="Times New Roman" w:cs="Times New Roman" w:eastAsia="Times New Roman" w:hAnsi="Times New Roman"/>
          <w:rtl w:val="0"/>
        </w:rPr>
        <w:br w:type="textWrapping"/>
        <w:t xml:space="preserve">The AI should draft this section in formal legal and transactional language, using clear sub-headings and structured listing where appropriate. The emphasis should be on accuracy, completeness, and alignment with underwriting agreement terms.</w:t>
      </w:r>
    </w:p>
    <w:p w:rsidR="00000000" w:rsidDel="00000000" w:rsidP="00000000" w:rsidRDefault="00000000" w:rsidRPr="00000000" w14:paraId="0000027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Underwriters and roles</w:t>
      </w:r>
      <w:r w:rsidDel="00000000" w:rsidR="00000000" w:rsidRPr="00000000">
        <w:rPr>
          <w:rtl w:val="0"/>
        </w:rPr>
      </w:r>
    </w:p>
    <w:p w:rsidR="00000000" w:rsidDel="00000000" w:rsidP="00000000" w:rsidRDefault="00000000" w:rsidRPr="00000000" w14:paraId="0000027C">
      <w:pPr>
        <w:numPr>
          <w:ilvl w:val="0"/>
          <w:numId w:val="222"/>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AI should list the underwriters participating in the Global Offering and distinguish between Hong Kong underwriters and international underwriters where applicable.</w:t>
      </w:r>
    </w:p>
    <w:p w:rsidR="00000000" w:rsidDel="00000000" w:rsidP="00000000" w:rsidRDefault="00000000" w:rsidRPr="00000000" w14:paraId="0000027D">
      <w:pPr>
        <w:numPr>
          <w:ilvl w:val="0"/>
          <w:numId w:val="222"/>
        </w:numPr>
        <w:spacing w:after="24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output should identify transaction roles such as Joint Global Coordinators, Bookrunners, Lead Managers, and other named underwriting parties, presenting names exactly and consistently with the prospectus style.</w:t>
      </w:r>
    </w:p>
    <w:p w:rsidR="00000000" w:rsidDel="00000000" w:rsidP="00000000" w:rsidRDefault="00000000" w:rsidRPr="00000000" w14:paraId="0000027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Underwriting commitments and scope</w:t>
      </w:r>
      <w:r w:rsidDel="00000000" w:rsidR="00000000" w:rsidRPr="00000000">
        <w:rPr>
          <w:rtl w:val="0"/>
        </w:rPr>
      </w:r>
    </w:p>
    <w:p w:rsidR="00000000" w:rsidDel="00000000" w:rsidP="00000000" w:rsidRDefault="00000000" w:rsidRPr="00000000" w14:paraId="0000027F">
      <w:pPr>
        <w:numPr>
          <w:ilvl w:val="0"/>
          <w:numId w:val="197"/>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AI should state that the Hong Kong Offer Shares and International Offer Shares are fully underwritten, and describe the standard “several but not joint” underwriting obligation framework (i.e., underwriters commit to take up their proportionate share but are not jointly liable for others).</w:t>
      </w:r>
    </w:p>
    <w:p w:rsidR="00000000" w:rsidDel="00000000" w:rsidP="00000000" w:rsidRDefault="00000000" w:rsidRPr="00000000" w14:paraId="00000280">
      <w:pPr>
        <w:numPr>
          <w:ilvl w:val="0"/>
          <w:numId w:val="197"/>
        </w:numPr>
        <w:spacing w:after="24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wording should make clear that underwriting provides assurance that the offer shares will be subscribed for, subject to conditions and termination rights.</w:t>
      </w:r>
    </w:p>
    <w:p w:rsidR="00000000" w:rsidDel="00000000" w:rsidP="00000000" w:rsidRDefault="00000000" w:rsidRPr="00000000" w14:paraId="0000028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Pricing agreement mechanics</w:t>
      </w:r>
      <w:r w:rsidDel="00000000" w:rsidR="00000000" w:rsidRPr="00000000">
        <w:rPr>
          <w:rFonts w:ascii="Times New Roman" w:cs="Times New Roman" w:eastAsia="Times New Roman" w:hAnsi="Times New Roman"/>
          <w:rtl w:val="0"/>
        </w:rPr>
        <w:br w:type="textWrapping"/>
        <w:t xml:space="preserve">The AI should describe that the final offer price is to be agreed between the Company and the Joint Global Coordinators (on behalf of the underwriters) on the pricing date, typically following bookbuilding.</w:t>
        <w:br w:type="textWrapping"/>
        <w:t xml:space="preserve">It should include a standard statement that if the parties fail to reach agreement on pricing, the Global Offering will not proceed, using precise and formal wording.</w:t>
      </w:r>
    </w:p>
    <w:p w:rsidR="00000000" w:rsidDel="00000000" w:rsidP="00000000" w:rsidRDefault="00000000" w:rsidRPr="00000000" w14:paraId="0000028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Underwriting commissions and expenses</w:t>
      </w:r>
      <w:r w:rsidDel="00000000" w:rsidR="00000000" w:rsidRPr="00000000">
        <w:rPr>
          <w:rtl w:val="0"/>
        </w:rPr>
      </w:r>
    </w:p>
    <w:p w:rsidR="00000000" w:rsidDel="00000000" w:rsidP="00000000" w:rsidRDefault="00000000" w:rsidRPr="00000000" w14:paraId="00000283">
      <w:pPr>
        <w:numPr>
          <w:ilvl w:val="0"/>
          <w:numId w:val="127"/>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AI should disclose underwriting commission rates and how offering-related expenses are borne, using the usual prospectus-level disclosure approach (commission percentage, description of reimbursable expenses, and any other disclosed fees).</w:t>
      </w:r>
    </w:p>
    <w:p w:rsidR="00000000" w:rsidDel="00000000" w:rsidP="00000000" w:rsidRDefault="00000000" w:rsidRPr="00000000" w14:paraId="00000284">
      <w:pPr>
        <w:numPr>
          <w:ilvl w:val="0"/>
          <w:numId w:val="127"/>
        </w:numPr>
        <w:spacing w:after="24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AI should not fabricate numbers; it should leave placeholders if the exact commission rate is not provided in input data, but must preserve the structure requiring such disclosure.</w:t>
      </w:r>
    </w:p>
    <w:p w:rsidR="00000000" w:rsidDel="00000000" w:rsidP="00000000" w:rsidRDefault="00000000" w:rsidRPr="00000000" w14:paraId="00000285">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Lock-up arrangements</w:t>
      </w:r>
    </w:p>
    <w:p w:rsidR="00000000" w:rsidDel="00000000" w:rsidP="00000000" w:rsidRDefault="00000000" w:rsidRPr="00000000" w14:paraId="00000286">
      <w:pPr>
        <w:numPr>
          <w:ilvl w:val="0"/>
          <w:numId w:val="96"/>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AI should describe lock-up undertakings given by the Company and relevant shareholders (often controlling shareholders), stating lock-up period length and the scope of restricted disposals or issuances, and clarifying that waiver requires prior written consent of the underwriters where applicable.</w:t>
      </w:r>
    </w:p>
    <w:p w:rsidR="00000000" w:rsidDel="00000000" w:rsidP="00000000" w:rsidRDefault="00000000" w:rsidRPr="00000000" w14:paraId="00000287">
      <w:pPr>
        <w:numPr>
          <w:ilvl w:val="0"/>
          <w:numId w:val="96"/>
        </w:numPr>
        <w:spacing w:after="24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output must remain consistent with underwriting agreement terms and must not generalize beyond disclosed commitments.</w:t>
      </w:r>
    </w:p>
    <w:p w:rsidR="00000000" w:rsidDel="00000000" w:rsidP="00000000" w:rsidRDefault="00000000" w:rsidRPr="00000000" w14:paraId="0000028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Conditions precedent</w:t>
      </w:r>
      <w:r w:rsidDel="00000000" w:rsidR="00000000" w:rsidRPr="00000000">
        <w:rPr>
          <w:rtl w:val="0"/>
        </w:rPr>
      </w:r>
    </w:p>
    <w:p w:rsidR="00000000" w:rsidDel="00000000" w:rsidP="00000000" w:rsidRDefault="00000000" w:rsidRPr="00000000" w14:paraId="00000289">
      <w:pPr>
        <w:numPr>
          <w:ilvl w:val="0"/>
          <w:numId w:val="32"/>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AI should list key conditions precedent to the underwriting agreements becoming unconditional, such as Listing approval, execution of the pricing agreement, completion of requisite filings, and satisfaction of other customary conditions.</w:t>
      </w:r>
    </w:p>
    <w:p w:rsidR="00000000" w:rsidDel="00000000" w:rsidP="00000000" w:rsidRDefault="00000000" w:rsidRPr="00000000" w14:paraId="0000028A">
      <w:pPr>
        <w:numPr>
          <w:ilvl w:val="0"/>
          <w:numId w:val="32"/>
        </w:numPr>
        <w:spacing w:after="24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writing should convey that completion is conditional and that failure of conditions can lead to non-completion of the offering.</w:t>
      </w:r>
    </w:p>
    <w:p w:rsidR="00000000" w:rsidDel="00000000" w:rsidP="00000000" w:rsidRDefault="00000000" w:rsidRPr="00000000" w14:paraId="0000028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Termination rights</w:t>
      </w:r>
      <w:r w:rsidDel="00000000" w:rsidR="00000000" w:rsidRPr="00000000">
        <w:rPr>
          <w:rtl w:val="0"/>
        </w:rPr>
      </w:r>
    </w:p>
    <w:p w:rsidR="00000000" w:rsidDel="00000000" w:rsidP="00000000" w:rsidRDefault="00000000" w:rsidRPr="00000000" w14:paraId="0000028C">
      <w:pPr>
        <w:numPr>
          <w:ilvl w:val="0"/>
          <w:numId w:val="122"/>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AI should describe the principal termination triggers allowing underwriters to terminate, typically including material adverse change, breach of representations or undertakings, major market disruption, or other specified events.</w:t>
      </w:r>
    </w:p>
    <w:p w:rsidR="00000000" w:rsidDel="00000000" w:rsidP="00000000" w:rsidRDefault="00000000" w:rsidRPr="00000000" w14:paraId="0000028D">
      <w:pPr>
        <w:numPr>
          <w:ilvl w:val="0"/>
          <w:numId w:val="122"/>
        </w:numPr>
        <w:spacing w:after="24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AI should present termination triggers as clear bullet points or sub-paragraphs to improve readability, while maintaining legal precision.</w:t>
      </w:r>
    </w:p>
    <w:p w:rsidR="00000000" w:rsidDel="00000000" w:rsidP="00000000" w:rsidRDefault="00000000" w:rsidRPr="00000000" w14:paraId="0000028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Over-allotment option and stabilisation</w:t>
      </w:r>
      <w:r w:rsidDel="00000000" w:rsidR="00000000" w:rsidRPr="00000000">
        <w:rPr>
          <w:rFonts w:ascii="Times New Roman" w:cs="Times New Roman" w:eastAsia="Times New Roman" w:hAnsi="Times New Roman"/>
          <w:rtl w:val="0"/>
        </w:rPr>
        <w:br w:type="textWrapping"/>
        <w:t xml:space="preserve">If applicable, the AI should describe the over-allotment option (greenshoe), including the maximum additional shares (typically up to 15% of the initial offering size), the exercise period (often 30 days from listing), and the exercising party (often Joint Global Coordinators on behalf of international underwriters).</w:t>
        <w:br w:type="textWrapping"/>
        <w:t xml:space="preserve">The output should explain that this option is used for over-allocation cover and stabilisation purposes and may affect post-offering share capital and allocation.</w:t>
      </w:r>
    </w:p>
    <w:p w:rsidR="00000000" w:rsidDel="00000000" w:rsidP="00000000" w:rsidRDefault="00000000" w:rsidRPr="00000000" w14:paraId="0000028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Other key provisions</w:t>
      </w:r>
      <w:r w:rsidDel="00000000" w:rsidR="00000000" w:rsidRPr="00000000">
        <w:rPr>
          <w:rFonts w:ascii="Times New Roman" w:cs="Times New Roman" w:eastAsia="Times New Roman" w:hAnsi="Times New Roman"/>
          <w:rtl w:val="0"/>
        </w:rPr>
        <w:br w:type="textWrapping"/>
        <w:t xml:space="preserve">Where relevant, the AI may mention customary indemnities, representations, and independence-related confirmations in brief, ensuring the section remains disclosure-focused rather than contractual reproduction.</w:t>
      </w:r>
    </w:p>
    <w:p w:rsidR="00000000" w:rsidDel="00000000" w:rsidP="00000000" w:rsidRDefault="00000000" w:rsidRPr="00000000" w14:paraId="0000029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Investor value</w:t>
      </w:r>
      <w:r w:rsidDel="00000000" w:rsidR="00000000" w:rsidRPr="00000000">
        <w:rPr>
          <w:rFonts w:ascii="Times New Roman" w:cs="Times New Roman" w:eastAsia="Times New Roman" w:hAnsi="Times New Roman"/>
          <w:rtl w:val="0"/>
        </w:rPr>
        <w:br w:type="textWrapping"/>
        <w:t xml:space="preserve">This section provides investors with transparency on the transactional protections, completion conditions, fees, and potential post-offering stabilisation mechanisms, allowing investors to understand offering execution risk and related constraints.</w:t>
      </w:r>
    </w:p>
    <w:p w:rsidR="00000000" w:rsidDel="00000000" w:rsidP="00000000" w:rsidRDefault="00000000" w:rsidRPr="00000000" w14:paraId="00000291">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2">
      <w:pPr>
        <w:pStyle w:val="Heading2"/>
        <w:spacing w:after="240" w:before="240" w:lineRule="auto"/>
        <w:rPr/>
      </w:pPr>
      <w:bookmarkStart w:colFirst="0" w:colLast="0" w:name="_1tlugmhqpwbt" w:id="25"/>
      <w:bookmarkEnd w:id="25"/>
      <w:r w:rsidDel="00000000" w:rsidR="00000000" w:rsidRPr="00000000">
        <w:rPr>
          <w:rFonts w:ascii="Times New Roman" w:cs="Times New Roman" w:eastAsia="Times New Roman" w:hAnsi="Times New Roman"/>
          <w:b w:val="1"/>
          <w:bCs w:val="1"/>
          <w:rtl w:val="0"/>
        </w:rPr>
        <w:t xml:space="preserve">Structure of the Global Offering</w:t>
      </w:r>
      <w:r w:rsidDel="00000000" w:rsidR="00000000" w:rsidRPr="00000000">
        <w:rPr>
          <w:rtl w:val="0"/>
        </w:rPr>
        <w:br w:type="textWrapping"/>
      </w:r>
    </w:p>
    <w:p w:rsidR="00000000" w:rsidDel="00000000" w:rsidP="00000000" w:rsidRDefault="00000000" w:rsidRPr="00000000" w14:paraId="0000029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Purpose</w:t>
      </w:r>
      <w:r w:rsidDel="00000000" w:rsidR="00000000" w:rsidRPr="00000000">
        <w:rPr>
          <w:rFonts w:ascii="Times New Roman" w:cs="Times New Roman" w:eastAsia="Times New Roman" w:hAnsi="Times New Roman"/>
          <w:rtl w:val="0"/>
        </w:rPr>
        <w:br w:type="textWrapping"/>
        <w:t xml:space="preserve">This section explains the overall structure, allocation mechanics, pricing process, reallocation (clawback) arrangements, investor categories, and listing/trading logistics of the Global Offering.</w:t>
      </w:r>
    </w:p>
    <w:p w:rsidR="00000000" w:rsidDel="00000000" w:rsidP="00000000" w:rsidRDefault="00000000" w:rsidRPr="00000000" w14:paraId="0000029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Format</w:t>
      </w:r>
      <w:r w:rsidDel="00000000" w:rsidR="00000000" w:rsidRPr="00000000">
        <w:rPr>
          <w:rFonts w:ascii="Times New Roman" w:cs="Times New Roman" w:eastAsia="Times New Roman" w:hAnsi="Times New Roman"/>
          <w:rtl w:val="0"/>
        </w:rPr>
        <w:br w:type="textWrapping"/>
        <w:t xml:space="preserve">The AI should present the structure in a logical sequence from overall offering size to tranche allocation, then pricing and conditions, and finally allocation results and settlement arrangements. The writing should be clear and explanatory, but remain formal and precise.</w:t>
      </w:r>
    </w:p>
    <w:p w:rsidR="00000000" w:rsidDel="00000000" w:rsidP="00000000" w:rsidRDefault="00000000" w:rsidRPr="00000000" w14:paraId="0000029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Offering size and tranche split</w:t>
      </w:r>
      <w:r w:rsidDel="00000000" w:rsidR="00000000" w:rsidRPr="00000000">
        <w:rPr>
          <w:rtl w:val="0"/>
        </w:rPr>
      </w:r>
    </w:p>
    <w:p w:rsidR="00000000" w:rsidDel="00000000" w:rsidP="00000000" w:rsidRDefault="00000000" w:rsidRPr="00000000" w14:paraId="00000296">
      <w:pPr>
        <w:numPr>
          <w:ilvl w:val="0"/>
          <w:numId w:val="147"/>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AI should state the total number of shares offered under the Global Offering and the split between the Hong Kong Public Offering tranche and the International Placing tranche.</w:t>
      </w:r>
    </w:p>
    <w:p w:rsidR="00000000" w:rsidDel="00000000" w:rsidP="00000000" w:rsidRDefault="00000000" w:rsidRPr="00000000" w14:paraId="00000297">
      <w:pPr>
        <w:numPr>
          <w:ilvl w:val="0"/>
          <w:numId w:val="147"/>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output should provide initial allocation percentages and corresponding share numbers, and should clearly state any assumptions (e.g., assuming the Over-allotment Option is not exercised).</w:t>
      </w:r>
    </w:p>
    <w:p w:rsidR="00000000" w:rsidDel="00000000" w:rsidP="00000000" w:rsidRDefault="00000000" w:rsidRPr="00000000" w14:paraId="00000298">
      <w:pPr>
        <w:numPr>
          <w:ilvl w:val="0"/>
          <w:numId w:val="147"/>
        </w:numPr>
        <w:spacing w:after="24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If there are reserved shares (e.g., employee or preferential allocation), the AI should include them and specify how they fit into the overall structure.</w:t>
      </w:r>
    </w:p>
    <w:p w:rsidR="00000000" w:rsidDel="00000000" w:rsidP="00000000" w:rsidRDefault="00000000" w:rsidRPr="00000000" w14:paraId="0000029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Hong Kong Public Offering tranche mechanics</w:t>
      </w:r>
      <w:r w:rsidDel="00000000" w:rsidR="00000000" w:rsidRPr="00000000">
        <w:rPr>
          <w:rtl w:val="0"/>
        </w:rPr>
      </w:r>
    </w:p>
    <w:p w:rsidR="00000000" w:rsidDel="00000000" w:rsidP="00000000" w:rsidRDefault="00000000" w:rsidRPr="00000000" w14:paraId="0000029A">
      <w:pPr>
        <w:numPr>
          <w:ilvl w:val="0"/>
          <w:numId w:val="10"/>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AI should describe the target investor group (Hong Kong public investors) and application rules, including one application per applicant and board lot requirements (application must be in multiples of board lots).</w:t>
      </w:r>
    </w:p>
    <w:p w:rsidR="00000000" w:rsidDel="00000000" w:rsidP="00000000" w:rsidRDefault="00000000" w:rsidRPr="00000000" w14:paraId="0000029B">
      <w:pPr>
        <w:numPr>
          <w:ilvl w:val="0"/>
          <w:numId w:val="10"/>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AI should describe the clawback/reallocation mechanism and present the reallocation thresholds and resulting tranche percentage adjustments in a clear and rule-consistent manner.</w:t>
      </w:r>
    </w:p>
    <w:p w:rsidR="00000000" w:rsidDel="00000000" w:rsidP="00000000" w:rsidRDefault="00000000" w:rsidRPr="00000000" w14:paraId="0000029C">
      <w:pPr>
        <w:numPr>
          <w:ilvl w:val="0"/>
          <w:numId w:val="10"/>
        </w:numPr>
        <w:spacing w:after="24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AI should ensure the clawback structure is described in a precise tiered format (e.g., subscription multiples thresholds and the corresponding reallocation outcomes).</w:t>
      </w:r>
    </w:p>
    <w:p w:rsidR="00000000" w:rsidDel="00000000" w:rsidP="00000000" w:rsidRDefault="00000000" w:rsidRPr="00000000" w14:paraId="0000029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International Placing tranche mechanics</w:t>
      </w:r>
      <w:r w:rsidDel="00000000" w:rsidR="00000000" w:rsidRPr="00000000">
        <w:rPr>
          <w:rtl w:val="0"/>
        </w:rPr>
      </w:r>
    </w:p>
    <w:p w:rsidR="00000000" w:rsidDel="00000000" w:rsidP="00000000" w:rsidRDefault="00000000" w:rsidRPr="00000000" w14:paraId="0000029E">
      <w:pPr>
        <w:numPr>
          <w:ilvl w:val="0"/>
          <w:numId w:val="156"/>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AI should describe that the International Placing tranche is allocated to professional, institutional, and other international investors, and that allocation is determined through bookbuilding and underwriter allocation decisions.</w:t>
      </w:r>
    </w:p>
    <w:p w:rsidR="00000000" w:rsidDel="00000000" w:rsidP="00000000" w:rsidRDefault="00000000" w:rsidRPr="00000000" w14:paraId="0000029F">
      <w:pPr>
        <w:numPr>
          <w:ilvl w:val="0"/>
          <w:numId w:val="156"/>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AI should explain how the International Placing tranche size will adjust downward if clawback increases the Hong Kong tranche.</w:t>
      </w:r>
    </w:p>
    <w:p w:rsidR="00000000" w:rsidDel="00000000" w:rsidP="00000000" w:rsidRDefault="00000000" w:rsidRPr="00000000" w14:paraId="000002A0">
      <w:pPr>
        <w:numPr>
          <w:ilvl w:val="0"/>
          <w:numId w:val="156"/>
        </w:numPr>
        <w:spacing w:after="24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If cornerstone investors exist, the AI should state that cornerstone subscriptions form part of the International Placing and disclose cornerstone share quantities and lock-up restrictions (commonly six months), using prospectus-style language.</w:t>
      </w:r>
    </w:p>
    <w:p w:rsidR="00000000" w:rsidDel="00000000" w:rsidP="00000000" w:rsidRDefault="00000000" w:rsidRPr="00000000" w14:paraId="000002A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Pricing mechanism and price determination</w:t>
      </w:r>
      <w:r w:rsidDel="00000000" w:rsidR="00000000" w:rsidRPr="00000000">
        <w:rPr>
          <w:rtl w:val="0"/>
        </w:rPr>
      </w:r>
    </w:p>
    <w:p w:rsidR="00000000" w:rsidDel="00000000" w:rsidP="00000000" w:rsidRDefault="00000000" w:rsidRPr="00000000" w14:paraId="000002A2">
      <w:pPr>
        <w:numPr>
          <w:ilvl w:val="0"/>
          <w:numId w:val="179"/>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AI should explain that the final offer price is determined within the indicated offer price range, typically based on bookbuilding results and agreement between the Company and Joint Global Coordinators.</w:t>
      </w:r>
    </w:p>
    <w:p w:rsidR="00000000" w:rsidDel="00000000" w:rsidP="00000000" w:rsidRDefault="00000000" w:rsidRPr="00000000" w14:paraId="000002A3">
      <w:pPr>
        <w:numPr>
          <w:ilvl w:val="0"/>
          <w:numId w:val="179"/>
        </w:numPr>
        <w:spacing w:after="24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output should emphasize that all investors in both tranches pay the same final offer price and should include timing references for the pricing date and announcement of results where the prospectus framework requires it.</w:t>
      </w:r>
    </w:p>
    <w:p w:rsidR="00000000" w:rsidDel="00000000" w:rsidP="00000000" w:rsidRDefault="00000000" w:rsidRPr="00000000" w14:paraId="000002A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Conditions for completion and refund logic</w:t>
      </w:r>
      <w:r w:rsidDel="00000000" w:rsidR="00000000" w:rsidRPr="00000000">
        <w:rPr>
          <w:rtl w:val="0"/>
        </w:rPr>
      </w:r>
    </w:p>
    <w:p w:rsidR="00000000" w:rsidDel="00000000" w:rsidP="00000000" w:rsidRDefault="00000000" w:rsidRPr="00000000" w14:paraId="000002A5">
      <w:pPr>
        <w:numPr>
          <w:ilvl w:val="0"/>
          <w:numId w:val="199"/>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AI should list key offering conditions, including sufficient subscription under the Hong Kong tranche, non-termination of underwriting, and listing approval.</w:t>
      </w:r>
    </w:p>
    <w:p w:rsidR="00000000" w:rsidDel="00000000" w:rsidP="00000000" w:rsidRDefault="00000000" w:rsidRPr="00000000" w14:paraId="000002A6">
      <w:pPr>
        <w:numPr>
          <w:ilvl w:val="0"/>
          <w:numId w:val="199"/>
        </w:numPr>
        <w:spacing w:after="24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AI should state that if conditions are not satisfied, the Global Offering will not proceed and application monies will be refunded, using standard formal phrasing.</w:t>
      </w:r>
    </w:p>
    <w:p w:rsidR="00000000" w:rsidDel="00000000" w:rsidP="00000000" w:rsidRDefault="00000000" w:rsidRPr="00000000" w14:paraId="000002A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Impact of over-allotment option on structure</w:t>
      </w:r>
      <w:r w:rsidDel="00000000" w:rsidR="00000000" w:rsidRPr="00000000">
        <w:rPr>
          <w:rtl w:val="0"/>
        </w:rPr>
      </w:r>
    </w:p>
    <w:p w:rsidR="00000000" w:rsidDel="00000000" w:rsidP="00000000" w:rsidRDefault="00000000" w:rsidRPr="00000000" w14:paraId="000002A8">
      <w:pPr>
        <w:numPr>
          <w:ilvl w:val="0"/>
          <w:numId w:val="224"/>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AI should explain how exercise of the over-allotment option may increase the total number of shares in issue and may affect final allocation and share capital.</w:t>
      </w:r>
    </w:p>
    <w:p w:rsidR="00000000" w:rsidDel="00000000" w:rsidP="00000000" w:rsidRDefault="00000000" w:rsidRPr="00000000" w14:paraId="000002A9">
      <w:pPr>
        <w:numPr>
          <w:ilvl w:val="0"/>
          <w:numId w:val="224"/>
        </w:numPr>
        <w:spacing w:after="24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disclosure should state that the Company will announce whether the option is exercised and that post-offering share capital figures may change accordingly.</w:t>
      </w:r>
    </w:p>
    <w:p w:rsidR="00000000" w:rsidDel="00000000" w:rsidP="00000000" w:rsidRDefault="00000000" w:rsidRPr="00000000" w14:paraId="000002A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Allocation basis and publication of results</w:t>
      </w:r>
      <w:r w:rsidDel="00000000" w:rsidR="00000000" w:rsidRPr="00000000">
        <w:rPr>
          <w:rtl w:val="0"/>
        </w:rPr>
      </w:r>
    </w:p>
    <w:p w:rsidR="00000000" w:rsidDel="00000000" w:rsidP="00000000" w:rsidRDefault="00000000" w:rsidRPr="00000000" w14:paraId="000002AB">
      <w:pPr>
        <w:numPr>
          <w:ilvl w:val="0"/>
          <w:numId w:val="162"/>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AI should explain that Hong Kong Public Offering allocations are typically determined by ballot/draw if oversubscribed, and results are published through specified channels, while International Placing allocations are determined by underwriters based on bookbuilding allocation principles.</w:t>
      </w:r>
    </w:p>
    <w:p w:rsidR="00000000" w:rsidDel="00000000" w:rsidP="00000000" w:rsidRDefault="00000000" w:rsidRPr="00000000" w14:paraId="000002AC">
      <w:pPr>
        <w:numPr>
          <w:ilvl w:val="0"/>
          <w:numId w:val="162"/>
        </w:numPr>
        <w:spacing w:after="24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AI should emphasize fairness and compliance with public float requirements, referencing standard minimum public float expectations where the prospectus framework includes such statements.</w:t>
      </w:r>
    </w:p>
    <w:p w:rsidR="00000000" w:rsidDel="00000000" w:rsidP="00000000" w:rsidRDefault="00000000" w:rsidRPr="00000000" w14:paraId="000002A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Listing, trading, and settlement arrangements</w:t>
      </w:r>
      <w:r w:rsidDel="00000000" w:rsidR="00000000" w:rsidRPr="00000000">
        <w:rPr>
          <w:rtl w:val="0"/>
        </w:rPr>
      </w:r>
    </w:p>
    <w:p w:rsidR="00000000" w:rsidDel="00000000" w:rsidP="00000000" w:rsidRDefault="00000000" w:rsidRPr="00000000" w14:paraId="000002AE">
      <w:pPr>
        <w:numPr>
          <w:ilvl w:val="0"/>
          <w:numId w:val="103"/>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AI should provide listing and trading details such as expected listing date, stock code, board lot size, and settlement method.</w:t>
      </w:r>
    </w:p>
    <w:p w:rsidR="00000000" w:rsidDel="00000000" w:rsidP="00000000" w:rsidRDefault="00000000" w:rsidRPr="00000000" w14:paraId="000002AF">
      <w:pPr>
        <w:numPr>
          <w:ilvl w:val="0"/>
          <w:numId w:val="103"/>
        </w:numPr>
        <w:spacing w:after="24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output should mention that shares will be admitted into CCASS and will settle through CCASS arrangements, and should clarify whether physical share certificates are issued or whether settlement is primarily electronic, consistent with the offering structure.</w:t>
      </w:r>
    </w:p>
    <w:p w:rsidR="00000000" w:rsidDel="00000000" w:rsidP="00000000" w:rsidRDefault="00000000" w:rsidRPr="00000000" w14:paraId="000002B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Investor value</w:t>
      </w:r>
      <w:r w:rsidDel="00000000" w:rsidR="00000000" w:rsidRPr="00000000">
        <w:rPr>
          <w:rFonts w:ascii="Times New Roman" w:cs="Times New Roman" w:eastAsia="Times New Roman" w:hAnsi="Times New Roman"/>
          <w:rtl w:val="0"/>
        </w:rPr>
        <w:br w:type="textWrapping"/>
        <w:t xml:space="preserve">By explaining tranche structure, pricing logic, clawback mechanics, allocation process, and settlement arrangements in an accessible but precise way, this section enables investors to understand how the offering works and what determines their chance of allocation and trading readiness post-listing.</w:t>
      </w:r>
    </w:p>
    <w:p w:rsidR="00000000" w:rsidDel="00000000" w:rsidP="00000000" w:rsidRDefault="00000000" w:rsidRPr="00000000" w14:paraId="000002B1">
      <w:pPr>
        <w:rPr>
          <w:rFonts w:ascii="Times New Roman" w:cs="Times New Roman" w:eastAsia="Times New Roman" w:hAnsi="Times New Roman"/>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2">
      <w:pPr>
        <w:pStyle w:val="Heading2"/>
        <w:spacing w:after="240" w:before="240" w:lineRule="auto"/>
        <w:rPr>
          <w:rFonts w:ascii="Times New Roman" w:cs="Times New Roman" w:eastAsia="Times New Roman" w:hAnsi="Times New Roman"/>
        </w:rPr>
      </w:pPr>
      <w:bookmarkStart w:colFirst="0" w:colLast="0" w:name="_d5o1mx9wqn5i" w:id="26"/>
      <w:bookmarkEnd w:id="26"/>
      <w:r w:rsidDel="00000000" w:rsidR="00000000" w:rsidRPr="00000000">
        <w:rPr>
          <w:rFonts w:ascii="Times New Roman" w:cs="Times New Roman" w:eastAsia="Times New Roman" w:hAnsi="Times New Roman"/>
          <w:b w:val="1"/>
          <w:bCs w:val="1"/>
          <w:rtl w:val="0"/>
        </w:rPr>
        <w:t xml:space="preserve">How to Apply for Hong Kong Offer Shares</w:t>
      </w:r>
      <w:r w:rsidDel="00000000" w:rsidR="00000000" w:rsidRPr="00000000">
        <w:rPr>
          <w:rFonts w:ascii="Times New Roman" w:cs="Times New Roman" w:eastAsia="Times New Roman" w:hAnsi="Times New Roman"/>
          <w:rtl w:val="0"/>
        </w:rPr>
        <w:br w:type="textWrapping"/>
      </w:r>
    </w:p>
    <w:p w:rsidR="00000000" w:rsidDel="00000000" w:rsidP="00000000" w:rsidRDefault="00000000" w:rsidRPr="00000000" w14:paraId="000002B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Purpose</w:t>
      </w:r>
      <w:r w:rsidDel="00000000" w:rsidR="00000000" w:rsidRPr="00000000">
        <w:rPr>
          <w:rFonts w:ascii="Times New Roman" w:cs="Times New Roman" w:eastAsia="Times New Roman" w:hAnsi="Times New Roman"/>
          <w:rtl w:val="0"/>
        </w:rPr>
        <w:br w:type="textWrapping"/>
        <w:t xml:space="preserve">This section provides procedural guidance to investors who wish to apply for Hong Kong Offer Shares in the Hong Kong Public Offering, including eligibility, application channels, payment requirements, timelines, and post-application arrangements.</w:t>
      </w:r>
    </w:p>
    <w:p w:rsidR="00000000" w:rsidDel="00000000" w:rsidP="00000000" w:rsidRDefault="00000000" w:rsidRPr="00000000" w14:paraId="000002B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Format</w:t>
      </w:r>
      <w:r w:rsidDel="00000000" w:rsidR="00000000" w:rsidRPr="00000000">
        <w:rPr>
          <w:rFonts w:ascii="Times New Roman" w:cs="Times New Roman" w:eastAsia="Times New Roman" w:hAnsi="Times New Roman"/>
          <w:rtl w:val="0"/>
        </w:rPr>
        <w:br w:type="textWrapping"/>
        <w:t xml:space="preserve">The AI should draft this section as step-by-step procedural instructions with clear sub-headings and numbered steps where appropriate. The language must be direct, operational, and compliance-consistent, ensuring investors can follow the process correctly without ambiguity.</w:t>
      </w:r>
    </w:p>
    <w:p w:rsidR="00000000" w:rsidDel="00000000" w:rsidP="00000000" w:rsidRDefault="00000000" w:rsidRPr="00000000" w14:paraId="000002B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Eligibility and basic rules</w:t>
      </w:r>
      <w:r w:rsidDel="00000000" w:rsidR="00000000" w:rsidRPr="00000000">
        <w:rPr>
          <w:rtl w:val="0"/>
        </w:rPr>
      </w:r>
    </w:p>
    <w:p w:rsidR="00000000" w:rsidDel="00000000" w:rsidP="00000000" w:rsidRDefault="00000000" w:rsidRPr="00000000" w14:paraId="000002B6">
      <w:pPr>
        <w:numPr>
          <w:ilvl w:val="0"/>
          <w:numId w:val="39"/>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AI should state who is eligible to apply and the basic application restrictions, including the “one application per applicant” rule and prohibitions on multiple or duplicate applications.</w:t>
      </w:r>
    </w:p>
    <w:p w:rsidR="00000000" w:rsidDel="00000000" w:rsidP="00000000" w:rsidRDefault="00000000" w:rsidRPr="00000000" w14:paraId="000002B7">
      <w:pPr>
        <w:numPr>
          <w:ilvl w:val="0"/>
          <w:numId w:val="39"/>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output should clarify that invalid, duplicate, or ineligible applications may be rejected, and should include the common rule that an applicant and joint applicants together may submit only one application.</w:t>
      </w:r>
    </w:p>
    <w:p w:rsidR="00000000" w:rsidDel="00000000" w:rsidP="00000000" w:rsidRDefault="00000000" w:rsidRPr="00000000" w14:paraId="000002B8">
      <w:pPr>
        <w:numPr>
          <w:ilvl w:val="0"/>
          <w:numId w:val="39"/>
        </w:numPr>
        <w:spacing w:after="24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Where age or identification requirements are part of the standard offering documentation, the AI should state them clearly and neutrally as eligibility conditions.</w:t>
      </w:r>
    </w:p>
    <w:p w:rsidR="00000000" w:rsidDel="00000000" w:rsidP="00000000" w:rsidRDefault="00000000" w:rsidRPr="00000000" w14:paraId="000002B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Application channels overview</w:t>
      </w:r>
      <w:r w:rsidDel="00000000" w:rsidR="00000000" w:rsidRPr="00000000">
        <w:rPr>
          <w:rtl w:val="0"/>
        </w:rPr>
      </w:r>
    </w:p>
    <w:p w:rsidR="00000000" w:rsidDel="00000000" w:rsidP="00000000" w:rsidRDefault="00000000" w:rsidRPr="00000000" w14:paraId="000002BA">
      <w:pPr>
        <w:numPr>
          <w:ilvl w:val="0"/>
          <w:numId w:val="48"/>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AI should describe the permitted application methods and make clear that applicants should choose only one channel.</w:t>
      </w:r>
    </w:p>
    <w:p w:rsidR="00000000" w:rsidDel="00000000" w:rsidP="00000000" w:rsidRDefault="00000000" w:rsidRPr="00000000" w14:paraId="000002BB">
      <w:pPr>
        <w:numPr>
          <w:ilvl w:val="0"/>
          <w:numId w:val="48"/>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Typical channels include White Form eIPO online application, CCASS (Yellow Form) application through CCASS participants or investor participant accounts, and paper application forms if applicable.</w:t>
      </w:r>
    </w:p>
    <w:p w:rsidR="00000000" w:rsidDel="00000000" w:rsidP="00000000" w:rsidRDefault="00000000" w:rsidRPr="00000000" w14:paraId="000002BC">
      <w:pPr>
        <w:numPr>
          <w:ilvl w:val="0"/>
          <w:numId w:val="48"/>
        </w:numPr>
        <w:spacing w:after="24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output should clearly separate each channel and explain that using more than one channel may constitute multiple applications and may lead to rejection.</w:t>
      </w:r>
    </w:p>
    <w:p w:rsidR="00000000" w:rsidDel="00000000" w:rsidP="00000000" w:rsidRDefault="00000000" w:rsidRPr="00000000" w14:paraId="000002B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White Form eIPO application steps</w:t>
      </w:r>
      <w:r w:rsidDel="00000000" w:rsidR="00000000" w:rsidRPr="00000000">
        <w:rPr>
          <w:rtl w:val="0"/>
        </w:rPr>
      </w:r>
    </w:p>
    <w:p w:rsidR="00000000" w:rsidDel="00000000" w:rsidP="00000000" w:rsidRDefault="00000000" w:rsidRPr="00000000" w14:paraId="000002BE">
      <w:pPr>
        <w:numPr>
          <w:ilvl w:val="0"/>
          <w:numId w:val="174"/>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AI should provide step-by-step guidance for White Form eIPO applications, including accessing the designated platform, entering personal details, selecting board lot multiples, arranging payment, and obtaining an application reference number.</w:t>
      </w:r>
    </w:p>
    <w:p w:rsidR="00000000" w:rsidDel="00000000" w:rsidP="00000000" w:rsidRDefault="00000000" w:rsidRPr="00000000" w14:paraId="000002BF">
      <w:pPr>
        <w:numPr>
          <w:ilvl w:val="0"/>
          <w:numId w:val="174"/>
        </w:numPr>
        <w:spacing w:after="24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AI should include the opening and closing times for online application windows where such time precision is required by the prospectus framework.</w:t>
      </w:r>
    </w:p>
    <w:p w:rsidR="00000000" w:rsidDel="00000000" w:rsidP="00000000" w:rsidRDefault="00000000" w:rsidRPr="00000000" w14:paraId="000002C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CCASS (Yellow Form) application procedures</w:t>
      </w:r>
      <w:r w:rsidDel="00000000" w:rsidR="00000000" w:rsidRPr="00000000">
        <w:rPr>
          <w:rtl w:val="0"/>
        </w:rPr>
      </w:r>
    </w:p>
    <w:p w:rsidR="00000000" w:rsidDel="00000000" w:rsidP="00000000" w:rsidRDefault="00000000" w:rsidRPr="00000000" w14:paraId="000002C1">
      <w:pPr>
        <w:numPr>
          <w:ilvl w:val="0"/>
          <w:numId w:val="210"/>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AI should explain CCASS application procedures in two common scenarios: applying through a broker or CCASS participant, and applying directly as a CCASS Investor Participant.</w:t>
      </w:r>
    </w:p>
    <w:p w:rsidR="00000000" w:rsidDel="00000000" w:rsidP="00000000" w:rsidRDefault="00000000" w:rsidRPr="00000000" w14:paraId="000002C2">
      <w:pPr>
        <w:numPr>
          <w:ilvl w:val="0"/>
          <w:numId w:val="210"/>
        </w:numPr>
        <w:spacing w:after="24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output should explain that shares allotted through CCASS applications will be credited to the applicant’s CCASS account (or held in CCASS nominee form) and that physical certificates may not be issued for such applications.</w:t>
      </w:r>
    </w:p>
    <w:p w:rsidR="00000000" w:rsidDel="00000000" w:rsidP="00000000" w:rsidRDefault="00000000" w:rsidRPr="00000000" w14:paraId="000002C3">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Payment and fee components</w:t>
      </w:r>
    </w:p>
    <w:p w:rsidR="00000000" w:rsidDel="00000000" w:rsidP="00000000" w:rsidRDefault="00000000" w:rsidRPr="00000000" w14:paraId="000002C4">
      <w:pPr>
        <w:numPr>
          <w:ilvl w:val="0"/>
          <w:numId w:val="172"/>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AI should state that full payment is required at the time of application.</w:t>
      </w:r>
    </w:p>
    <w:p w:rsidR="00000000" w:rsidDel="00000000" w:rsidP="00000000" w:rsidRDefault="00000000" w:rsidRPr="00000000" w14:paraId="000002C5">
      <w:pPr>
        <w:numPr>
          <w:ilvl w:val="0"/>
          <w:numId w:val="172"/>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output should describe the standard payment composition: application monies based on the maximum offer price (or as specified), plus brokerage commission and relevant transaction levies and trading fees, with the common “more paid will be refunded” logic.</w:t>
      </w:r>
    </w:p>
    <w:p w:rsidR="00000000" w:rsidDel="00000000" w:rsidP="00000000" w:rsidRDefault="00000000" w:rsidRPr="00000000" w14:paraId="000002C6">
      <w:pPr>
        <w:numPr>
          <w:ilvl w:val="0"/>
          <w:numId w:val="172"/>
        </w:numPr>
        <w:spacing w:after="24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If specific rates (e.g., brokerage commission percentage and transaction levy rates) are required, the AI should present them exactly as provided in input data and in the standard disclosure style, ensuring numerical accuracy and avoiding approximations.</w:t>
      </w:r>
    </w:p>
    <w:p w:rsidR="00000000" w:rsidDel="00000000" w:rsidP="00000000" w:rsidRDefault="00000000" w:rsidRPr="00000000" w14:paraId="000002C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Application timetable and key dates</w:t>
      </w:r>
      <w:r w:rsidDel="00000000" w:rsidR="00000000" w:rsidRPr="00000000">
        <w:rPr>
          <w:rtl w:val="0"/>
        </w:rPr>
      </w:r>
    </w:p>
    <w:p w:rsidR="00000000" w:rsidDel="00000000" w:rsidP="00000000" w:rsidRDefault="00000000" w:rsidRPr="00000000" w14:paraId="000002C8">
      <w:pPr>
        <w:numPr>
          <w:ilvl w:val="0"/>
          <w:numId w:val="85"/>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AI should present key timetable items for the Hong Kong Public Offering, including application opening time, application closing time, expected results announcement date, refund date, and share dispatch/crediting date, aligning with the offering timetable section.</w:t>
      </w:r>
    </w:p>
    <w:p w:rsidR="00000000" w:rsidDel="00000000" w:rsidP="00000000" w:rsidRDefault="00000000" w:rsidRPr="00000000" w14:paraId="000002C9">
      <w:pPr>
        <w:numPr>
          <w:ilvl w:val="0"/>
          <w:numId w:val="85"/>
        </w:numPr>
        <w:spacing w:after="24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Time precision should match prospectus requirements, using exact date and time expressions rather than vague references.</w:t>
      </w:r>
    </w:p>
    <w:p w:rsidR="00000000" w:rsidDel="00000000" w:rsidP="00000000" w:rsidRDefault="00000000" w:rsidRPr="00000000" w14:paraId="000002C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Application form completion guidance</w:t>
      </w:r>
      <w:r w:rsidDel="00000000" w:rsidR="00000000" w:rsidRPr="00000000">
        <w:rPr>
          <w:rtl w:val="0"/>
        </w:rPr>
      </w:r>
    </w:p>
    <w:p w:rsidR="00000000" w:rsidDel="00000000" w:rsidP="00000000" w:rsidRDefault="00000000" w:rsidRPr="00000000" w14:paraId="000002CB">
      <w:pPr>
        <w:numPr>
          <w:ilvl w:val="0"/>
          <w:numId w:val="23"/>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If paper forms are used, the AI should include brief guidance on form completion (e.g., writing names clearly, joint applicant limits, submission location and deadline).</w:t>
      </w:r>
    </w:p>
    <w:p w:rsidR="00000000" w:rsidDel="00000000" w:rsidP="00000000" w:rsidRDefault="00000000" w:rsidRPr="00000000" w14:paraId="000002CC">
      <w:pPr>
        <w:numPr>
          <w:ilvl w:val="0"/>
          <w:numId w:val="23"/>
        </w:numPr>
        <w:spacing w:after="24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If paper forms are not used, the AI should still ensure investors understand the accuracy requirements of application details, as errors may invalidate an application.</w:t>
      </w:r>
    </w:p>
    <w:p w:rsidR="00000000" w:rsidDel="00000000" w:rsidP="00000000" w:rsidRDefault="00000000" w:rsidRPr="00000000" w14:paraId="000002C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Declarations and undertakings by applicants</w:t>
      </w:r>
      <w:r w:rsidDel="00000000" w:rsidR="00000000" w:rsidRPr="00000000">
        <w:rPr>
          <w:rtl w:val="0"/>
        </w:rPr>
      </w:r>
    </w:p>
    <w:p w:rsidR="00000000" w:rsidDel="00000000" w:rsidP="00000000" w:rsidRDefault="00000000" w:rsidRPr="00000000" w14:paraId="000002CE">
      <w:pPr>
        <w:numPr>
          <w:ilvl w:val="0"/>
          <w:numId w:val="102"/>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AI should list the key declarations typically made by applicants, such as confirming they have read the prospectus, provided accurate information, made only one application, and agree to accept the final offer price and allocation outcome.</w:t>
      </w:r>
    </w:p>
    <w:p w:rsidR="00000000" w:rsidDel="00000000" w:rsidP="00000000" w:rsidRDefault="00000000" w:rsidRPr="00000000" w14:paraId="000002CF">
      <w:pPr>
        <w:numPr>
          <w:ilvl w:val="0"/>
          <w:numId w:val="102"/>
        </w:numPr>
        <w:spacing w:after="24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This part should be written in a formal, bullet-point style that resembles standard application declarations, keeping the language close to typical prospectus legal phrasing.</w:t>
      </w:r>
    </w:p>
    <w:p w:rsidR="00000000" w:rsidDel="00000000" w:rsidP="00000000" w:rsidRDefault="00000000" w:rsidRPr="00000000" w14:paraId="000002D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Personal data statement</w:t>
      </w:r>
      <w:r w:rsidDel="00000000" w:rsidR="00000000" w:rsidRPr="00000000">
        <w:rPr>
          <w:rtl w:val="0"/>
        </w:rPr>
      </w:r>
    </w:p>
    <w:p w:rsidR="00000000" w:rsidDel="00000000" w:rsidP="00000000" w:rsidRDefault="00000000" w:rsidRPr="00000000" w14:paraId="000002D1">
      <w:pPr>
        <w:numPr>
          <w:ilvl w:val="0"/>
          <w:numId w:val="180"/>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AI should include a personal information collection statement explaining how applicant data will be used for identity verification, allocation, refunds, and related offering administration, and should reference Hong Kong privacy law principles, including applicants’ rights to access and correct personal data.</w:t>
      </w:r>
    </w:p>
    <w:p w:rsidR="00000000" w:rsidDel="00000000" w:rsidP="00000000" w:rsidRDefault="00000000" w:rsidRPr="00000000" w14:paraId="000002D2">
      <w:pPr>
        <w:numPr>
          <w:ilvl w:val="0"/>
          <w:numId w:val="180"/>
        </w:numPr>
        <w:spacing w:after="24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tone must be formal and compliance-focused, reflecting statutory notice style.</w:t>
      </w:r>
    </w:p>
    <w:p w:rsidR="00000000" w:rsidDel="00000000" w:rsidP="00000000" w:rsidRDefault="00000000" w:rsidRPr="00000000" w14:paraId="000002D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Special arrangements and contingencies</w:t>
      </w:r>
      <w:r w:rsidDel="00000000" w:rsidR="00000000" w:rsidRPr="00000000">
        <w:rPr>
          <w:rtl w:val="0"/>
        </w:rPr>
      </w:r>
    </w:p>
    <w:p w:rsidR="00000000" w:rsidDel="00000000" w:rsidP="00000000" w:rsidRDefault="00000000" w:rsidRPr="00000000" w14:paraId="000002D4">
      <w:pPr>
        <w:numPr>
          <w:ilvl w:val="0"/>
          <w:numId w:val="45"/>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AI should describe special arrangements such as bad weather procedures (e.g., typhoon signal or black rainstorm warning), explaining how application deadlines may be extended and how announcements will be made.</w:t>
      </w:r>
    </w:p>
    <w:p w:rsidR="00000000" w:rsidDel="00000000" w:rsidP="00000000" w:rsidRDefault="00000000" w:rsidRPr="00000000" w14:paraId="000002D5">
      <w:pPr>
        <w:numPr>
          <w:ilvl w:val="0"/>
          <w:numId w:val="45"/>
        </w:numPr>
        <w:spacing w:after="24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output should structure these contingencies clearly so applicants understand scenario triggers and resulting timetable changes.</w:t>
      </w:r>
    </w:p>
    <w:p w:rsidR="00000000" w:rsidDel="00000000" w:rsidP="00000000" w:rsidRDefault="00000000" w:rsidRPr="00000000" w14:paraId="000002D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Results announcement, refunds, and share delivery</w:t>
      </w:r>
      <w:r w:rsidDel="00000000" w:rsidR="00000000" w:rsidRPr="00000000">
        <w:rPr>
          <w:rtl w:val="0"/>
        </w:rPr>
      </w:r>
    </w:p>
    <w:p w:rsidR="00000000" w:rsidDel="00000000" w:rsidP="00000000" w:rsidRDefault="00000000" w:rsidRPr="00000000" w14:paraId="000002D7">
      <w:pPr>
        <w:numPr>
          <w:ilvl w:val="0"/>
          <w:numId w:val="22"/>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AI should explain how applicants can check allocation results (e.g., publication in newspapers and designated websites, identification by partial ID codes), and how refunds are processed for unsuccessful or partially successful applications.</w:t>
      </w:r>
    </w:p>
    <w:p w:rsidR="00000000" w:rsidDel="00000000" w:rsidP="00000000" w:rsidRDefault="00000000" w:rsidRPr="00000000" w14:paraId="000002D8">
      <w:pPr>
        <w:numPr>
          <w:ilvl w:val="0"/>
          <w:numId w:val="22"/>
        </w:numPr>
        <w:spacing w:after="0" w:afterAutospacing="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AI should explain how shares are delivered: physical share certificates for White Form applicants where applicable, and CCASS crediting for CCASS applicants, with clear timing and method descriptions.</w:t>
      </w:r>
    </w:p>
    <w:p w:rsidR="00000000" w:rsidDel="00000000" w:rsidP="00000000" w:rsidRDefault="00000000" w:rsidRPr="00000000" w14:paraId="000002D9">
      <w:pPr>
        <w:numPr>
          <w:ilvl w:val="0"/>
          <w:numId w:val="22"/>
        </w:numPr>
        <w:spacing w:after="24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output should remind applicants of any identification requirements for in-person collection if that option exists.</w:t>
      </w:r>
    </w:p>
    <w:p w:rsidR="00000000" w:rsidDel="00000000" w:rsidP="00000000" w:rsidRDefault="00000000" w:rsidRPr="00000000" w14:paraId="000002D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Trading and post-allocation reminder</w:t>
      </w:r>
      <w:r w:rsidDel="00000000" w:rsidR="00000000" w:rsidRPr="00000000">
        <w:rPr>
          <w:rtl w:val="0"/>
        </w:rPr>
      </w:r>
    </w:p>
    <w:p w:rsidR="00000000" w:rsidDel="00000000" w:rsidP="00000000" w:rsidRDefault="00000000" w:rsidRPr="00000000" w14:paraId="000002DB">
      <w:pPr>
        <w:numPr>
          <w:ilvl w:val="0"/>
          <w:numId w:val="204"/>
        </w:numPr>
        <w:spacing w:after="0" w:afterAutospacing="0" w:before="24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AI should state when trading is expected to commence and remind investors that trading should only occur after results are formally announced, cautioning against speculative trading before official allocation confirmation.</w:t>
      </w:r>
    </w:p>
    <w:p w:rsidR="00000000" w:rsidDel="00000000" w:rsidP="00000000" w:rsidRDefault="00000000" w:rsidRPr="00000000" w14:paraId="000002DC">
      <w:pPr>
        <w:numPr>
          <w:ilvl w:val="0"/>
          <w:numId w:val="204"/>
        </w:numPr>
        <w:spacing w:after="240" w:before="0" w:beforeAutospacing="0" w:lineRule="auto"/>
        <w:ind w:left="720" w:hanging="360"/>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The language should be short and practical, reinforcing process clarity and investor risk awareness.</w:t>
      </w:r>
    </w:p>
    <w:p w:rsidR="00000000" w:rsidDel="00000000" w:rsidP="00000000" w:rsidRDefault="00000000" w:rsidRPr="00000000" w14:paraId="000002D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Investor value</w:t>
      </w:r>
      <w:r w:rsidDel="00000000" w:rsidR="00000000" w:rsidRPr="00000000">
        <w:rPr>
          <w:rFonts w:ascii="Times New Roman" w:cs="Times New Roman" w:eastAsia="Times New Roman" w:hAnsi="Times New Roman"/>
          <w:rtl w:val="0"/>
        </w:rPr>
        <w:br w:type="textWrapping"/>
        <w:t xml:space="preserve">By providing complete, step-by-step application instructions with precise deadlines, payment requirements, and post-application logistics, this section ensures retail investors can participate correctly in the Hong Kong Public Offering and understand what to expect after submitting an application.</w:t>
      </w:r>
    </w:p>
    <w:p w:rsidR="00000000" w:rsidDel="00000000" w:rsidP="00000000" w:rsidRDefault="00000000" w:rsidRPr="00000000" w14:paraId="000002DE">
      <w:pPr>
        <w:rPr>
          <w:rFonts w:ascii="Times New Roman" w:cs="Times New Roman" w:eastAsia="Times New Roman" w:hAnsi="Times New Roman"/>
          <w:b w:val="1"/>
          <w:bCs w:val="1"/>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F">
      <w:pPr>
        <w:pStyle w:val="Heading1"/>
        <w:spacing w:after="240" w:before="240" w:lineRule="auto"/>
        <w:rPr>
          <w:rFonts w:ascii="Times New Roman" w:cs="Times New Roman" w:eastAsia="Times New Roman" w:hAnsi="Times New Roman"/>
        </w:rPr>
      </w:pPr>
      <w:bookmarkStart w:colFirst="0" w:colLast="0" w:name="_hgs9k3w90rx2" w:id="27"/>
      <w:bookmarkEnd w:id="27"/>
      <w:r w:rsidDel="00000000" w:rsidR="00000000" w:rsidRPr="00000000">
        <w:rPr>
          <w:rFonts w:ascii="Times New Roman" w:cs="Times New Roman" w:eastAsia="Times New Roman" w:hAnsi="Times New Roman"/>
          <w:rtl w:val="0"/>
        </w:rPr>
        <w:t xml:space="preserve">Overall requirement</w:t>
      </w:r>
    </w:p>
    <w:p w:rsidR="00000000" w:rsidDel="00000000" w:rsidP="00000000" w:rsidRDefault="00000000" w:rsidRPr="00000000" w14:paraId="000002E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sections must follow </w:t>
      </w:r>
      <w:r w:rsidDel="00000000" w:rsidR="00000000" w:rsidRPr="00000000">
        <w:rPr>
          <w:rFonts w:ascii="Times New Roman" w:cs="Times New Roman" w:eastAsia="Times New Roman" w:hAnsi="Times New Roman"/>
          <w:b w:val="1"/>
          <w:bCs w:val="1"/>
          <w:rtl w:val="0"/>
        </w:rPr>
        <w:t xml:space="preserve">structured formatting, precise terminology, and compliant disclosure language</w:t>
      </w:r>
      <w:r w:rsidDel="00000000" w:rsidR="00000000" w:rsidRPr="00000000">
        <w:rPr>
          <w:rFonts w:ascii="Times New Roman" w:cs="Times New Roman" w:eastAsia="Times New Roman" w:hAnsi="Times New Roman"/>
          <w:rtl w:val="0"/>
        </w:rPr>
        <w:t xml:space="preserve">, ensuring the prospectus content is professional, accurate, and fully aligned with Hong Kong listing standards.</w:t>
      </w:r>
    </w:p>
    <w:p w:rsidR="00000000" w:rsidDel="00000000" w:rsidP="00000000" w:rsidRDefault="00000000" w:rsidRPr="00000000" w14:paraId="000002E1">
      <w:pPr>
        <w:spacing w:after="240" w:befor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2">
      <w:pPr>
        <w:rPr>
          <w:rFonts w:ascii="Times New Roman" w:cs="Times New Roman" w:eastAsia="Times New Roman" w:hAnsi="Times New Roman"/>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www.xyz.xn--com-9o0a/" TargetMode="External"/><Relationship Id="rId7" Type="http://schemas.openxmlformats.org/officeDocument/2006/relationships/hyperlink" Target="http://www.xyz.xn--com-9o0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