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A05D0" w14:textId="77777777" w:rsidR="00B36EB7" w:rsidRDefault="00000000">
      <w:pPr>
        <w:pStyle w:val="1"/>
      </w:pPr>
      <w:bookmarkStart w:id="0" w:name="header"/>
      <w:bookmarkStart w:id="1" w:name="X100f2079a1b73e07d4d4f811e0da4c384fee466"/>
      <w:bookmarkStart w:id="2" w:name="content"/>
      <w:bookmarkEnd w:id="0"/>
      <w:r>
        <w:t>Sponsor Counsel Drafting &amp; AI Validation Framework for HKEX Technology‑Sector IPO Prospectuses</w:t>
      </w:r>
    </w:p>
    <w:p w14:paraId="33BDC398" w14:textId="77777777" w:rsidR="00B36EB7" w:rsidRDefault="00000000">
      <w:pPr>
        <w:pStyle w:val="2"/>
      </w:pPr>
      <w:bookmarkStart w:id="3" w:name="executive-summary"/>
      <w:r>
        <w:t>Executive summary</w:t>
      </w:r>
    </w:p>
    <w:p w14:paraId="12057F8E" w14:textId="77777777" w:rsidR="00B36EB7" w:rsidRDefault="00000000">
      <w:pPr>
        <w:pStyle w:val="FirstParagraph"/>
      </w:pPr>
      <w:r>
        <w:t>This report synthesizes (i) two uploaded HKEX technology‑sector IPO prospectus PDFs—SenseTime Group Inc.</w:t>
      </w:r>
      <w:hyperlink r:id="rId5">
        <w:r>
          <w:rPr>
            <w:rStyle w:val="af"/>
          </w:rPr>
          <w:t>[1]</w:t>
        </w:r>
      </w:hyperlink>
      <w:r>
        <w:t xml:space="preserve"> (stock code 0020) and MiniMax Group Inc.</w:t>
      </w:r>
      <w:hyperlink r:id="rId6">
        <w:r>
          <w:rPr>
            <w:rStyle w:val="af"/>
          </w:rPr>
          <w:t>[2]</w:t>
        </w:r>
      </w:hyperlink>
      <w:r>
        <w:t xml:space="preserve"> (stock code 0100)—and (ii) the uploaded Word drafting scaffold (“prospectus structure_ AI agent output.docx”) from the perspective of sponsor counsel responsible for (a) compliance language, (b) disclosure defensibility, and (c) verifiability under sponsor due‑diligence standards.</w:t>
      </w:r>
    </w:p>
    <w:p w14:paraId="77FB1C2F" w14:textId="77777777" w:rsidR="00B36EB7" w:rsidRDefault="00000000">
      <w:pPr>
        <w:pStyle w:val="a0"/>
      </w:pPr>
      <w:r>
        <w:t xml:space="preserve">Across both uploaded prospectuses, the most “load‑bearing” drafting pattern is a three‑layer risk‑containment architecture: </w:t>
      </w:r>
      <w:r>
        <w:rPr>
          <w:b/>
          <w:bCs/>
        </w:rPr>
        <w:t>rules‑mandated cover/inside‑cover disclaimers + a dedicated forward‑looking statements section + a risk factors section engineered to stand on its own and cross‑refer elsewhere</w:t>
      </w:r>
      <w:r>
        <w:t xml:space="preserve">. This aligns directly with the Listing Rules’ overriding disclosure principle (informed assessment) and the general presentation principle against misleading/deceptive disclosure, especially (i) presenting favourable possibilities as certain and (ii) presenting projections without sufficient qualification. </w:t>
      </w:r>
      <w:hyperlink r:id="rId7">
        <w:r>
          <w:rPr>
            <w:rStyle w:val="af"/>
          </w:rPr>
          <w:t>[3]</w:t>
        </w:r>
      </w:hyperlink>
    </w:p>
    <w:p w14:paraId="777540B7" w14:textId="77777777" w:rsidR="00B36EB7" w:rsidRDefault="00000000">
      <w:pPr>
        <w:pStyle w:val="a0"/>
      </w:pPr>
      <w:r>
        <w:t xml:space="preserve">For technology issuers—especially those with weighted voting rights (WVR) and/or Specialist Technology Company (18C) status—the “risk‑containment” architecture becomes more explicit: WVR issuers must carry the mandated warning statement and prominent description of WVR structure/rationale/risks in listing documents, and 18C Pre‑Commercial issuers must disclose a credible path to commercialisation and meet an elevated working capital coverage test (125% for 12 months). </w:t>
      </w:r>
      <w:hyperlink r:id="rId8">
        <w:r>
          <w:rPr>
            <w:rStyle w:val="af"/>
          </w:rPr>
          <w:t>[4]</w:t>
        </w:r>
      </w:hyperlink>
    </w:p>
    <w:p w14:paraId="6840A03E" w14:textId="77777777" w:rsidR="00B36EB7" w:rsidRDefault="00000000">
      <w:pPr>
        <w:pStyle w:val="a0"/>
      </w:pPr>
      <w:r>
        <w:t xml:space="preserve">From a sponsor counsel viewpoint, most HKEX review friction is not from “missing narrative,” but from </w:t>
      </w:r>
      <w:r>
        <w:rPr>
          <w:b/>
          <w:bCs/>
        </w:rPr>
        <w:t>uncontrolled language</w:t>
      </w:r>
      <w:r>
        <w:t xml:space="preserve"> (absolute/superlative, promotional tone, unqualified forward‑looking, unverifiable market leadership claims) and </w:t>
      </w:r>
      <w:r>
        <w:rPr>
          <w:b/>
          <w:bCs/>
        </w:rPr>
        <w:t>weak audit trails</w:t>
      </w:r>
      <w:r>
        <w:t xml:space="preserve"> (missing sources/definitions/measurement methods; inconsistent cross‑references; numbers that create implicit profit forecasts). The Listing Rules’ profit‑forecast restriction (Rule 11.16) and the Exchange’s guidance on when unaudited post‑track‑record figures become a profit forecast/estimate impose particularly sharp constraints on tech IPO “growth story” drafting. </w:t>
      </w:r>
      <w:hyperlink r:id="rId9">
        <w:r>
          <w:rPr>
            <w:rStyle w:val="af"/>
          </w:rPr>
          <w:t>[5]</w:t>
        </w:r>
      </w:hyperlink>
    </w:p>
    <w:p w14:paraId="12505CCB" w14:textId="77777777" w:rsidR="00B36EB7" w:rsidRDefault="00000000">
      <w:pPr>
        <w:pStyle w:val="a0"/>
      </w:pPr>
      <w:r>
        <w:t xml:space="preserve">Deliverables in this report therefore include: an HKEX‑aligned chapter structure map grounded in the uploaded prospectuses; a “words/phrases to avoid” inventory with safer alternatives (using concrete examples from the uploaded PDFs); an </w:t>
      </w:r>
      <w:r>
        <w:rPr>
          <w:b/>
          <w:bCs/>
        </w:rPr>
        <w:t>annotated Word‑friendly output template that preserves (does not delete) the user’s Word draft</w:t>
      </w:r>
      <w:r>
        <w:t xml:space="preserve"> by polishing/augmenting it with sponsor counsel boilerplate, </w:t>
      </w:r>
      <w:r>
        <w:lastRenderedPageBreak/>
        <w:t>tone rules, and AI agent annotation conventions; and an automated validation checklist with severity levels to support AI‑assisted drafting and verification planning.</w:t>
      </w:r>
    </w:p>
    <w:p w14:paraId="30048B4C" w14:textId="77777777" w:rsidR="00B36EB7" w:rsidRDefault="00000000">
      <w:pPr>
        <w:pStyle w:val="2"/>
      </w:pPr>
      <w:bookmarkStart w:id="4" w:name="inputs-scope-and-explicit-assumptions"/>
      <w:bookmarkEnd w:id="3"/>
      <w:r>
        <w:t>Inputs, scope, and explicit assumptions</w:t>
      </w:r>
    </w:p>
    <w:p w14:paraId="3960BB40" w14:textId="77777777" w:rsidR="00B36EB7" w:rsidRDefault="00000000">
      <w:pPr>
        <w:pStyle w:val="FirstParagraph"/>
      </w:pPr>
      <w:r>
        <w:rPr>
          <w:b/>
          <w:bCs/>
        </w:rPr>
        <w:t>Uploaded files analyzed (primary):</w:t>
      </w:r>
      <w:r>
        <w:t xml:space="preserve"> - “00020_global_offering_2.pdf” (SenseTime prospectus; includes WVR marker and fully electronic application process wording).</w:t>
      </w:r>
      <w:r>
        <w:br/>
        <w:t>- “00100_global_offering_1.pdf” (MiniMax prospectus; includes WVR + 18C Specialist Technology + Pre‑Commercial cover warnings and FINI‑referencing e‑application flow).</w:t>
      </w:r>
      <w:r>
        <w:br/>
        <w:t>- “prospectus structure_ AI agent output.docx” (Word draft scaffold of prospectus sections and drafting guidance).</w:t>
      </w:r>
    </w:p>
    <w:p w14:paraId="4EFC5B85" w14:textId="77777777" w:rsidR="00B36EB7" w:rsidRDefault="00000000">
      <w:pPr>
        <w:pStyle w:val="a0"/>
      </w:pPr>
      <w:r>
        <w:rPr>
          <w:b/>
          <w:bCs/>
        </w:rPr>
        <w:t>Explicit assumptions (because only these files are available in the thread):</w:t>
      </w:r>
      <w:r>
        <w:t xml:space="preserve"> - Only the above three files are in scope; no separate “verification notes,” accountants’ report, legal opinions, or expert reports were uploaded.</w:t>
      </w:r>
      <w:r>
        <w:br/>
        <w:t xml:space="preserve">- The Word draft appears to be a </w:t>
      </w:r>
      <w:r>
        <w:rPr>
          <w:b/>
          <w:bCs/>
        </w:rPr>
        <w:t>section‑by‑section drafting guidance</w:t>
      </w:r>
      <w:r>
        <w:t xml:space="preserve"> document (not a company‑specific near‑final prospectus). The template portion of this report therefore focuses on preserving the Word draft’s guidance content while upgrading it into a sponsor‑counsel‑ready drafting playbook.</w:t>
      </w:r>
      <w:r>
        <w:br/>
        <w:t xml:space="preserve">- “Technology‑sector IPO” is treated inclusively, covering WVR tech issuers and Specialist Technology Companies under Chapter 18C; the uploaded PDFs exemplify both. </w:t>
      </w:r>
      <w:hyperlink r:id="rId10">
        <w:r>
          <w:rPr>
            <w:rStyle w:val="af"/>
          </w:rPr>
          <w:t>[6]</w:t>
        </w:r>
      </w:hyperlink>
    </w:p>
    <w:p w14:paraId="424FCBEB" w14:textId="77777777" w:rsidR="00B36EB7" w:rsidRDefault="00000000">
      <w:pPr>
        <w:pStyle w:val="a0"/>
      </w:pPr>
      <w:r>
        <w:rPr>
          <w:b/>
          <w:bCs/>
        </w:rPr>
        <w:t>How snippets are extracted and referenced:</w:t>
      </w:r>
      <w:r>
        <w:br/>
        <w:t xml:space="preserve">This report quotes short verbatim snippets (kept under 25 words per source excerpt) from the uploaded PDFs/Word draft and references them by </w:t>
      </w:r>
      <w:r>
        <w:rPr>
          <w:b/>
          <w:bCs/>
        </w:rPr>
        <w:t>file name + page context</w:t>
      </w:r>
      <w:r>
        <w:t xml:space="preserve"> (where visible in the parsed pages) and includes the corresponding uploaded‑file citation markers.</w:t>
      </w:r>
    </w:p>
    <w:p w14:paraId="0A4EBE9B" w14:textId="77777777" w:rsidR="00B36EB7" w:rsidRDefault="00000000">
      <w:pPr>
        <w:pStyle w:val="2"/>
      </w:pPr>
      <w:bookmarkStart w:id="5" w:name="Xc7c7789b7f3f98c6e5c1e22d7eea48aa0a42264"/>
      <w:bookmarkEnd w:id="4"/>
      <w:r>
        <w:t>HKEX disclosure architecture for tech IPO prospectuses</w:t>
      </w:r>
    </w:p>
    <w:p w14:paraId="09F2F7AF" w14:textId="77777777" w:rsidR="00B36EB7" w:rsidRDefault="00000000">
      <w:pPr>
        <w:pStyle w:val="3"/>
      </w:pPr>
      <w:bookmarkStart w:id="6" w:name="X3c57f9e03c0f69a456bb02a25c808535b0e18d4"/>
      <w:r>
        <w:t>Overriding disclosure tests that drive drafting choices</w:t>
      </w:r>
    </w:p>
    <w:p w14:paraId="4914B0F7" w14:textId="77777777" w:rsidR="00B36EB7" w:rsidRDefault="00000000">
      <w:pPr>
        <w:pStyle w:val="FirstParagraph"/>
      </w:pPr>
      <w:r>
        <w:rPr>
          <w:b/>
          <w:bCs/>
        </w:rPr>
        <w:t>Informed assessment (Rule 11.07).</w:t>
      </w:r>
      <w:r>
        <w:t xml:space="preserve"> Listing documents must contain the particulars and information necessary for investors to make an informed assessment of the issuer’s activities, assets/liabilities, financial position, management and prospects (and profits/losses, and rights attaching). This is the “north star” that justifies comprehensive, balanced disclosure even when commercially uncomfortable. </w:t>
      </w:r>
      <w:hyperlink r:id="rId11">
        <w:r>
          <w:rPr>
            <w:rStyle w:val="af"/>
          </w:rPr>
          <w:t>[7]</w:t>
        </w:r>
      </w:hyperlink>
    </w:p>
    <w:p w14:paraId="39D5DD01" w14:textId="77777777" w:rsidR="00B36EB7" w:rsidRDefault="00000000">
      <w:pPr>
        <w:pStyle w:val="a0"/>
      </w:pPr>
      <w:r>
        <w:rPr>
          <w:b/>
          <w:bCs/>
        </w:rPr>
        <w:t>Plain language + not misleading (Rule 2.13).</w:t>
      </w:r>
      <w:r>
        <w:t xml:space="preserve"> Corporate communications required by the Listing Rules must be clearly presented in plain language and must be accurate and complete in all material respects and not misleading or deceptive. Rule 2.13 explicitly flags the drafting pitfalls most common in tech IPO storytelling, </w:t>
      </w:r>
      <w:r>
        <w:lastRenderedPageBreak/>
        <w:t xml:space="preserve">including (a) omitting unfavourable material facts, (b) presenting favourable possibilities as certain, and (c) presenting projections without sufficient qualification. </w:t>
      </w:r>
      <w:hyperlink r:id="rId12">
        <w:r>
          <w:rPr>
            <w:rStyle w:val="af"/>
          </w:rPr>
          <w:t>[8]</w:t>
        </w:r>
      </w:hyperlink>
    </w:p>
    <w:p w14:paraId="5C8C5111" w14:textId="77777777" w:rsidR="00B36EB7" w:rsidRDefault="00000000">
      <w:pPr>
        <w:pStyle w:val="3"/>
      </w:pPr>
      <w:bookmarkStart w:id="7" w:name="X511dcaa443118631b19e2de3ae556336dcd2afa"/>
      <w:bookmarkEnd w:id="6"/>
      <w:r>
        <w:t>Sponsor counsel responsibility boundary and why “verifiability tags” matter</w:t>
      </w:r>
    </w:p>
    <w:p w14:paraId="0E0EF3FD" w14:textId="77777777" w:rsidR="00B36EB7" w:rsidRDefault="00000000">
      <w:pPr>
        <w:pStyle w:val="FirstParagraph"/>
      </w:pPr>
      <w:r>
        <w:t>Securities and Futures Commission</w:t>
      </w:r>
      <w:hyperlink r:id="rId13">
        <w:r>
          <w:rPr>
            <w:rStyle w:val="af"/>
          </w:rPr>
          <w:t>[9]</w:t>
        </w:r>
      </w:hyperlink>
      <w:r>
        <w:t xml:space="preserve"> sponsor conduct requirements effectively require a sponsor, after reasonable due diligence, to have reasonable grounds to believe (and believe) that non‑expert sections are true/accurate/complete and not misleading, and that there are no omitted matters that would make the listing document misleading; for expert reports the sponsor must have no reasonable grounds to believe the expert information is untrue/misleading or materially incomplete. This is the compliance reason to embed AI‑readable “verification hooks” and strict citation rules in the drafting template from day one. </w:t>
      </w:r>
      <w:hyperlink r:id="rId14">
        <w:r>
          <w:rPr>
            <w:rStyle w:val="af"/>
          </w:rPr>
          <w:t>[10]</w:t>
        </w:r>
      </w:hyperlink>
    </w:p>
    <w:p w14:paraId="6EB2D938" w14:textId="77777777" w:rsidR="00B36EB7" w:rsidRDefault="00000000">
      <w:pPr>
        <w:pStyle w:val="3"/>
      </w:pPr>
      <w:bookmarkStart w:id="8" w:name="Xbf66b150fd786e650f47e1024e0b50dd176ab16"/>
      <w:bookmarkEnd w:id="7"/>
      <w:r>
        <w:t>Mandatory cover/inside‑cover disclaimers and special‑regime warnings</w:t>
      </w:r>
    </w:p>
    <w:p w14:paraId="5E442EE8" w14:textId="77777777" w:rsidR="00B36EB7" w:rsidRDefault="00000000">
      <w:pPr>
        <w:pStyle w:val="FirstParagraph"/>
      </w:pPr>
      <w:r>
        <w:rPr>
          <w:b/>
          <w:bCs/>
        </w:rPr>
        <w:t>Front cover disclaimer (Rule 11.20).</w:t>
      </w:r>
      <w:r>
        <w:t xml:space="preserve"> All listing documents must contain a prominent disclaimer on the front cover or inside front cover (the standard “take no responsibility… disclaim any liability…” statement). </w:t>
      </w:r>
      <w:hyperlink r:id="rId15">
        <w:r>
          <w:rPr>
            <w:rStyle w:val="af"/>
          </w:rPr>
          <w:t>[11]</w:t>
        </w:r>
      </w:hyperlink>
      <w:r>
        <w:br/>
        <w:t>This exact disclaimer appears in both uploaded prospectuses on the inside‑cover “IMPORTANT” pages, naming Hong Kong Exchanges and Clearing Limited</w:t>
      </w:r>
      <w:hyperlink r:id="rId16">
        <w:r>
          <w:rPr>
            <w:rStyle w:val="af"/>
          </w:rPr>
          <w:t>[12]</w:t>
        </w:r>
      </w:hyperlink>
      <w:r>
        <w:t xml:space="preserve"> alongside the Exchange entities and expressly disclaiming liability.</w:t>
      </w:r>
    </w:p>
    <w:p w14:paraId="78C853F8" w14:textId="77777777" w:rsidR="00B36EB7" w:rsidRDefault="00000000">
      <w:pPr>
        <w:pStyle w:val="a0"/>
      </w:pPr>
      <w:r>
        <w:rPr>
          <w:b/>
          <w:bCs/>
        </w:rPr>
        <w:t>WVR warning (Rule 8A.37).</w:t>
      </w:r>
      <w:r>
        <w:t xml:space="preserve"> A WVR issuer must include the warning “A company controlled through weighted voting rights” on the front page of all listing documents and describe the WVR structure, rationale and associated risks prominently, including explicit encouragement that investors decide to invest only after due and careful consideration. </w:t>
      </w:r>
      <w:hyperlink r:id="rId17">
        <w:r>
          <w:rPr>
            <w:rStyle w:val="af"/>
          </w:rPr>
          <w:t>[13]</w:t>
        </w:r>
      </w:hyperlink>
      <w:r>
        <w:br/>
        <w:t>This is reflected verbatim in both uploaded prospectus covers/inside‑covers (“a company controlled through weighted voting rights…”).</w:t>
      </w:r>
    </w:p>
    <w:p w14:paraId="384A3B31" w14:textId="77777777" w:rsidR="00B36EB7" w:rsidRDefault="00000000">
      <w:pPr>
        <w:pStyle w:val="a0"/>
      </w:pPr>
      <w:r>
        <w:rPr>
          <w:b/>
          <w:bCs/>
        </w:rPr>
        <w:t>18C Specialist Technology warning and Pre‑Commercial disclosures.</w:t>
      </w:r>
      <w:r>
        <w:t xml:space="preserve"> HKEX’s Specialist Technology guidance consolidates into: Chapter 18C rules + Chapter 2.5 of the Guide + GL115‑23 disclosure recommendations, including a mandatory cover warning statement for Specialist Technology Companies and additional disclosures for Pre‑Commercial Companies. </w:t>
      </w:r>
      <w:hyperlink r:id="rId18">
        <w:r>
          <w:rPr>
            <w:rStyle w:val="af"/>
          </w:rPr>
          <w:t>[14]</w:t>
        </w:r>
      </w:hyperlink>
      <w:r>
        <w:br/>
        <w:t>The MiniMax prospectus inside‑cover includes a full warning describing high risks (share price volatility and inflated valuation due to difficulty valuing) and separately explains Pre‑Commercial companies’ higher corporate failure risk due to external funding dependence.</w:t>
      </w:r>
    </w:p>
    <w:p w14:paraId="12CDA86F" w14:textId="77777777" w:rsidR="00B36EB7" w:rsidRDefault="00000000">
      <w:pPr>
        <w:pStyle w:val="3"/>
      </w:pPr>
      <w:bookmarkStart w:id="9" w:name="Xb66ef2a31a5c0b842f8bd1688ff03b1c9848d76"/>
      <w:bookmarkEnd w:id="8"/>
      <w:r>
        <w:lastRenderedPageBreak/>
        <w:t>Profit forecasts and implicit profit forecasts: the “silent killer” for tech narratives</w:t>
      </w:r>
    </w:p>
    <w:p w14:paraId="76C377CC" w14:textId="77777777" w:rsidR="00B36EB7" w:rsidRDefault="00000000">
      <w:pPr>
        <w:pStyle w:val="FirstParagraph"/>
      </w:pPr>
      <w:r>
        <w:t xml:space="preserve">Rule 11.16 prohibits a listing document from referencing future profits or including dividend forecasts based on assumed future profits unless supported by a formal profit forecast (and Rule 11.17–11.19 impose strict assumption/reporting obligations if a profit forecast is included). </w:t>
      </w:r>
      <w:hyperlink r:id="rId19">
        <w:r>
          <w:rPr>
            <w:rStyle w:val="af"/>
          </w:rPr>
          <w:t>[15]</w:t>
        </w:r>
      </w:hyperlink>
      <w:r>
        <w:br/>
        <w:t xml:space="preserve">HKEX’s Guide further clarifies that disclosing unaudited net profit/loss or other figures that explicitly or implicitly quantify post‑track‑record profits/losses (e.g., revenue + net profit margin) constitutes a profit forecast/estimate and triggers Rule 11.16–11.19 compliance. </w:t>
      </w:r>
      <w:hyperlink r:id="rId20">
        <w:r>
          <w:rPr>
            <w:rStyle w:val="af"/>
          </w:rPr>
          <w:t>[16]</w:t>
        </w:r>
      </w:hyperlink>
    </w:p>
    <w:p w14:paraId="43D7C645" w14:textId="77777777" w:rsidR="00B36EB7" w:rsidRDefault="00000000">
      <w:pPr>
        <w:pStyle w:val="a0"/>
      </w:pPr>
      <w:r>
        <w:t xml:space="preserve">For AI‑assisted drafting, this means the validation layer must flag patterns like “we expect to achieve profitability in 2027” or “net margin will improve to X%,” even when framed as strategy, because they may “implicitly quantify” future profit. </w:t>
      </w:r>
      <w:hyperlink r:id="rId21">
        <w:r>
          <w:rPr>
            <w:rStyle w:val="af"/>
          </w:rPr>
          <w:t>[5]</w:t>
        </w:r>
      </w:hyperlink>
    </w:p>
    <w:p w14:paraId="47DE13F7" w14:textId="77777777" w:rsidR="00B36EB7" w:rsidRDefault="00000000">
      <w:pPr>
        <w:pStyle w:val="2"/>
      </w:pPr>
      <w:bookmarkStart w:id="10" w:name="X17bd014074330b083910a7772e837334c5f9969"/>
      <w:bookmarkEnd w:id="5"/>
      <w:bookmarkEnd w:id="9"/>
      <w:r>
        <w:t>What the uploaded prospectuses reveal about structure and compliant phrasing</w:t>
      </w:r>
    </w:p>
    <w:p w14:paraId="2DB0CED6" w14:textId="77777777" w:rsidR="00B36EB7" w:rsidRDefault="00000000">
      <w:pPr>
        <w:pStyle w:val="3"/>
      </w:pPr>
      <w:bookmarkStart w:id="11" w:name="X0e3e93c6c3f1871b09c5408ff6256dad4149630"/>
      <w:r>
        <w:t>Standard chapter structure used in the uploaded HKEX tech prospectuses</w:t>
      </w:r>
    </w:p>
    <w:p w14:paraId="72FBB4FE" w14:textId="77777777" w:rsidR="00B36EB7" w:rsidRDefault="00000000">
      <w:pPr>
        <w:pStyle w:val="FirstParagraph"/>
      </w:pPr>
      <w:r>
        <w:t>SenseTime’s table of contents shows a canonical structure: Expected Timetable → Contents → Summary → Definitions → Glossary of Technical Terms → Forward‑Looking Statements → Risk Factors → Waivers → Information about this Prospectus and the Global Offering → Directors/Parties → Corporate Information → Industry Overview → Regulatory Overview → History/Corporate Structure → Business → (Contractual Arrangement, if applicable) → Financial Information → Future Plans and Use of Proceeds → Underwriting → Structure of the Global Offering → How to Apply → Appendices (Accountant’s Report, Pro Forma, Constitution summary, Statutory &amp; General Info, Documents for Inspection).</w:t>
      </w:r>
    </w:p>
    <w:p w14:paraId="3D5B5887" w14:textId="77777777" w:rsidR="00B36EB7" w:rsidRDefault="00000000">
      <w:pPr>
        <w:pStyle w:val="a0"/>
      </w:pPr>
      <w:r>
        <w:t>MiniMax shows the same front‑end spine (Expected Timetable, warnings, Summary / Definitions / Glossary / FLS / Risk Factors / Waivers; then Business/Financial/Underwriting/Structure/How to Apply), with enhanced 18C framing and FINI‑aware application language.</w:t>
      </w:r>
    </w:p>
    <w:p w14:paraId="74600E61" w14:textId="77777777" w:rsidR="00B36EB7" w:rsidRDefault="00000000">
      <w:pPr>
        <w:pStyle w:val="a0"/>
      </w:pPr>
      <w:r>
        <w:rPr>
          <w:b/>
          <w:bCs/>
        </w:rPr>
        <w:t>Mandatory vs optional sections (practical view for sponsor counsel)</w:t>
      </w:r>
      <w:r>
        <w:br/>
        <w:t>The table below distinguishes “mandatory” content driven by rules/special regimes versus “optional but market‑standard” content used to control liability and review risk.</w:t>
      </w:r>
    </w:p>
    <w:tbl>
      <w:tblPr>
        <w:tblStyle w:val="Table"/>
        <w:tblW w:w="0" w:type="auto"/>
        <w:tblLook w:val="0020" w:firstRow="1" w:lastRow="0" w:firstColumn="0" w:lastColumn="0" w:noHBand="0" w:noVBand="0"/>
      </w:tblPr>
      <w:tblGrid>
        <w:gridCol w:w="2624"/>
        <w:gridCol w:w="2161"/>
        <w:gridCol w:w="4071"/>
      </w:tblGrid>
      <w:tr w:rsidR="00B36EB7" w14:paraId="664B685D" w14:textId="77777777" w:rsidTr="00B36EB7">
        <w:trPr>
          <w:cnfStyle w:val="100000000000" w:firstRow="1" w:lastRow="0" w:firstColumn="0" w:lastColumn="0" w:oddVBand="0" w:evenVBand="0" w:oddHBand="0" w:evenHBand="0" w:firstRowFirstColumn="0" w:firstRowLastColumn="0" w:lastRowFirstColumn="0" w:lastRowLastColumn="0"/>
          <w:tblHeader/>
        </w:trPr>
        <w:tc>
          <w:tcPr>
            <w:tcW w:w="0" w:type="auto"/>
          </w:tcPr>
          <w:p w14:paraId="24148930" w14:textId="77777777" w:rsidR="00B36EB7" w:rsidRDefault="00000000">
            <w:pPr>
              <w:pStyle w:val="Compact"/>
            </w:pPr>
            <w:r>
              <w:t>Section / module</w:t>
            </w:r>
          </w:p>
        </w:tc>
        <w:tc>
          <w:tcPr>
            <w:tcW w:w="0" w:type="auto"/>
          </w:tcPr>
          <w:p w14:paraId="42DFCA48" w14:textId="77777777" w:rsidR="00B36EB7" w:rsidRDefault="00000000">
            <w:pPr>
              <w:pStyle w:val="Compact"/>
            </w:pPr>
            <w:r>
              <w:t>Practical status</w:t>
            </w:r>
          </w:p>
        </w:tc>
        <w:tc>
          <w:tcPr>
            <w:tcW w:w="0" w:type="auto"/>
          </w:tcPr>
          <w:p w14:paraId="1E600FD0" w14:textId="77777777" w:rsidR="00B36EB7" w:rsidRDefault="00000000">
            <w:pPr>
              <w:pStyle w:val="Compact"/>
            </w:pPr>
            <w:r>
              <w:t>Primary driver / trigger</w:t>
            </w:r>
          </w:p>
        </w:tc>
      </w:tr>
      <w:tr w:rsidR="00B36EB7" w14:paraId="5F51E2B1" w14:textId="77777777">
        <w:tc>
          <w:tcPr>
            <w:tcW w:w="0" w:type="auto"/>
          </w:tcPr>
          <w:p w14:paraId="75EFB4C3" w14:textId="77777777" w:rsidR="00B36EB7" w:rsidRDefault="00000000">
            <w:pPr>
              <w:pStyle w:val="Compact"/>
            </w:pPr>
            <w:r>
              <w:t>Rule 11.20 cover disclaimer</w:t>
            </w:r>
          </w:p>
        </w:tc>
        <w:tc>
          <w:tcPr>
            <w:tcW w:w="0" w:type="auto"/>
          </w:tcPr>
          <w:p w14:paraId="07F69C26" w14:textId="77777777" w:rsidR="00B36EB7" w:rsidRDefault="00000000">
            <w:pPr>
              <w:pStyle w:val="Compact"/>
            </w:pPr>
            <w:r>
              <w:t>Mandatory</w:t>
            </w:r>
          </w:p>
        </w:tc>
        <w:tc>
          <w:tcPr>
            <w:tcW w:w="0" w:type="auto"/>
          </w:tcPr>
          <w:p w14:paraId="1AD1024C" w14:textId="77777777" w:rsidR="00B36EB7" w:rsidRDefault="00000000">
            <w:pPr>
              <w:pStyle w:val="Compact"/>
            </w:pPr>
            <w:r>
              <w:t xml:space="preserve">Rule 11.20 requires the exact disclaimer text on front/inside front </w:t>
            </w:r>
            <w:r>
              <w:lastRenderedPageBreak/>
              <w:t xml:space="preserve">cover. </w:t>
            </w:r>
            <w:hyperlink r:id="rId22">
              <w:r>
                <w:rPr>
                  <w:rStyle w:val="af"/>
                </w:rPr>
                <w:t>[11]</w:t>
              </w:r>
            </w:hyperlink>
          </w:p>
        </w:tc>
      </w:tr>
      <w:tr w:rsidR="00B36EB7" w14:paraId="30A58F60" w14:textId="77777777">
        <w:tc>
          <w:tcPr>
            <w:tcW w:w="0" w:type="auto"/>
          </w:tcPr>
          <w:p w14:paraId="63728C45" w14:textId="77777777" w:rsidR="00B36EB7" w:rsidRDefault="00000000">
            <w:pPr>
              <w:pStyle w:val="Compact"/>
            </w:pPr>
            <w:r>
              <w:lastRenderedPageBreak/>
              <w:t>WVR warning + prominent WVR disclosure</w:t>
            </w:r>
          </w:p>
        </w:tc>
        <w:tc>
          <w:tcPr>
            <w:tcW w:w="0" w:type="auto"/>
          </w:tcPr>
          <w:p w14:paraId="3C7C2974" w14:textId="77777777" w:rsidR="00B36EB7" w:rsidRDefault="00000000">
            <w:pPr>
              <w:pStyle w:val="Compact"/>
            </w:pPr>
            <w:r>
              <w:t>Mandatory if WVR</w:t>
            </w:r>
          </w:p>
        </w:tc>
        <w:tc>
          <w:tcPr>
            <w:tcW w:w="0" w:type="auto"/>
          </w:tcPr>
          <w:p w14:paraId="024F20AF" w14:textId="77777777" w:rsidR="00B36EB7" w:rsidRDefault="00000000">
            <w:pPr>
              <w:pStyle w:val="Compact"/>
            </w:pPr>
            <w:r>
              <w:t xml:space="preserve">Rule 8A.37 requires the warning and prominent description of WVR structure/rationale/risks. </w:t>
            </w:r>
            <w:hyperlink r:id="rId23">
              <w:r>
                <w:rPr>
                  <w:rStyle w:val="af"/>
                </w:rPr>
                <w:t>[13]</w:t>
              </w:r>
            </w:hyperlink>
          </w:p>
        </w:tc>
      </w:tr>
      <w:tr w:rsidR="00B36EB7" w14:paraId="5F47C22F" w14:textId="77777777">
        <w:tc>
          <w:tcPr>
            <w:tcW w:w="0" w:type="auto"/>
          </w:tcPr>
          <w:p w14:paraId="5A7A1963" w14:textId="77777777" w:rsidR="00B36EB7" w:rsidRDefault="00000000">
            <w:pPr>
              <w:pStyle w:val="Compact"/>
            </w:pPr>
            <w:r>
              <w:t>18C cover warning; Pre‑Commercial additional disclosures</w:t>
            </w:r>
          </w:p>
        </w:tc>
        <w:tc>
          <w:tcPr>
            <w:tcW w:w="0" w:type="auto"/>
          </w:tcPr>
          <w:p w14:paraId="192CCEB2" w14:textId="77777777" w:rsidR="00B36EB7" w:rsidRDefault="00000000">
            <w:pPr>
              <w:pStyle w:val="Compact"/>
            </w:pPr>
            <w:r>
              <w:t>Mandatory if 18C</w:t>
            </w:r>
          </w:p>
        </w:tc>
        <w:tc>
          <w:tcPr>
            <w:tcW w:w="0" w:type="auto"/>
          </w:tcPr>
          <w:p w14:paraId="6702536F" w14:textId="77777777" w:rsidR="00B36EB7" w:rsidRDefault="00000000">
            <w:pPr>
              <w:pStyle w:val="Compact"/>
            </w:pPr>
            <w:r>
              <w:t xml:space="preserve">GL115‑23 specifies the mandatory cover warning statement; Pre‑Commercial disclosure package. </w:t>
            </w:r>
            <w:hyperlink r:id="rId24">
              <w:r>
                <w:rPr>
                  <w:rStyle w:val="af"/>
                </w:rPr>
                <w:t>[17]</w:t>
              </w:r>
            </w:hyperlink>
          </w:p>
        </w:tc>
      </w:tr>
      <w:tr w:rsidR="00B36EB7" w14:paraId="5ED2B4E6" w14:textId="77777777">
        <w:tc>
          <w:tcPr>
            <w:tcW w:w="0" w:type="auto"/>
          </w:tcPr>
          <w:p w14:paraId="5EF15E63" w14:textId="77777777" w:rsidR="00B36EB7" w:rsidRDefault="00000000">
            <w:pPr>
              <w:pStyle w:val="Compact"/>
            </w:pPr>
            <w:r>
              <w:t>“Forward‑Looking Statements” standalone section</w:t>
            </w:r>
          </w:p>
        </w:tc>
        <w:tc>
          <w:tcPr>
            <w:tcW w:w="0" w:type="auto"/>
          </w:tcPr>
          <w:p w14:paraId="6CBEE995" w14:textId="77777777" w:rsidR="00B36EB7" w:rsidRDefault="00000000">
            <w:pPr>
              <w:pStyle w:val="Compact"/>
            </w:pPr>
            <w:r>
              <w:t>Market‑standard (strongly recommended)</w:t>
            </w:r>
          </w:p>
        </w:tc>
        <w:tc>
          <w:tcPr>
            <w:tcW w:w="0" w:type="auto"/>
          </w:tcPr>
          <w:p w14:paraId="7313EF5D" w14:textId="77777777" w:rsidR="00B36EB7" w:rsidRDefault="00000000">
            <w:pPr>
              <w:pStyle w:val="Compact"/>
            </w:pPr>
            <w:r>
              <w:t xml:space="preserve">Not a single rule mandates a standalone chapter, but it operationalises Rule 2.13(c) (qualified projections) and reduces “future story” leakage into unqualified marketing. </w:t>
            </w:r>
            <w:hyperlink r:id="rId25">
              <w:r>
                <w:rPr>
                  <w:rStyle w:val="af"/>
                </w:rPr>
                <w:t>[8]</w:t>
              </w:r>
            </w:hyperlink>
          </w:p>
        </w:tc>
      </w:tr>
      <w:tr w:rsidR="00B36EB7" w14:paraId="12277115" w14:textId="77777777">
        <w:tc>
          <w:tcPr>
            <w:tcW w:w="0" w:type="auto"/>
          </w:tcPr>
          <w:p w14:paraId="5472CDF8" w14:textId="77777777" w:rsidR="00B36EB7" w:rsidRDefault="00000000">
            <w:pPr>
              <w:pStyle w:val="Compact"/>
            </w:pPr>
            <w:r>
              <w:t>Risk Factors designed to be read in isolation; no mitigating facts in risk descriptions</w:t>
            </w:r>
          </w:p>
        </w:tc>
        <w:tc>
          <w:tcPr>
            <w:tcW w:w="0" w:type="auto"/>
          </w:tcPr>
          <w:p w14:paraId="53548AF2" w14:textId="77777777" w:rsidR="00B36EB7" w:rsidRDefault="00000000">
            <w:pPr>
              <w:pStyle w:val="Compact"/>
            </w:pPr>
            <w:r>
              <w:t>HKEX‑expected drafting standard</w:t>
            </w:r>
          </w:p>
        </w:tc>
        <w:tc>
          <w:tcPr>
            <w:tcW w:w="0" w:type="auto"/>
          </w:tcPr>
          <w:p w14:paraId="6D63364F" w14:textId="77777777" w:rsidR="00B36EB7" w:rsidRDefault="00000000">
            <w:pPr>
              <w:pStyle w:val="Compact"/>
            </w:pPr>
            <w:r>
              <w:t xml:space="preserve">Guide 3.3 and GL86‑16 flags: focus on material risks; avoid bundling; avoid mitigating facts within the risk factor itself. </w:t>
            </w:r>
            <w:hyperlink r:id="rId26">
              <w:r>
                <w:rPr>
                  <w:rStyle w:val="af"/>
                </w:rPr>
                <w:t>[18]</w:t>
              </w:r>
            </w:hyperlink>
          </w:p>
        </w:tc>
      </w:tr>
      <w:tr w:rsidR="00B36EB7" w14:paraId="38E8C88B" w14:textId="77777777">
        <w:tc>
          <w:tcPr>
            <w:tcW w:w="0" w:type="auto"/>
          </w:tcPr>
          <w:p w14:paraId="0E29FA30" w14:textId="77777777" w:rsidR="00B36EB7" w:rsidRDefault="00000000">
            <w:pPr>
              <w:pStyle w:val="Compact"/>
            </w:pPr>
            <w:r>
              <w:t>Contractual Arrangements (VIE) chapter</w:t>
            </w:r>
          </w:p>
        </w:tc>
        <w:tc>
          <w:tcPr>
            <w:tcW w:w="0" w:type="auto"/>
          </w:tcPr>
          <w:p w14:paraId="7B6FC8D1" w14:textId="77777777" w:rsidR="00B36EB7" w:rsidRDefault="00000000">
            <w:pPr>
              <w:pStyle w:val="Compact"/>
            </w:pPr>
            <w:r>
              <w:t>Conditional</w:t>
            </w:r>
          </w:p>
        </w:tc>
        <w:tc>
          <w:tcPr>
            <w:tcW w:w="0" w:type="auto"/>
          </w:tcPr>
          <w:p w14:paraId="0A7801C6" w14:textId="77777777" w:rsidR="00B36EB7" w:rsidRDefault="00000000">
            <w:pPr>
              <w:pStyle w:val="Compact"/>
            </w:pPr>
            <w:r>
              <w:t>Included if issuer uses VIE / contractual arrangements; seen in SenseTime contents.</w:t>
            </w:r>
          </w:p>
        </w:tc>
      </w:tr>
      <w:tr w:rsidR="00B36EB7" w14:paraId="6CEC4161" w14:textId="77777777">
        <w:tc>
          <w:tcPr>
            <w:tcW w:w="0" w:type="auto"/>
          </w:tcPr>
          <w:p w14:paraId="55625E80" w14:textId="77777777" w:rsidR="00B36EB7" w:rsidRDefault="00000000">
            <w:pPr>
              <w:pStyle w:val="Compact"/>
            </w:pPr>
            <w:r>
              <w:t>FINI/fully electronic application process notices</w:t>
            </w:r>
          </w:p>
        </w:tc>
        <w:tc>
          <w:tcPr>
            <w:tcW w:w="0" w:type="auto"/>
          </w:tcPr>
          <w:p w14:paraId="39D044D1" w14:textId="77777777" w:rsidR="00B36EB7" w:rsidRDefault="00000000">
            <w:pPr>
              <w:pStyle w:val="Compact"/>
            </w:pPr>
            <w:r>
              <w:t>Now market‑norm</w:t>
            </w:r>
          </w:p>
        </w:tc>
        <w:tc>
          <w:tcPr>
            <w:tcW w:w="0" w:type="auto"/>
          </w:tcPr>
          <w:p w14:paraId="05ECEA7C" w14:textId="77777777" w:rsidR="00B36EB7" w:rsidRDefault="00000000">
            <w:pPr>
              <w:pStyle w:val="Compact"/>
            </w:pPr>
            <w:r>
              <w:t xml:space="preserve">Both prospectuses use fully electronic application notices and process steps; broader system context includes FINI‑driven T+2 settlement digitisation. </w:t>
            </w:r>
            <w:hyperlink r:id="rId27">
              <w:r>
                <w:rPr>
                  <w:rStyle w:val="af"/>
                </w:rPr>
                <w:t>[19]</w:t>
              </w:r>
            </w:hyperlink>
          </w:p>
        </w:tc>
      </w:tr>
    </w:tbl>
    <w:p w14:paraId="3E951821" w14:textId="77777777" w:rsidR="00B36EB7" w:rsidRDefault="00000000">
      <w:pPr>
        <w:pStyle w:val="3"/>
      </w:pPr>
      <w:bookmarkStart w:id="12" w:name="X8ec5703a0543130299b96ed73fbd853c0d6a76f"/>
      <w:bookmarkEnd w:id="11"/>
      <w:r>
        <w:t>Common “defensive phrasing” patterns from the uploaded PDFs</w:t>
      </w:r>
    </w:p>
    <w:p w14:paraId="78CB876C" w14:textId="77777777" w:rsidR="00B36EB7" w:rsidRDefault="00000000">
      <w:pPr>
        <w:pStyle w:val="FirstParagraph"/>
      </w:pPr>
      <w:r>
        <w:rPr>
          <w:b/>
          <w:bCs/>
        </w:rPr>
        <w:t>“Rely only on this prospectus” + “website not part of this document.”</w:t>
      </w:r>
      <w:r>
        <w:t xml:space="preserve"> SenseTime includes the classic instruction: “You should rely only on the information contained in this prospectus…” and explicitly states that information on the issuer’s website “does not form part of this prospectus.”</w:t>
      </w:r>
      <w:r>
        <w:br/>
        <w:t>This is one of the most repeat‑tested devices to prevent roadshow decks, websites, press, or third‑party commentary from being treated as prospectus content.</w:t>
      </w:r>
    </w:p>
    <w:p w14:paraId="3317277B" w14:textId="77777777" w:rsidR="00B36EB7" w:rsidRDefault="00000000">
      <w:pPr>
        <w:pStyle w:val="a0"/>
      </w:pPr>
      <w:r>
        <w:rPr>
          <w:b/>
          <w:bCs/>
        </w:rPr>
        <w:t>Fully electronic application process.</w:t>
      </w:r>
      <w:r>
        <w:t xml:space="preserve"> Both prospectuses adopt language warning that printed prospectuses and printed application forms will not be provided and specify the online application channels (including eIPO and broker/custodian electronic instructions). MiniMax explicitly references broker/custodian applications via the clearing system “through … FINI system.”</w:t>
      </w:r>
      <w:r>
        <w:br/>
      </w:r>
      <w:r>
        <w:lastRenderedPageBreak/>
        <w:t>This maps well to the user’s Word draft guidance that timetables should be precise (time/date) and include a cautionary note that changes will be announced.</w:t>
      </w:r>
    </w:p>
    <w:p w14:paraId="1A526D3B" w14:textId="77777777" w:rsidR="00B36EB7" w:rsidRDefault="00000000">
      <w:pPr>
        <w:pStyle w:val="a0"/>
      </w:pPr>
      <w:r>
        <w:rPr>
          <w:b/>
          <w:bCs/>
        </w:rPr>
        <w:t>Expected timetable as a compliance artifact, not a marketing table.</w:t>
      </w:r>
      <w:r>
        <w:t xml:space="preserve"> SenseTime’s Expected Timetable is a heavily footnoted “precision table,” including bad weather/extreme conditions contingency and a risk warning that trading before certificates become valid is at investors’ own risk.</w:t>
      </w:r>
      <w:r>
        <w:br/>
        <w:t>MiniMax replicates the same architecture, with FINI‑aware workflow language and consistent “website not part of this prospectus” notes.</w:t>
      </w:r>
    </w:p>
    <w:p w14:paraId="67353836" w14:textId="77777777" w:rsidR="00B36EB7" w:rsidRDefault="00000000">
      <w:pPr>
        <w:pStyle w:val="2"/>
      </w:pPr>
      <w:bookmarkStart w:id="13" w:name="Xe0fb20235e4fab145a5f6e2591e6f0e16c5f808"/>
      <w:bookmarkEnd w:id="10"/>
      <w:bookmarkEnd w:id="12"/>
      <w:r>
        <w:t>Words and phrases to avoid, with examples from the uploaded files and safer alternatives</w:t>
      </w:r>
    </w:p>
    <w:p w14:paraId="7FBA7044" w14:textId="77777777" w:rsidR="00B36EB7" w:rsidRDefault="00000000">
      <w:pPr>
        <w:pStyle w:val="3"/>
      </w:pPr>
      <w:bookmarkStart w:id="14" w:name="X05dc46c5488aba98af8862247ac0dc0b62a9336"/>
      <w:r>
        <w:t>Why HKEX (and sponsor counsel) care about “tone” in a tech prospectus</w:t>
      </w:r>
    </w:p>
    <w:p w14:paraId="2E71DC30" w14:textId="77777777" w:rsidR="00B36EB7" w:rsidRDefault="00000000">
      <w:pPr>
        <w:pStyle w:val="FirstParagraph"/>
      </w:pPr>
      <w:r>
        <w:t xml:space="preserve">Under Rule 2.13, the core risk is not merely “false statements,” but </w:t>
      </w:r>
      <w:r>
        <w:rPr>
          <w:b/>
          <w:bCs/>
        </w:rPr>
        <w:t>misleading impression</w:t>
      </w:r>
      <w:r>
        <w:t xml:space="preserve"> created by (i) omission/downplaying of unfavourable facts, (ii) converting possibilities to certainty, and (iii) unqualified projections. This is exactly where tech prospectuses tend to drift: “we are leading,” “first‑of‑its‑kind,” “industry‑leading accuracy,” “mass production,” “largest in Asia,” etc., especially when coupled with selective metrics and without tight definitions/sourcing. </w:t>
      </w:r>
      <w:hyperlink r:id="rId28">
        <w:r>
          <w:rPr>
            <w:rStyle w:val="af"/>
          </w:rPr>
          <w:t>[8]</w:t>
        </w:r>
      </w:hyperlink>
    </w:p>
    <w:p w14:paraId="6118DE19" w14:textId="77777777" w:rsidR="00B36EB7" w:rsidRDefault="00000000">
      <w:pPr>
        <w:pStyle w:val="a0"/>
      </w:pPr>
      <w:r>
        <w:t>In SenseTime’s Summary, marketing‑adjacent phrasing appears alongside sourced claims. For example, “We are a leading AI software company…” and “first‑of‑its‑kind universal AI infrastructure…” are stylistically promotional; they may be acceptable only if (a) measurable, (b) sourced/defined, and (c) balanced by limitations and risk cross‑references.</w:t>
      </w:r>
    </w:p>
    <w:p w14:paraId="120D5BEC" w14:textId="77777777" w:rsidR="00B36EB7" w:rsidRDefault="00000000">
      <w:pPr>
        <w:pStyle w:val="a0"/>
      </w:pPr>
      <w:r>
        <w:t xml:space="preserve">Separately, the Exchange requires discipline on the handling of statistics/data: GL98‑18 distinguishes among official/public sources, expert reports, and commissioned/non‑commissioned research reports and limits when cautionary language is permitted; critically, cautionary language limiting directors’/sponsors’ responsibility is </w:t>
      </w:r>
      <w:r>
        <w:rPr>
          <w:b/>
          <w:bCs/>
        </w:rPr>
        <w:t>not allowed for expert reports</w:t>
      </w:r>
      <w:r>
        <w:t xml:space="preserve">, and is only appropriate (with constraints) for other data sources. </w:t>
      </w:r>
      <w:hyperlink r:id="rId29">
        <w:r>
          <w:rPr>
            <w:rStyle w:val="af"/>
          </w:rPr>
          <w:t>[20]</w:t>
        </w:r>
      </w:hyperlink>
    </w:p>
    <w:p w14:paraId="258C235C" w14:textId="77777777" w:rsidR="00B36EB7" w:rsidRDefault="00000000">
      <w:pPr>
        <w:pStyle w:val="3"/>
      </w:pPr>
      <w:bookmarkStart w:id="15" w:name="X33a9c8a99588bf275d3be7901a71dc0e3953733"/>
      <w:bookmarkEnd w:id="14"/>
      <w:r>
        <w:t>Concrete examples from the uploaded prospectuses and “sponsor‑safe” rewrites</w:t>
      </w:r>
    </w:p>
    <w:p w14:paraId="0C3543DC" w14:textId="77777777" w:rsidR="00B36EB7" w:rsidRDefault="00000000">
      <w:pPr>
        <w:pStyle w:val="FirstParagraph"/>
      </w:pPr>
      <w:r>
        <w:t xml:space="preserve">Below is a table of </w:t>
      </w:r>
      <w:r>
        <w:rPr>
          <w:b/>
          <w:bCs/>
        </w:rPr>
        <w:t>problematic phrases</w:t>
      </w:r>
      <w:r>
        <w:t xml:space="preserve"> (pulled from the uploaded PDFs where available) versus alternative drafting that is (i) less absolute, (ii) more verifiable, and (iii) better aligned with Rule 2.13 and GL98‑18.</w:t>
      </w:r>
    </w:p>
    <w:tbl>
      <w:tblPr>
        <w:tblStyle w:val="Table"/>
        <w:tblW w:w="0" w:type="auto"/>
        <w:tblLook w:val="0020" w:firstRow="1" w:lastRow="0" w:firstColumn="0" w:lastColumn="0" w:noHBand="0" w:noVBand="0"/>
      </w:tblPr>
      <w:tblGrid>
        <w:gridCol w:w="1882"/>
        <w:gridCol w:w="2168"/>
        <w:gridCol w:w="2292"/>
        <w:gridCol w:w="2514"/>
      </w:tblGrid>
      <w:tr w:rsidR="00B36EB7" w14:paraId="02B067F1" w14:textId="77777777" w:rsidTr="00B36EB7">
        <w:trPr>
          <w:cnfStyle w:val="100000000000" w:firstRow="1" w:lastRow="0" w:firstColumn="0" w:lastColumn="0" w:oddVBand="0" w:evenVBand="0" w:oddHBand="0" w:evenHBand="0" w:firstRowFirstColumn="0" w:firstRowLastColumn="0" w:lastRowFirstColumn="0" w:lastRowLastColumn="0"/>
          <w:tblHeader/>
        </w:trPr>
        <w:tc>
          <w:tcPr>
            <w:tcW w:w="0" w:type="auto"/>
          </w:tcPr>
          <w:p w14:paraId="727914AD" w14:textId="77777777" w:rsidR="00B36EB7" w:rsidRDefault="00000000">
            <w:pPr>
              <w:pStyle w:val="Compact"/>
            </w:pPr>
            <w:r>
              <w:t>Problematic / high‑risk phrasing</w:t>
            </w:r>
          </w:p>
        </w:tc>
        <w:tc>
          <w:tcPr>
            <w:tcW w:w="0" w:type="auto"/>
          </w:tcPr>
          <w:p w14:paraId="2A1B352C" w14:textId="77777777" w:rsidR="00B36EB7" w:rsidRDefault="00000000">
            <w:pPr>
              <w:pStyle w:val="Compact"/>
            </w:pPr>
            <w:r>
              <w:t>Example from uploaded files</w:t>
            </w:r>
          </w:p>
        </w:tc>
        <w:tc>
          <w:tcPr>
            <w:tcW w:w="0" w:type="auto"/>
          </w:tcPr>
          <w:p w14:paraId="70D3AA6E" w14:textId="77777777" w:rsidR="00B36EB7" w:rsidRDefault="00000000">
            <w:pPr>
              <w:pStyle w:val="Compact"/>
            </w:pPr>
            <w:r>
              <w:t>Why risky (HKEX lens)</w:t>
            </w:r>
          </w:p>
        </w:tc>
        <w:tc>
          <w:tcPr>
            <w:tcW w:w="0" w:type="auto"/>
          </w:tcPr>
          <w:p w14:paraId="033E28D0" w14:textId="77777777" w:rsidR="00B36EB7" w:rsidRDefault="00000000">
            <w:pPr>
              <w:pStyle w:val="Compact"/>
            </w:pPr>
            <w:r>
              <w:t>Safer alternative (structure + sample)</w:t>
            </w:r>
          </w:p>
        </w:tc>
      </w:tr>
      <w:tr w:rsidR="00B36EB7" w14:paraId="5592E964" w14:textId="77777777">
        <w:tc>
          <w:tcPr>
            <w:tcW w:w="0" w:type="auto"/>
          </w:tcPr>
          <w:p w14:paraId="44903AC1" w14:textId="77777777" w:rsidR="00B36EB7" w:rsidRDefault="00000000">
            <w:pPr>
              <w:pStyle w:val="Compact"/>
            </w:pPr>
            <w:r>
              <w:lastRenderedPageBreak/>
              <w:t>“leading / largest / #1” without tight scope</w:t>
            </w:r>
          </w:p>
        </w:tc>
        <w:tc>
          <w:tcPr>
            <w:tcW w:w="0" w:type="auto"/>
          </w:tcPr>
          <w:p w14:paraId="6C2AE369" w14:textId="77777777" w:rsidR="00B36EB7" w:rsidRDefault="00000000">
            <w:pPr>
              <w:pStyle w:val="Compact"/>
            </w:pPr>
            <w:r>
              <w:t>“We are a leading AI software company… largest… in Asia… market share of 11%… according to Frost &amp; Sullivan.”</w:t>
            </w:r>
          </w:p>
        </w:tc>
        <w:tc>
          <w:tcPr>
            <w:tcW w:w="0" w:type="auto"/>
          </w:tcPr>
          <w:p w14:paraId="44631B85" w14:textId="77777777" w:rsidR="00B36EB7" w:rsidRDefault="00000000">
            <w:pPr>
              <w:pStyle w:val="Compact"/>
            </w:pPr>
            <w:r>
              <w:t xml:space="preserve">“Leading” is ambiguous; needs scope (region, segment, metric, period). Even if a source exists, undefined terms can be misleading by over‑generalisation. </w:t>
            </w:r>
            <w:hyperlink r:id="rId30">
              <w:r>
                <w:rPr>
                  <w:rStyle w:val="af"/>
                </w:rPr>
                <w:t>[21]</w:t>
              </w:r>
            </w:hyperlink>
          </w:p>
        </w:tc>
        <w:tc>
          <w:tcPr>
            <w:tcW w:w="0" w:type="auto"/>
          </w:tcPr>
          <w:p w14:paraId="29239835" w14:textId="77777777" w:rsidR="00B36EB7" w:rsidRDefault="00000000">
            <w:pPr>
              <w:pStyle w:val="Compact"/>
            </w:pPr>
            <w:r>
              <w:rPr>
                <w:b/>
                <w:bCs/>
              </w:rPr>
              <w:t>Structure:</w:t>
            </w:r>
            <w:r>
              <w:t xml:space="preserve"> “According to [source], based on [metric/period/scope], we ranked [rank] in [defined market].” </w:t>
            </w:r>
            <w:r>
              <w:rPr>
                <w:b/>
                <w:bCs/>
              </w:rPr>
              <w:t>Sample:</w:t>
            </w:r>
            <w:r>
              <w:t xml:space="preserve"> “According to [F&amp;S], by 2020 revenue in [defined AI software market], we ranked [x] in [region].”</w:t>
            </w:r>
          </w:p>
        </w:tc>
      </w:tr>
      <w:tr w:rsidR="00B36EB7" w14:paraId="4013ADBA" w14:textId="77777777">
        <w:tc>
          <w:tcPr>
            <w:tcW w:w="0" w:type="auto"/>
          </w:tcPr>
          <w:p w14:paraId="00108DC1" w14:textId="77777777" w:rsidR="00B36EB7" w:rsidRDefault="00000000">
            <w:pPr>
              <w:pStyle w:val="Compact"/>
            </w:pPr>
            <w:r>
              <w:t>“first‑of‑its‑kind / cutting‑edge / industry‑leading / superior accuracy”</w:t>
            </w:r>
          </w:p>
        </w:tc>
        <w:tc>
          <w:tcPr>
            <w:tcW w:w="0" w:type="auto"/>
          </w:tcPr>
          <w:p w14:paraId="161AD239" w14:textId="77777777" w:rsidR="00B36EB7" w:rsidRDefault="00000000">
            <w:pPr>
              <w:pStyle w:val="Compact"/>
            </w:pPr>
            <w:r>
              <w:t>“first‑of‑its‑kind universal AI infrastructure…”; “cutting‑edge research…”; “industry‑leading… accuracy.”</w:t>
            </w:r>
          </w:p>
        </w:tc>
        <w:tc>
          <w:tcPr>
            <w:tcW w:w="0" w:type="auto"/>
          </w:tcPr>
          <w:p w14:paraId="1DFF9586" w14:textId="77777777" w:rsidR="00B36EB7" w:rsidRDefault="00000000">
            <w:pPr>
              <w:pStyle w:val="Compact"/>
            </w:pPr>
            <w:r>
              <w:t xml:space="preserve">Superlatives are hard to verify and may imply undocumented benchmarking; may be treated as promotional unless anchored to objective tests / publications / patents with limits. </w:t>
            </w:r>
            <w:hyperlink r:id="rId31">
              <w:r>
                <w:rPr>
                  <w:rStyle w:val="af"/>
                </w:rPr>
                <w:t>[8]</w:t>
              </w:r>
            </w:hyperlink>
          </w:p>
        </w:tc>
        <w:tc>
          <w:tcPr>
            <w:tcW w:w="0" w:type="auto"/>
          </w:tcPr>
          <w:p w14:paraId="7117FB61" w14:textId="77777777" w:rsidR="00B36EB7" w:rsidRDefault="00000000">
            <w:pPr>
              <w:pStyle w:val="Compact"/>
            </w:pPr>
            <w:r>
              <w:t xml:space="preserve">Replace with </w:t>
            </w:r>
            <w:r>
              <w:rPr>
                <w:b/>
                <w:bCs/>
              </w:rPr>
              <w:t>fact patterns</w:t>
            </w:r>
            <w:r>
              <w:t>: patents filed/granted, peer‑reviewed publications, benchmark names, testing methodology, date, and a neutral verbal frame (e.g., “has achieved [result] in [benchmark]”).</w:t>
            </w:r>
          </w:p>
        </w:tc>
      </w:tr>
      <w:tr w:rsidR="00B36EB7" w14:paraId="47C231F1" w14:textId="77777777">
        <w:tc>
          <w:tcPr>
            <w:tcW w:w="0" w:type="auto"/>
          </w:tcPr>
          <w:p w14:paraId="4DFC8B37" w14:textId="77777777" w:rsidR="00B36EB7" w:rsidRDefault="00000000">
            <w:pPr>
              <w:pStyle w:val="Compact"/>
            </w:pPr>
            <w:r>
              <w:t>“we will / we shall / we must achieve” (unqualified forward‑looking)</w:t>
            </w:r>
          </w:p>
        </w:tc>
        <w:tc>
          <w:tcPr>
            <w:tcW w:w="0" w:type="auto"/>
          </w:tcPr>
          <w:p w14:paraId="6C75A43B" w14:textId="77777777" w:rsidR="00B36EB7" w:rsidRDefault="00000000">
            <w:pPr>
              <w:pStyle w:val="Compact"/>
            </w:pPr>
            <w:r>
              <w:t>Noted as a general drafting pitfall; Forward‑Looking Statements usually lists triggers like “expect/aim/plan.”</w:t>
            </w:r>
          </w:p>
        </w:tc>
        <w:tc>
          <w:tcPr>
            <w:tcW w:w="0" w:type="auto"/>
          </w:tcPr>
          <w:p w14:paraId="782A50CF" w14:textId="77777777" w:rsidR="00B36EB7" w:rsidRDefault="00000000">
            <w:pPr>
              <w:pStyle w:val="Compact"/>
            </w:pPr>
            <w:r>
              <w:t xml:space="preserve">Rule 2.13(c) flags projections without sufficient qualification; tech narratives often embed projections outside the FLS section. </w:t>
            </w:r>
            <w:hyperlink r:id="rId32">
              <w:r>
                <w:rPr>
                  <w:rStyle w:val="af"/>
                </w:rPr>
                <w:t>[8]</w:t>
              </w:r>
            </w:hyperlink>
          </w:p>
        </w:tc>
        <w:tc>
          <w:tcPr>
            <w:tcW w:w="0" w:type="auto"/>
          </w:tcPr>
          <w:p w14:paraId="0A6B0C44" w14:textId="77777777" w:rsidR="00B36EB7" w:rsidRDefault="00000000">
            <w:pPr>
              <w:pStyle w:val="Compact"/>
            </w:pPr>
            <w:r>
              <w:t>Use “intend / plan / expect / may” + assumptions + explicit uncertainty + cross‑reference to risk factors.</w:t>
            </w:r>
          </w:p>
        </w:tc>
      </w:tr>
      <w:tr w:rsidR="00B36EB7" w14:paraId="06C4337C" w14:textId="77777777">
        <w:tc>
          <w:tcPr>
            <w:tcW w:w="0" w:type="auto"/>
          </w:tcPr>
          <w:p w14:paraId="0002CEF5" w14:textId="77777777" w:rsidR="00B36EB7" w:rsidRDefault="00000000">
            <w:pPr>
              <w:pStyle w:val="Compact"/>
            </w:pPr>
            <w:r>
              <w:t xml:space="preserve">“high investment risks / inflated valuation due to difficulty valuing” (required warning) used inconsistently </w:t>
            </w:r>
            <w:r>
              <w:lastRenderedPageBreak/>
              <w:t>elsewhere</w:t>
            </w:r>
          </w:p>
        </w:tc>
        <w:tc>
          <w:tcPr>
            <w:tcW w:w="0" w:type="auto"/>
          </w:tcPr>
          <w:p w14:paraId="06CA4FC5" w14:textId="77777777" w:rsidR="00B36EB7" w:rsidRDefault="00000000">
            <w:pPr>
              <w:pStyle w:val="Compact"/>
            </w:pPr>
            <w:r>
              <w:lastRenderedPageBreak/>
              <w:t>MiniMax includes mandatory warning: “carry high investment risks… inflated valuation…”</w:t>
            </w:r>
          </w:p>
        </w:tc>
        <w:tc>
          <w:tcPr>
            <w:tcW w:w="0" w:type="auto"/>
          </w:tcPr>
          <w:p w14:paraId="1A62E5FA" w14:textId="77777777" w:rsidR="00B36EB7" w:rsidRDefault="00000000">
            <w:pPr>
              <w:pStyle w:val="Compact"/>
            </w:pPr>
            <w:r>
              <w:t xml:space="preserve">Once a risk is singled out at cover level, inconsistent minimising language elsewhere creates internal inconsistency (GL86‑16 / Guide 3.3: consistent </w:t>
            </w:r>
            <w:r>
              <w:lastRenderedPageBreak/>
              <w:t xml:space="preserve">disclosure, avoid mitigating facts in risk factors). </w:t>
            </w:r>
            <w:hyperlink r:id="rId33">
              <w:r>
                <w:rPr>
                  <w:rStyle w:val="af"/>
                </w:rPr>
                <w:t>[22]</w:t>
              </w:r>
            </w:hyperlink>
          </w:p>
        </w:tc>
        <w:tc>
          <w:tcPr>
            <w:tcW w:w="0" w:type="auto"/>
          </w:tcPr>
          <w:p w14:paraId="5F1D6BFA" w14:textId="77777777" w:rsidR="00B36EB7" w:rsidRDefault="00000000">
            <w:pPr>
              <w:pStyle w:val="Compact"/>
            </w:pPr>
            <w:r>
              <w:lastRenderedPageBreak/>
              <w:t xml:space="preserve">Ensure the same risk is: (a) defined in Risk Factors; (b) echoed neutrally in Summary; (c) not “offset” inside the risk description with mitigation. Keep mitigation in Business/Strategy </w:t>
            </w:r>
            <w:r>
              <w:lastRenderedPageBreak/>
              <w:t>sections with cross‑reference.</w:t>
            </w:r>
          </w:p>
        </w:tc>
      </w:tr>
      <w:tr w:rsidR="00B36EB7" w14:paraId="6E3984B0" w14:textId="77777777">
        <w:tc>
          <w:tcPr>
            <w:tcW w:w="0" w:type="auto"/>
          </w:tcPr>
          <w:p w14:paraId="2FF7D179" w14:textId="77777777" w:rsidR="00B36EB7" w:rsidRDefault="00000000">
            <w:pPr>
              <w:pStyle w:val="Compact"/>
            </w:pPr>
            <w:r>
              <w:lastRenderedPageBreak/>
              <w:t>“no risk / fully compliant / no incidents” absolute negatives</w:t>
            </w:r>
          </w:p>
        </w:tc>
        <w:tc>
          <w:tcPr>
            <w:tcW w:w="0" w:type="auto"/>
          </w:tcPr>
          <w:p w14:paraId="512BD5FD" w14:textId="77777777" w:rsidR="00B36EB7" w:rsidRDefault="00000000">
            <w:pPr>
              <w:pStyle w:val="Compact"/>
            </w:pPr>
            <w:r>
              <w:t xml:space="preserve">Common tech temptation in privacy/cyber/IP; the Business section must disclose compliance status and incident history. </w:t>
            </w:r>
            <w:hyperlink r:id="rId34">
              <w:r>
                <w:rPr>
                  <w:rStyle w:val="af"/>
                </w:rPr>
                <w:t>[23]</w:t>
              </w:r>
            </w:hyperlink>
          </w:p>
        </w:tc>
        <w:tc>
          <w:tcPr>
            <w:tcW w:w="0" w:type="auto"/>
          </w:tcPr>
          <w:p w14:paraId="19BD2C3F" w14:textId="77777777" w:rsidR="00B36EB7" w:rsidRDefault="00000000">
            <w:pPr>
              <w:pStyle w:val="Compact"/>
            </w:pPr>
            <w:r>
              <w:t xml:space="preserve">Absolute negatives are hard to maintain through LPD; better to frame by period/scope and materiality. </w:t>
            </w:r>
            <w:hyperlink r:id="rId35">
              <w:r>
                <w:rPr>
                  <w:rStyle w:val="af"/>
                </w:rPr>
                <w:t>[8]</w:t>
              </w:r>
            </w:hyperlink>
          </w:p>
        </w:tc>
        <w:tc>
          <w:tcPr>
            <w:tcW w:w="0" w:type="auto"/>
          </w:tcPr>
          <w:p w14:paraId="09571E7E" w14:textId="77777777" w:rsidR="00B36EB7" w:rsidRDefault="00000000">
            <w:pPr>
              <w:pStyle w:val="Compact"/>
            </w:pPr>
            <w:r>
              <w:t xml:space="preserve">“To our knowledge, during [period] and within [scope], we did not experience any </w:t>
            </w:r>
            <w:r>
              <w:rPr>
                <w:b/>
                <w:bCs/>
              </w:rPr>
              <w:t>material</w:t>
            </w:r>
            <w:r>
              <w:t xml:space="preserve"> [incident]; however, we may be subject to [risk].”</w:t>
            </w:r>
          </w:p>
        </w:tc>
      </w:tr>
      <w:tr w:rsidR="00B36EB7" w14:paraId="46EAFD77" w14:textId="77777777">
        <w:tc>
          <w:tcPr>
            <w:tcW w:w="0" w:type="auto"/>
          </w:tcPr>
          <w:p w14:paraId="2FA447A1" w14:textId="77777777" w:rsidR="00B36EB7" w:rsidRDefault="00000000">
            <w:pPr>
              <w:pStyle w:val="Compact"/>
            </w:pPr>
            <w:r>
              <w:t>“profitability by year X” or “margin will be Y%”</w:t>
            </w:r>
          </w:p>
        </w:tc>
        <w:tc>
          <w:tcPr>
            <w:tcW w:w="0" w:type="auto"/>
          </w:tcPr>
          <w:p w14:paraId="4C5CB059" w14:textId="77777777" w:rsidR="00B36EB7" w:rsidRDefault="00000000">
            <w:pPr>
              <w:pStyle w:val="Compact"/>
            </w:pPr>
            <w:r>
              <w:t xml:space="preserve">Often appears in growth stories; HKEX treats implicit quantification as profit forecast/estimate. </w:t>
            </w:r>
            <w:hyperlink r:id="rId36">
              <w:r>
                <w:rPr>
                  <w:rStyle w:val="af"/>
                </w:rPr>
                <w:t>[24]</w:t>
              </w:r>
            </w:hyperlink>
          </w:p>
        </w:tc>
        <w:tc>
          <w:tcPr>
            <w:tcW w:w="0" w:type="auto"/>
          </w:tcPr>
          <w:p w14:paraId="1AE61D67" w14:textId="77777777" w:rsidR="00B36EB7" w:rsidRDefault="00000000">
            <w:pPr>
              <w:pStyle w:val="Compact"/>
            </w:pPr>
            <w:r>
              <w:t xml:space="preserve">May trigger Rule 11.16–11.19 (profit forecast regime) with reporting accountant/sponsor reporting obligations. </w:t>
            </w:r>
            <w:hyperlink r:id="rId37">
              <w:r>
                <w:rPr>
                  <w:rStyle w:val="af"/>
                </w:rPr>
                <w:t>[25]</w:t>
              </w:r>
            </w:hyperlink>
          </w:p>
        </w:tc>
        <w:tc>
          <w:tcPr>
            <w:tcW w:w="0" w:type="auto"/>
          </w:tcPr>
          <w:p w14:paraId="0902AE72" w14:textId="77777777" w:rsidR="00B36EB7" w:rsidRDefault="00000000">
            <w:pPr>
              <w:pStyle w:val="Compact"/>
            </w:pPr>
            <w:r>
              <w:t>Focus on operational drivers and non‑profit KPIs; state uncertainty; avoid quantifying future profits/margins unless proceeding formally under profit forecast rules.</w:t>
            </w:r>
          </w:p>
        </w:tc>
      </w:tr>
      <w:tr w:rsidR="00B36EB7" w14:paraId="5B7D46BB" w14:textId="77777777">
        <w:tc>
          <w:tcPr>
            <w:tcW w:w="0" w:type="auto"/>
          </w:tcPr>
          <w:p w14:paraId="400AA4F5" w14:textId="77777777" w:rsidR="00B36EB7" w:rsidRDefault="00000000">
            <w:pPr>
              <w:pStyle w:val="Compact"/>
            </w:pPr>
            <w:r>
              <w:t>“data is accurate; we accept no responsibility” for expert reports</w:t>
            </w:r>
          </w:p>
        </w:tc>
        <w:tc>
          <w:tcPr>
            <w:tcW w:w="0" w:type="auto"/>
          </w:tcPr>
          <w:p w14:paraId="736725F7" w14:textId="77777777" w:rsidR="00B36EB7" w:rsidRDefault="00000000">
            <w:pPr>
              <w:pStyle w:val="Compact"/>
            </w:pPr>
            <w:r>
              <w:t xml:space="preserve">GL98‑18 prohibits cautionary language limiting directors/sponsors responsibility for expert reports. </w:t>
            </w:r>
            <w:hyperlink r:id="rId38">
              <w:r>
                <w:rPr>
                  <w:rStyle w:val="af"/>
                </w:rPr>
                <w:t>[20]</w:t>
              </w:r>
            </w:hyperlink>
          </w:p>
        </w:tc>
        <w:tc>
          <w:tcPr>
            <w:tcW w:w="0" w:type="auto"/>
          </w:tcPr>
          <w:p w14:paraId="57286233" w14:textId="77777777" w:rsidR="00B36EB7" w:rsidRDefault="00000000">
            <w:pPr>
              <w:pStyle w:val="Compact"/>
            </w:pPr>
            <w:r>
              <w:t xml:space="preserve">Non‑compliant for expert reports; can be acceptable (with constraints) for other sources. </w:t>
            </w:r>
            <w:hyperlink r:id="rId39">
              <w:r>
                <w:rPr>
                  <w:rStyle w:val="af"/>
                </w:rPr>
                <w:t>[20]</w:t>
              </w:r>
            </w:hyperlink>
          </w:p>
        </w:tc>
        <w:tc>
          <w:tcPr>
            <w:tcW w:w="0" w:type="auto"/>
          </w:tcPr>
          <w:p w14:paraId="434C26E7" w14:textId="77777777" w:rsidR="00B36EB7" w:rsidRDefault="00000000">
            <w:pPr>
              <w:pStyle w:val="Compact"/>
            </w:pPr>
            <w:r>
              <w:t>For expert reports: do not disclaim responsibility; instead explain basis for reliance and expert qualification as required. For other research: use GL98‑18‑aligned cautionary language.</w:t>
            </w:r>
          </w:p>
        </w:tc>
      </w:tr>
    </w:tbl>
    <w:p w14:paraId="700F5377" w14:textId="77777777" w:rsidR="00B36EB7" w:rsidRDefault="00000000">
      <w:pPr>
        <w:pStyle w:val="a0"/>
      </w:pPr>
      <w:r>
        <w:rPr>
          <w:b/>
          <w:bCs/>
        </w:rPr>
        <w:t>A practical sponsor counsel rule of thumb:</w:t>
      </w:r>
      <w:r>
        <w:t xml:space="preserve"> if a sentence contains (i) a superlative, (ii) a future verb, or (iii) a precise number, the drafting must </w:t>
      </w:r>
      <w:r>
        <w:rPr>
          <w:b/>
          <w:bCs/>
        </w:rPr>
        <w:t>attach one of three “anchors”</w:t>
      </w:r>
      <w:r>
        <w:t xml:space="preserve">: (A) definition + measurement method; (B) source + scope + date; (C) assumption + qualifier + risk cross‑reference. This is directly responsive to Rule 2.13 and GL98‑18. </w:t>
      </w:r>
      <w:hyperlink r:id="rId40">
        <w:r>
          <w:rPr>
            <w:rStyle w:val="af"/>
          </w:rPr>
          <w:t>[21]</w:t>
        </w:r>
      </w:hyperlink>
    </w:p>
    <w:p w14:paraId="1701ECC7" w14:textId="77777777" w:rsidR="00B36EB7" w:rsidRDefault="00000000">
      <w:pPr>
        <w:pStyle w:val="2"/>
      </w:pPr>
      <w:bookmarkStart w:id="16" w:name="X7f2f221b410001a1fd2695ac2d99788894a3523"/>
      <w:bookmarkEnd w:id="13"/>
      <w:bookmarkEnd w:id="15"/>
      <w:r>
        <w:lastRenderedPageBreak/>
        <w:t>Annotated Word‑friendly output template that preserves and upgrades the user’s Word draft</w:t>
      </w:r>
    </w:p>
    <w:p w14:paraId="3FE53B2D" w14:textId="77777777" w:rsidR="00B36EB7" w:rsidRDefault="00000000">
      <w:pPr>
        <w:pStyle w:val="3"/>
      </w:pPr>
      <w:bookmarkStart w:id="17" w:name="template-design-goals-and-conventions"/>
      <w:r>
        <w:t>Template design goals and conventions</w:t>
      </w:r>
    </w:p>
    <w:p w14:paraId="581BFF9E" w14:textId="77777777" w:rsidR="00B36EB7" w:rsidRDefault="00000000">
      <w:pPr>
        <w:pStyle w:val="FirstParagraph"/>
      </w:pPr>
      <w:r>
        <w:t>The user’s Word draft already contains substantial section‑by‑section guidance on purpose, required items, tone, and formatting for key early chapters (Expected Timetable, Contents, Summary, Definitions, Glossary, Forward‑Looking Statements, Risk Factors, Waivers).</w:t>
      </w:r>
      <w:r>
        <w:br/>
        <w:t xml:space="preserve">This template </w:t>
      </w:r>
      <w:r>
        <w:rPr>
          <w:b/>
          <w:bCs/>
        </w:rPr>
        <w:t>does not delete</w:t>
      </w:r>
      <w:r>
        <w:t xml:space="preserve"> those modules. Instead it: - </w:t>
      </w:r>
      <w:r>
        <w:rPr>
          <w:b/>
          <w:bCs/>
        </w:rPr>
        <w:t>Wraps each original module in a “PRESERVED” block</w:t>
      </w:r>
      <w:r>
        <w:t>,</w:t>
      </w:r>
      <w:r>
        <w:br/>
        <w:t xml:space="preserve">- Adds </w:t>
      </w:r>
      <w:r>
        <w:rPr>
          <w:b/>
          <w:bCs/>
        </w:rPr>
        <w:t>Sponsor Counsel Enhancements</w:t>
      </w:r>
      <w:r>
        <w:t xml:space="preserve"> (mandatory rules text insertion points, verification hooks, and cross‑reference discipline), and</w:t>
      </w:r>
      <w:r>
        <w:br/>
        <w:t xml:space="preserve">- Adds a </w:t>
      </w:r>
      <w:r>
        <w:rPr>
          <w:b/>
          <w:bCs/>
        </w:rPr>
        <w:t>Prospectus‑ready sample paragraph</w:t>
      </w:r>
      <w:r>
        <w:t xml:space="preserve"> for each major section, written by </w:t>
      </w:r>
      <w:r>
        <w:rPr>
          <w:i/>
          <w:iCs/>
        </w:rPr>
        <w:t>editing the user’s original wording into compliant prospectus prose</w:t>
      </w:r>
      <w:r>
        <w:t xml:space="preserve"> rather than replacing it with new concepts.</w:t>
      </w:r>
    </w:p>
    <w:p w14:paraId="452A3B2C" w14:textId="77777777" w:rsidR="00B36EB7" w:rsidRDefault="00000000">
      <w:pPr>
        <w:pStyle w:val="4"/>
      </w:pPr>
      <w:bookmarkStart w:id="18" w:name="X01b01a917f778343dfecdb92dc4700fbf22700c"/>
      <w:r>
        <w:t>Inline AI annotation conventions (recommended)</w:t>
      </w:r>
    </w:p>
    <w:p w14:paraId="002CDA9C" w14:textId="77777777" w:rsidR="00B36EB7" w:rsidRDefault="00000000">
      <w:pPr>
        <w:pStyle w:val="FirstParagraph"/>
      </w:pPr>
      <w:r>
        <w:t>Use a single, consistent tag syntax that can be parsed by an AI agent and exported into verification notes:</w:t>
      </w:r>
    </w:p>
    <w:p w14:paraId="53CB3B0F" w14:textId="77777777" w:rsidR="00B36EB7" w:rsidRDefault="00000000">
      <w:pPr>
        <w:pStyle w:val="Compact"/>
        <w:numPr>
          <w:ilvl w:val="0"/>
          <w:numId w:val="2"/>
        </w:numPr>
      </w:pPr>
      <w:r>
        <w:rPr>
          <w:rStyle w:val="VerbatimChar"/>
        </w:rPr>
        <w:t>[[AI:LOCKED|...]]</w:t>
      </w:r>
      <w:r>
        <w:t xml:space="preserve"> = do not modify without counsel sign‑off (e.g., Rule 11.20 disclaimer).</w:t>
      </w:r>
    </w:p>
    <w:p w14:paraId="36A5849E" w14:textId="77777777" w:rsidR="00B36EB7" w:rsidRDefault="00000000">
      <w:pPr>
        <w:pStyle w:val="Compact"/>
        <w:numPr>
          <w:ilvl w:val="0"/>
          <w:numId w:val="2"/>
        </w:numPr>
      </w:pPr>
      <w:r>
        <w:rPr>
          <w:rStyle w:val="VerbatimChar"/>
        </w:rPr>
        <w:t>[[AI:VERIFY|...]]</w:t>
      </w:r>
      <w:r>
        <w:t xml:space="preserve"> = verification item; must be supported by evidence (contract, permit, policy, report, board minutes).</w:t>
      </w:r>
    </w:p>
    <w:p w14:paraId="06DD8548" w14:textId="77777777" w:rsidR="00B36EB7" w:rsidRDefault="00000000">
      <w:pPr>
        <w:pStyle w:val="Compact"/>
        <w:numPr>
          <w:ilvl w:val="0"/>
          <w:numId w:val="2"/>
        </w:numPr>
      </w:pPr>
      <w:r>
        <w:rPr>
          <w:rStyle w:val="VerbatimChar"/>
        </w:rPr>
        <w:t>[[AI:CITE|source=...; scope=...; date=...]]</w:t>
      </w:r>
      <w:r>
        <w:t xml:space="preserve"> = required citation metadata for market/industry data and key factual assertions (GL98‑18). </w:t>
      </w:r>
      <w:hyperlink r:id="rId41">
        <w:r>
          <w:rPr>
            <w:rStyle w:val="af"/>
          </w:rPr>
          <w:t>[20]</w:t>
        </w:r>
      </w:hyperlink>
    </w:p>
    <w:p w14:paraId="7B4ED380" w14:textId="77777777" w:rsidR="00B36EB7" w:rsidRDefault="00000000">
      <w:pPr>
        <w:pStyle w:val="Compact"/>
        <w:numPr>
          <w:ilvl w:val="0"/>
          <w:numId w:val="2"/>
        </w:numPr>
      </w:pPr>
      <w:r>
        <w:rPr>
          <w:rStyle w:val="VerbatimChar"/>
        </w:rPr>
        <w:t>[[AI:XREF|to=...]]</w:t>
      </w:r>
      <w:r>
        <w:t xml:space="preserve"> = required internal cross‑reference consistency.</w:t>
      </w:r>
    </w:p>
    <w:p w14:paraId="1A14C61F" w14:textId="77777777" w:rsidR="00B36EB7" w:rsidRDefault="00000000">
      <w:pPr>
        <w:pStyle w:val="Compact"/>
        <w:numPr>
          <w:ilvl w:val="0"/>
          <w:numId w:val="2"/>
        </w:numPr>
      </w:pPr>
      <w:r>
        <w:rPr>
          <w:rStyle w:val="VerbatimChar"/>
        </w:rPr>
        <w:t>[[AI:LPD|refresh=...]]</w:t>
      </w:r>
      <w:r>
        <w:t xml:space="preserve"> = must be refreshed at Latest Practicable Date.</w:t>
      </w:r>
    </w:p>
    <w:p w14:paraId="2A01470A" w14:textId="77777777" w:rsidR="00B36EB7" w:rsidRDefault="00000000">
      <w:pPr>
        <w:pStyle w:val="3"/>
      </w:pPr>
      <w:bookmarkStart w:id="19" w:name="X4268c0b8f9334f60a344820e1fca3afdb4ae36a"/>
      <w:bookmarkEnd w:id="17"/>
      <w:bookmarkEnd w:id="18"/>
      <w:r>
        <w:t>Word‑friendly plain‑text structure (preserving the user’s draft modules)</w:t>
      </w:r>
    </w:p>
    <w:p w14:paraId="0E0F11D1" w14:textId="77777777" w:rsidR="00B36EB7" w:rsidRDefault="00000000">
      <w:pPr>
        <w:pStyle w:val="FirstParagraph"/>
      </w:pPr>
      <w:r>
        <w:t xml:space="preserve">Below is a Word‑pasteable structure (use Heading styles in Word). Text in </w:t>
      </w:r>
      <w:r>
        <w:rPr>
          <w:b/>
          <w:bCs/>
        </w:rPr>
        <w:t>PRESERVED</w:t>
      </w:r>
      <w:r>
        <w:t xml:space="preserve"> blocks is adapted from the user’s draft guidance and kept substantively intact.</w:t>
      </w:r>
    </w:p>
    <w:p w14:paraId="732B47D4" w14:textId="77777777" w:rsidR="00B36EB7" w:rsidRDefault="00000000">
      <w:pPr>
        <w:pStyle w:val="4"/>
      </w:pPr>
      <w:bookmarkStart w:id="20" w:name="X598b1191d291f6952523f5ddc95edf0ba58c9b6"/>
      <w:r>
        <w:t>Cover / Inside Front Cover (Sponsor Counsel Additions — mandatory inserts)</w:t>
      </w:r>
    </w:p>
    <w:p w14:paraId="5E6F861A" w14:textId="77777777" w:rsidR="00B36EB7" w:rsidRDefault="00000000">
      <w:pPr>
        <w:pStyle w:val="FirstParagraph"/>
      </w:pPr>
      <w:r>
        <w:rPr>
          <w:b/>
          <w:bCs/>
        </w:rPr>
        <w:t>[[AI:LOCKED|Rule 11.20 Disclaimer — insert exact text]]</w:t>
      </w:r>
      <w:r>
        <w:br/>
        <w:t xml:space="preserve">- Insert the exact Rule 11.20 disclaimer on cover/inside cover. </w:t>
      </w:r>
      <w:hyperlink r:id="rId42">
        <w:r>
          <w:rPr>
            <w:rStyle w:val="af"/>
          </w:rPr>
          <w:t>[11]</w:t>
        </w:r>
      </w:hyperlink>
    </w:p>
    <w:p w14:paraId="77787779" w14:textId="77777777" w:rsidR="00B36EB7" w:rsidRDefault="00000000">
      <w:pPr>
        <w:pStyle w:val="a0"/>
      </w:pPr>
      <w:r>
        <w:rPr>
          <w:b/>
          <w:bCs/>
        </w:rPr>
        <w:t>[[AI:LOCKED|WVR Warning — if applicable]]</w:t>
      </w:r>
      <w:r>
        <w:br/>
        <w:t xml:space="preserve">- Insert the exact warning: “A company controlled through weighted voting rights” and prominently describe WVR structure, rationale and associated risks. </w:t>
      </w:r>
      <w:hyperlink r:id="rId43">
        <w:r>
          <w:rPr>
            <w:rStyle w:val="af"/>
          </w:rPr>
          <w:t>[13]</w:t>
        </w:r>
      </w:hyperlink>
    </w:p>
    <w:p w14:paraId="638C499A" w14:textId="77777777" w:rsidR="00B36EB7" w:rsidRDefault="00000000">
      <w:pPr>
        <w:pStyle w:val="a0"/>
      </w:pPr>
      <w:r>
        <w:rPr>
          <w:b/>
          <w:bCs/>
        </w:rPr>
        <w:lastRenderedPageBreak/>
        <w:t>[[AI:LOCKED|18C Warning — if applicable]]</w:t>
      </w:r>
      <w:r>
        <w:br/>
        <w:t xml:space="preserve">- Insert the Specialist Technology Company warning statement (GL115‑23) on cover/inside cover. </w:t>
      </w:r>
      <w:hyperlink r:id="rId44">
        <w:r>
          <w:rPr>
            <w:rStyle w:val="af"/>
          </w:rPr>
          <w:t>[17]</w:t>
        </w:r>
      </w:hyperlink>
    </w:p>
    <w:p w14:paraId="17F08179" w14:textId="77777777" w:rsidR="00B36EB7" w:rsidRDefault="00000000">
      <w:pPr>
        <w:pStyle w:val="a0"/>
      </w:pPr>
      <w:r>
        <w:rPr>
          <w:b/>
          <w:bCs/>
        </w:rPr>
        <w:t>Sample enhanced paragraph (Cover/Important notice):</w:t>
      </w:r>
      <w:r>
        <w:br/>
        <w:t xml:space="preserve">“IMPORTANT: If you are in any doubt about any of the contents of this prospectus, you should obtain independent professional advice. [[AI:LOCKED|Insert Rule 11.20 disclaimer verbatim.]] [[AI:LOCKED|If WVR: include the warning and prominent WVR risk description per Rule 8A.37.]] [[AI:LOCKED|If 18C: include Specialist Technology Company warning statement per GL115‑23 and, if Pre‑Commercial, highlight the higher risk profile and funding dependence.]] Investors should consider carefully all information in this prospectus, including the risk factors set out in ‘Risk Factors’.” </w:t>
      </w:r>
      <w:hyperlink r:id="rId45">
        <w:r>
          <w:rPr>
            <w:rStyle w:val="af"/>
          </w:rPr>
          <w:t>[26]</w:t>
        </w:r>
      </w:hyperlink>
    </w:p>
    <w:p w14:paraId="00A3C159" w14:textId="77777777" w:rsidR="00B36EB7" w:rsidRPr="0074610B" w:rsidRDefault="00000000">
      <w:pPr>
        <w:pStyle w:val="4"/>
        <w:rPr>
          <w:b/>
          <w:bCs/>
          <w:sz w:val="28"/>
          <w:szCs w:val="28"/>
        </w:rPr>
      </w:pPr>
      <w:bookmarkStart w:id="21" w:name="expected-timetable"/>
      <w:bookmarkEnd w:id="20"/>
      <w:r w:rsidRPr="0074610B">
        <w:rPr>
          <w:b/>
          <w:bCs/>
          <w:sz w:val="28"/>
          <w:szCs w:val="28"/>
        </w:rPr>
        <w:t>Expected Timetable</w:t>
      </w:r>
    </w:p>
    <w:p w14:paraId="253D2443" w14:textId="1BAC9D60" w:rsidR="00B36EB7" w:rsidRDefault="00000000">
      <w:pPr>
        <w:pStyle w:val="FirstParagraph"/>
      </w:pPr>
      <w:r>
        <w:rPr>
          <w:b/>
          <w:bCs/>
        </w:rPr>
        <w:t>PRESERVED (from user draft; do not delete):</w:t>
      </w:r>
      <w:r>
        <w:br/>
        <w:t>- “This section should present a clear timeline of key events and dates for the offering process.”</w:t>
      </w:r>
      <w:r>
        <w:br/>
        <w:t>- “</w:t>
      </w:r>
      <w:r w:rsidR="006854E9" w:rsidRPr="006854E9">
        <w:t>Every event entry must include the specific date and local time it occurs to ensure precision</w:t>
      </w:r>
      <w:r>
        <w:t>”</w:t>
      </w:r>
      <w:r>
        <w:br/>
        <w:t>- “</w:t>
      </w:r>
      <w:r w:rsidR="006854E9" w:rsidRPr="006854E9">
        <w:t>A standard feature is a cautionary note that if the schedule changes, the company will issue an official announcement to notify investors</w:t>
      </w:r>
      <w:r>
        <w:t>”</w:t>
      </w:r>
    </w:p>
    <w:p w14:paraId="35A4E945" w14:textId="77777777" w:rsidR="00B36EB7" w:rsidRDefault="00000000">
      <w:pPr>
        <w:pStyle w:val="a0"/>
      </w:pPr>
      <w:r>
        <w:rPr>
          <w:b/>
          <w:bCs/>
        </w:rPr>
        <w:t>Sponsor Counsel Enhancements:</w:t>
      </w:r>
      <w:r>
        <w:br/>
        <w:t>- Add a mandatory note that all dates/times refer to Hong Kong time unless otherwise stated; include severe weather/extreme conditions contingency and cross‑reference to “How to Apply” severe weather arrangements (as seen in both uploaded prospectuses).</w:t>
      </w:r>
      <w:r>
        <w:br/>
        <w:t xml:space="preserve">- </w:t>
      </w:r>
      <w:r>
        <w:rPr>
          <w:rStyle w:val="VerbatimChar"/>
        </w:rPr>
        <w:t>[[AI:XREF|to=How to Apply — Severe Weather Arrangements]]</w:t>
      </w:r>
      <w:r>
        <w:br/>
        <w:t xml:space="preserve">- </w:t>
      </w:r>
      <w:r>
        <w:rPr>
          <w:rStyle w:val="VerbatimChar"/>
        </w:rPr>
        <w:t>[[AI:VERIFY|confirm all dates align with FINI / pricing‑to‑listing workflow]]</w:t>
      </w:r>
      <w:r>
        <w:t xml:space="preserve"> (policy context: FINI enables T+2 settlement between pricing and trading). </w:t>
      </w:r>
      <w:hyperlink r:id="rId46">
        <w:r>
          <w:rPr>
            <w:rStyle w:val="af"/>
          </w:rPr>
          <w:t>[19]</w:t>
        </w:r>
      </w:hyperlink>
    </w:p>
    <w:p w14:paraId="1295D3A0" w14:textId="77777777" w:rsidR="00B36EB7" w:rsidRDefault="00000000">
      <w:pPr>
        <w:pStyle w:val="a0"/>
      </w:pPr>
      <w:r>
        <w:rPr>
          <w:b/>
          <w:bCs/>
        </w:rPr>
        <w:t>Enhanced sample paragraph (Expected Timetable lead‑in):</w:t>
      </w:r>
      <w:r>
        <w:br/>
        <w:t xml:space="preserve">“If there is any change in the following expected timetable, we will publish an announcement on the websites of the Stock Exchange and the Company. All dates and times refer to Hong Kong local time unless otherwise stated. The expected timetable below is a summary only; for details of the structure of the Global Offering, including its conditions, and the procedures for applications, see ‘Structure of the Global Offering’ and ‘How to Apply for Hong Kong Offer Shares’. [[AI:XREF|to=Structure of the Global Offering]] [[AI:XREF|to=How to Apply]]” </w:t>
      </w:r>
      <w:hyperlink r:id="rId47">
        <w:r>
          <w:rPr>
            <w:rStyle w:val="af"/>
          </w:rPr>
          <w:t>[19]</w:t>
        </w:r>
      </w:hyperlink>
    </w:p>
    <w:p w14:paraId="18E44AF0" w14:textId="77777777" w:rsidR="00B36EB7" w:rsidRPr="0074610B" w:rsidRDefault="00000000">
      <w:pPr>
        <w:pStyle w:val="4"/>
        <w:rPr>
          <w:b/>
          <w:bCs/>
          <w:sz w:val="28"/>
          <w:szCs w:val="28"/>
        </w:rPr>
      </w:pPr>
      <w:bookmarkStart w:id="22" w:name="contents"/>
      <w:bookmarkEnd w:id="21"/>
      <w:r w:rsidRPr="0074610B">
        <w:rPr>
          <w:b/>
          <w:bCs/>
          <w:sz w:val="28"/>
          <w:szCs w:val="28"/>
        </w:rPr>
        <w:lastRenderedPageBreak/>
        <w:t>Contents</w:t>
      </w:r>
    </w:p>
    <w:p w14:paraId="658E7367" w14:textId="67E6C067" w:rsidR="00905D9E" w:rsidRPr="00905D9E" w:rsidRDefault="00000000" w:rsidP="00905D9E">
      <w:pPr>
        <w:pStyle w:val="FirstParagraph"/>
      </w:pPr>
      <w:r>
        <w:rPr>
          <w:b/>
          <w:bCs/>
        </w:rPr>
        <w:t>PRESERVED (from user draft; do not delete):</w:t>
      </w:r>
      <w:r>
        <w:br/>
      </w:r>
      <w:r w:rsidR="00905D9E" w:rsidRPr="00905D9E">
        <w:rPr>
          <w:b/>
          <w:bCs/>
        </w:rPr>
        <w:t>Core function</w:t>
      </w:r>
    </w:p>
    <w:p w14:paraId="24EE2B29" w14:textId="77777777" w:rsidR="00905D9E" w:rsidRPr="00905D9E" w:rsidRDefault="00905D9E" w:rsidP="00905D9E">
      <w:pPr>
        <w:pStyle w:val="FirstParagraph"/>
        <w:numPr>
          <w:ilvl w:val="0"/>
          <w:numId w:val="41"/>
        </w:numPr>
      </w:pPr>
      <w:r w:rsidRPr="00905D9E">
        <w:t>In the Contents section, the prospectus provides a structured table of contents mapping out all chapters, sections, and appendices along with their corresponding page numbers.</w:t>
      </w:r>
    </w:p>
    <w:p w14:paraId="5FFA7738" w14:textId="77777777" w:rsidR="00905D9E" w:rsidRPr="00905D9E" w:rsidRDefault="00905D9E" w:rsidP="00905D9E">
      <w:pPr>
        <w:pStyle w:val="FirstParagraph"/>
      </w:pPr>
      <w:r w:rsidRPr="00905D9E">
        <w:rPr>
          <w:b/>
          <w:bCs/>
        </w:rPr>
        <w:t>Output requirements</w:t>
      </w:r>
    </w:p>
    <w:p w14:paraId="26BC8972" w14:textId="77777777" w:rsidR="00905D9E" w:rsidRPr="00905D9E" w:rsidRDefault="00905D9E" w:rsidP="00905D9E">
      <w:pPr>
        <w:pStyle w:val="FirstParagraph"/>
        <w:numPr>
          <w:ilvl w:val="0"/>
          <w:numId w:val="42"/>
        </w:numPr>
      </w:pPr>
      <w:r w:rsidRPr="00905D9E">
        <w:t>The AI should generate this as an ordered list of section titles exactly as they appear (e.g. “SUMMARY – Page 1”, “RISK FACTORS – Page 44”, etc.), mirroring the official format.</w:t>
      </w:r>
    </w:p>
    <w:p w14:paraId="29F195AF" w14:textId="77777777" w:rsidR="00905D9E" w:rsidRPr="00905D9E" w:rsidRDefault="00905D9E" w:rsidP="00905D9E">
      <w:pPr>
        <w:pStyle w:val="FirstParagraph"/>
        <w:numPr>
          <w:ilvl w:val="0"/>
          <w:numId w:val="42"/>
        </w:numPr>
      </w:pPr>
      <w:r w:rsidRPr="00905D9E">
        <w:t>Each entry should align with the actual titles and page numbering of the prospectus.</w:t>
      </w:r>
    </w:p>
    <w:p w14:paraId="3408280D" w14:textId="77777777" w:rsidR="00905D9E" w:rsidRPr="00905D9E" w:rsidRDefault="00905D9E" w:rsidP="00905D9E">
      <w:pPr>
        <w:pStyle w:val="FirstParagraph"/>
      </w:pPr>
      <w:r w:rsidRPr="00905D9E">
        <w:rPr>
          <w:b/>
          <w:bCs/>
        </w:rPr>
        <w:t>Coverage &amp; granularity</w:t>
      </w:r>
    </w:p>
    <w:p w14:paraId="37F54D85" w14:textId="77777777" w:rsidR="00905D9E" w:rsidRPr="00905D9E" w:rsidRDefault="00905D9E" w:rsidP="00905D9E">
      <w:pPr>
        <w:pStyle w:val="FirstParagraph"/>
        <w:numPr>
          <w:ilvl w:val="0"/>
          <w:numId w:val="43"/>
        </w:numPr>
      </w:pPr>
      <w:r w:rsidRPr="00905D9E">
        <w:t>The information framework is straightforward: it includes every major heading and sub-heading (often down to second-level headings) in the document, in sequence.</w:t>
      </w:r>
    </w:p>
    <w:p w14:paraId="58ABB624" w14:textId="77777777" w:rsidR="00905D9E" w:rsidRPr="00905D9E" w:rsidRDefault="00905D9E" w:rsidP="00905D9E">
      <w:pPr>
        <w:pStyle w:val="FirstParagraph"/>
        <w:numPr>
          <w:ilvl w:val="0"/>
          <w:numId w:val="43"/>
        </w:numPr>
      </w:pPr>
      <w:r w:rsidRPr="00905D9E">
        <w:t>The standard content range covers all sections from the front of the prospectus through the appendices, giving readers an overview of the document’s structure.</w:t>
      </w:r>
    </w:p>
    <w:p w14:paraId="4E776037" w14:textId="77777777" w:rsidR="00905D9E" w:rsidRPr="00905D9E" w:rsidRDefault="00905D9E" w:rsidP="00905D9E">
      <w:pPr>
        <w:pStyle w:val="FirstParagraph"/>
        <w:numPr>
          <w:ilvl w:val="0"/>
          <w:numId w:val="43"/>
        </w:numPr>
      </w:pPr>
      <w:r w:rsidRPr="00905D9E">
        <w:t>Information granularity here means including every relevant heading and its page, ensuring no section is omitted.</w:t>
      </w:r>
    </w:p>
    <w:p w14:paraId="54B2EF5A" w14:textId="77777777" w:rsidR="00905D9E" w:rsidRPr="00905D9E" w:rsidRDefault="00905D9E" w:rsidP="00905D9E">
      <w:pPr>
        <w:pStyle w:val="FirstParagraph"/>
      </w:pPr>
      <w:r w:rsidRPr="00905D9E">
        <w:rPr>
          <w:b/>
          <w:bCs/>
        </w:rPr>
        <w:t>Examples of included headings</w:t>
      </w:r>
    </w:p>
    <w:p w14:paraId="6F953392" w14:textId="77777777" w:rsidR="00905D9E" w:rsidRPr="00905D9E" w:rsidRDefault="00905D9E" w:rsidP="00905D9E">
      <w:pPr>
        <w:pStyle w:val="FirstParagraph"/>
        <w:numPr>
          <w:ilvl w:val="0"/>
          <w:numId w:val="44"/>
        </w:numPr>
      </w:pPr>
      <w:r w:rsidRPr="00905D9E">
        <w:t>For example, the contents should list sections like “Summary”, “Definitions”, “Risk Factors”, “Business”, “Financial Information”, etc., each with the page number where that section begins.</w:t>
      </w:r>
    </w:p>
    <w:p w14:paraId="49E86D1D" w14:textId="77777777" w:rsidR="00905D9E" w:rsidRPr="00905D9E" w:rsidRDefault="00905D9E" w:rsidP="00905D9E">
      <w:pPr>
        <w:pStyle w:val="FirstParagraph"/>
      </w:pPr>
      <w:r w:rsidRPr="00905D9E">
        <w:rPr>
          <w:b/>
          <w:bCs/>
        </w:rPr>
        <w:t>Formatting expectations</w:t>
      </w:r>
    </w:p>
    <w:p w14:paraId="74AEBBC9" w14:textId="77777777" w:rsidR="00905D9E" w:rsidRPr="00905D9E" w:rsidRDefault="00905D9E" w:rsidP="00905D9E">
      <w:pPr>
        <w:pStyle w:val="FirstParagraph"/>
        <w:numPr>
          <w:ilvl w:val="0"/>
          <w:numId w:val="45"/>
        </w:numPr>
      </w:pPr>
      <w:r w:rsidRPr="00905D9E">
        <w:t>The AI’s output should exactly reflect the final document’s sectional breakdown, maintaining the formatting (often leaders or dot lines connecting section titles to page numbers) for a professional, compliant appearance.</w:t>
      </w:r>
    </w:p>
    <w:p w14:paraId="091B9A4E" w14:textId="6E670E72" w:rsidR="00B36EB7" w:rsidRDefault="00B36EB7">
      <w:pPr>
        <w:pStyle w:val="FirstParagraph"/>
      </w:pPr>
    </w:p>
    <w:p w14:paraId="02FB4FE5" w14:textId="77777777" w:rsidR="00B36EB7" w:rsidRDefault="00000000">
      <w:pPr>
        <w:pStyle w:val="a0"/>
      </w:pPr>
      <w:r>
        <w:rPr>
          <w:b/>
          <w:bCs/>
        </w:rPr>
        <w:t>Sponsor Counsel Enhancements:</w:t>
      </w:r>
      <w:r>
        <w:br/>
        <w:t xml:space="preserve">- Add a hard rule that headings must match exactly across (i) Contents, (ii) running headers, (iii) section titles, and (iv) cross‑references referenced by “see …”. </w:t>
      </w:r>
      <w:r>
        <w:rPr>
          <w:rStyle w:val="VerbatimChar"/>
        </w:rPr>
        <w:t>[[AI:XREF]]</w:t>
      </w:r>
      <w:r>
        <w:t xml:space="preserve"> flags become a verification deliverable.</w:t>
      </w:r>
      <w:r>
        <w:br/>
      </w:r>
      <w:r>
        <w:lastRenderedPageBreak/>
        <w:t xml:space="preserve">- Add “no orphan sections”: if a section is referenced in Summary or Risk Factors, it must exist and be titled identically (GL86‑16 cross‑reference discipline). </w:t>
      </w:r>
      <w:hyperlink r:id="rId48">
        <w:r>
          <w:rPr>
            <w:rStyle w:val="af"/>
          </w:rPr>
          <w:t>[27]</w:t>
        </w:r>
      </w:hyperlink>
    </w:p>
    <w:p w14:paraId="7E34C873" w14:textId="77777777" w:rsidR="00B36EB7" w:rsidRDefault="00000000">
      <w:pPr>
        <w:pStyle w:val="a0"/>
      </w:pPr>
      <w:r>
        <w:rPr>
          <w:b/>
          <w:bCs/>
        </w:rPr>
        <w:t>Enhanced sample paragraph (Contents / reliance notice used in prospectuses):</w:t>
      </w:r>
      <w:r>
        <w:br/>
        <w:t>“This prospectus is issued solely in connection with the Hong Kong Public Offering and does not constitute an offer to sell or a solicitation of an offer to buy any security in any other jurisdiction. You should rely only on the information contained in this prospectus to make your investment decision. [[AI:XREF|ensure ‘Reliance only on this prospectus’ notices are consistent across the document and the website‑not‑part disclaimer appears where required.]]”</w:t>
      </w:r>
    </w:p>
    <w:p w14:paraId="49FACFD3" w14:textId="77777777" w:rsidR="00B36EB7" w:rsidRPr="0074610B" w:rsidRDefault="00000000">
      <w:pPr>
        <w:pStyle w:val="4"/>
        <w:rPr>
          <w:b/>
          <w:bCs/>
          <w:sz w:val="28"/>
          <w:szCs w:val="28"/>
        </w:rPr>
      </w:pPr>
      <w:bookmarkStart w:id="23" w:name="summary"/>
      <w:bookmarkEnd w:id="22"/>
      <w:r w:rsidRPr="0074610B">
        <w:rPr>
          <w:b/>
          <w:bCs/>
          <w:sz w:val="28"/>
          <w:szCs w:val="28"/>
        </w:rPr>
        <w:t>Summary</w:t>
      </w:r>
    </w:p>
    <w:p w14:paraId="3603BFB9" w14:textId="57E37089" w:rsidR="00B36EB7" w:rsidRDefault="00000000">
      <w:pPr>
        <w:pStyle w:val="FirstParagraph"/>
      </w:pPr>
      <w:r>
        <w:rPr>
          <w:b/>
          <w:bCs/>
        </w:rPr>
        <w:t>PRESERVED (from user draft; do not delete):</w:t>
      </w:r>
      <w:r>
        <w:br/>
        <w:t xml:space="preserve">- “This summary aims </w:t>
      </w:r>
      <w:r w:rsidR="006854E9" w:rsidRPr="006854E9">
        <w:t> provides a high-level overview of the company and the offering, condensing critical information for a quick read</w:t>
      </w:r>
      <w:r>
        <w:t>”</w:t>
      </w:r>
      <w:r>
        <w:br/>
        <w:t>- “Tone</w:t>
      </w:r>
      <w:r w:rsidR="006854E9">
        <w:rPr>
          <w:rFonts w:hint="eastAsia"/>
        </w:rPr>
        <w:t xml:space="preserve">: all </w:t>
      </w:r>
      <w:r w:rsidR="006854E9" w:rsidRPr="006854E9">
        <w:t>information should be presented in a balanced, factual tone without marketing hype, and with enough granularity that an investor gains a solid understanding of the company’s profile and the offering terms – but not so detailed that it overwhelms (each point is concise, since fuller details appear in later sections</w:t>
      </w:r>
      <w:r>
        <w:t>.”</w:t>
      </w:r>
      <w:r>
        <w:br/>
        <w:t>- “Summarize key risks with cross‑reference to Risk Factors.”</w:t>
      </w:r>
    </w:p>
    <w:p w14:paraId="48DEEF87" w14:textId="77777777" w:rsidR="00B36EB7" w:rsidRDefault="00000000">
      <w:pPr>
        <w:pStyle w:val="a0"/>
      </w:pPr>
      <w:r>
        <w:rPr>
          <w:b/>
          <w:bCs/>
        </w:rPr>
        <w:t>Sponsor Counsel Enhancements:</w:t>
      </w:r>
      <w:r>
        <w:br/>
        <w:t xml:space="preserve">- Add a “Summary discipline rule”: every numeric KPI in Summary must appear identically in Business/Financial Information (or have a defined reconciliation), and every market leadership claim must carry </w:t>
      </w:r>
      <w:r>
        <w:rPr>
          <w:rStyle w:val="VerbatimChar"/>
        </w:rPr>
        <w:t>[[AI:CITE]]</w:t>
      </w:r>
      <w:r>
        <w:t xml:space="preserve"> metadata (GL98‑18). </w:t>
      </w:r>
      <w:hyperlink r:id="rId49">
        <w:r>
          <w:rPr>
            <w:rStyle w:val="af"/>
          </w:rPr>
          <w:t>[20]</w:t>
        </w:r>
      </w:hyperlink>
      <w:r>
        <w:br/>
        <w:t xml:space="preserve">- Add a “no new risk factors” rule: Summary can highlight, but not introduce, risk concepts not fully developed in Risk Factors. </w:t>
      </w:r>
      <w:hyperlink r:id="rId50">
        <w:r>
          <w:rPr>
            <w:rStyle w:val="af"/>
          </w:rPr>
          <w:t>[28]</w:t>
        </w:r>
      </w:hyperlink>
    </w:p>
    <w:p w14:paraId="2B97E749" w14:textId="77777777" w:rsidR="00B36EB7" w:rsidRDefault="00000000">
      <w:pPr>
        <w:pStyle w:val="a0"/>
      </w:pPr>
      <w:r>
        <w:rPr>
          <w:b/>
          <w:bCs/>
        </w:rPr>
        <w:t>Enhanced sample paragraph (editing the style seen in uploaded prospectus summaries):</w:t>
      </w:r>
      <w:r>
        <w:br/>
        <w:t xml:space="preserve">“This summary aims to give you an overview of the information contained in this prospectus. As it is a summary, it does not contain all information that may be important to you and should be read together with the full text of this prospectus. There are risks associated with any investment. Some of the particular risks in investing in our shares are set out in ‘Risk Factors’, which you should read carefully before you decide to invest. [[AI:CITE|for any market ranking/market share: source=name; report_date=; scope=market definition; metric=; period=]] [[AI:XREF|to=Risk Factors]]” </w:t>
      </w:r>
      <w:hyperlink r:id="rId51">
        <w:r>
          <w:rPr>
            <w:rStyle w:val="af"/>
          </w:rPr>
          <w:t>[20]</w:t>
        </w:r>
      </w:hyperlink>
    </w:p>
    <w:p w14:paraId="4E63541A" w14:textId="2366D89C" w:rsidR="00905D9E" w:rsidRPr="00905D9E" w:rsidRDefault="00000000" w:rsidP="00905D9E">
      <w:pPr>
        <w:pStyle w:val="4"/>
        <w:rPr>
          <w:b/>
          <w:bCs/>
          <w:sz w:val="28"/>
          <w:szCs w:val="28"/>
        </w:rPr>
      </w:pPr>
      <w:bookmarkStart w:id="24" w:name="definitions"/>
      <w:bookmarkEnd w:id="23"/>
      <w:r w:rsidRPr="0074610B">
        <w:rPr>
          <w:b/>
          <w:bCs/>
          <w:sz w:val="28"/>
          <w:szCs w:val="28"/>
        </w:rPr>
        <w:t>Definitions</w:t>
      </w:r>
      <w:r>
        <w:br/>
      </w:r>
      <w:r w:rsidR="00905D9E" w:rsidRPr="00905D9E">
        <w:rPr>
          <w:rFonts w:cstheme="minorBidi"/>
          <w:b/>
          <w:bCs/>
        </w:rPr>
        <w:t>What it is</w:t>
      </w:r>
    </w:p>
    <w:p w14:paraId="539E4A7A" w14:textId="77777777" w:rsidR="00905D9E" w:rsidRPr="00905D9E" w:rsidRDefault="00905D9E" w:rsidP="00905D9E">
      <w:pPr>
        <w:pStyle w:val="FirstParagraph"/>
        <w:numPr>
          <w:ilvl w:val="0"/>
          <w:numId w:val="46"/>
        </w:numPr>
      </w:pPr>
      <w:r w:rsidRPr="00905D9E">
        <w:t>The Definitions section is a comprehensive glossary of defined terms used throughout the prospectus.</w:t>
      </w:r>
    </w:p>
    <w:p w14:paraId="7A9C0CC6" w14:textId="77777777" w:rsidR="00905D9E" w:rsidRPr="00905D9E" w:rsidRDefault="00905D9E" w:rsidP="00905D9E">
      <w:pPr>
        <w:pStyle w:val="FirstParagraph"/>
      </w:pPr>
      <w:r w:rsidRPr="00905D9E">
        <w:rPr>
          <w:b/>
          <w:bCs/>
        </w:rPr>
        <w:lastRenderedPageBreak/>
        <w:t>Required format</w:t>
      </w:r>
    </w:p>
    <w:p w14:paraId="4FA2FBB1" w14:textId="77777777" w:rsidR="00905D9E" w:rsidRPr="00905D9E" w:rsidRDefault="00905D9E" w:rsidP="00905D9E">
      <w:pPr>
        <w:pStyle w:val="FirstParagraph"/>
        <w:numPr>
          <w:ilvl w:val="0"/>
          <w:numId w:val="47"/>
        </w:numPr>
      </w:pPr>
      <w:r w:rsidRPr="00905D9E">
        <w:t>The AI should output it as an alphabetical list of terms, each followed by a clear definition.</w:t>
      </w:r>
    </w:p>
    <w:p w14:paraId="3A9EA791" w14:textId="77777777" w:rsidR="00905D9E" w:rsidRPr="00905D9E" w:rsidRDefault="00905D9E" w:rsidP="00905D9E">
      <w:pPr>
        <w:pStyle w:val="FirstParagraph"/>
        <w:numPr>
          <w:ilvl w:val="0"/>
          <w:numId w:val="47"/>
        </w:numPr>
      </w:pPr>
      <w:r w:rsidRPr="00905D9E">
        <w:t>The information framework is essentially a dictionary-style format: term on the left (often in quotation marks or bold), and its meaning on the right.</w:t>
      </w:r>
    </w:p>
    <w:p w14:paraId="738F3F96" w14:textId="77777777" w:rsidR="00905D9E" w:rsidRPr="00905D9E" w:rsidRDefault="00905D9E" w:rsidP="00905D9E">
      <w:pPr>
        <w:pStyle w:val="FirstParagraph"/>
      </w:pPr>
      <w:r w:rsidRPr="00905D9E">
        <w:rPr>
          <w:b/>
          <w:bCs/>
        </w:rPr>
        <w:t>What gets defined</w:t>
      </w:r>
    </w:p>
    <w:p w14:paraId="59875C7F" w14:textId="77777777" w:rsidR="00905D9E" w:rsidRPr="00905D9E" w:rsidRDefault="00905D9E" w:rsidP="00905D9E">
      <w:pPr>
        <w:pStyle w:val="FirstParagraph"/>
        <w:numPr>
          <w:ilvl w:val="0"/>
          <w:numId w:val="48"/>
        </w:numPr>
      </w:pPr>
      <w:r w:rsidRPr="00905D9E">
        <w:t>For example, it will define the company name (e.g. “Company Name” means the issuer and its subsidiaries), technical abbreviations, names of significant entities, and other repeated phrases.</w:t>
      </w:r>
    </w:p>
    <w:p w14:paraId="38F4497B" w14:textId="77777777" w:rsidR="00905D9E" w:rsidRPr="00905D9E" w:rsidRDefault="00905D9E" w:rsidP="00905D9E">
      <w:pPr>
        <w:pStyle w:val="FirstParagraph"/>
        <w:numPr>
          <w:ilvl w:val="0"/>
          <w:numId w:val="48"/>
        </w:numPr>
      </w:pPr>
      <w:r w:rsidRPr="00905D9E">
        <w:t>Standard content includes names of key people (“Mr. X” – followed by the person’s full name and title), company entities, regulatory authorities, industry terms, abbreviations for financial or legal terms, and any other jargon or short-form that appears in the document.</w:t>
      </w:r>
    </w:p>
    <w:p w14:paraId="0EB3C941" w14:textId="77777777" w:rsidR="00905D9E" w:rsidRPr="00905D9E" w:rsidRDefault="00905D9E" w:rsidP="00905D9E">
      <w:pPr>
        <w:pStyle w:val="FirstParagraph"/>
      </w:pPr>
      <w:r w:rsidRPr="00905D9E">
        <w:rPr>
          <w:b/>
          <w:bCs/>
        </w:rPr>
        <w:t>Accuracy &amp; completeness</w:t>
      </w:r>
    </w:p>
    <w:p w14:paraId="223C86BA" w14:textId="77777777" w:rsidR="00905D9E" w:rsidRPr="00905D9E" w:rsidRDefault="00905D9E" w:rsidP="00905D9E">
      <w:pPr>
        <w:pStyle w:val="FirstParagraph"/>
        <w:numPr>
          <w:ilvl w:val="0"/>
          <w:numId w:val="49"/>
        </w:numPr>
      </w:pPr>
      <w:r w:rsidRPr="00905D9E">
        <w:t>Each definition should be accurate and succinct, capturing the essence (for instance, defining “PRC” as “the People’s Republic of China, excluding for the purpose of this prospectus Hong Kong, Macau and Taiwan”).</w:t>
      </w:r>
    </w:p>
    <w:p w14:paraId="07094552" w14:textId="77777777" w:rsidR="00905D9E" w:rsidRPr="00905D9E" w:rsidRDefault="00905D9E" w:rsidP="00905D9E">
      <w:pPr>
        <w:pStyle w:val="FirstParagraph"/>
        <w:numPr>
          <w:ilvl w:val="0"/>
          <w:numId w:val="49"/>
        </w:numPr>
      </w:pPr>
      <w:r w:rsidRPr="00905D9E">
        <w:t>The granularity requirement is that every significant term that could be unfamiliar or have a specific meaning in the context of this company/industry is included, to ensure the prospectus is self-contained in clarity.</w:t>
      </w:r>
    </w:p>
    <w:p w14:paraId="09B513AA" w14:textId="77777777" w:rsidR="00905D9E" w:rsidRPr="00905D9E" w:rsidRDefault="00905D9E" w:rsidP="00905D9E">
      <w:pPr>
        <w:pStyle w:val="FirstParagraph"/>
        <w:numPr>
          <w:ilvl w:val="0"/>
          <w:numId w:val="49"/>
        </w:numPr>
      </w:pPr>
      <w:r w:rsidRPr="00905D9E">
        <w:t>The AI’s output should maintain the exact phrasing used in the prospectus for consistency and legal precision.</w:t>
      </w:r>
    </w:p>
    <w:p w14:paraId="02C00F11" w14:textId="77777777" w:rsidR="00905D9E" w:rsidRPr="00905D9E" w:rsidRDefault="00905D9E" w:rsidP="00905D9E">
      <w:pPr>
        <w:pStyle w:val="FirstParagraph"/>
      </w:pPr>
      <w:r w:rsidRPr="00905D9E">
        <w:rPr>
          <w:b/>
          <w:bCs/>
        </w:rPr>
        <w:t>Style note</w:t>
      </w:r>
    </w:p>
    <w:p w14:paraId="1D0EBC65" w14:textId="77777777" w:rsidR="00905D9E" w:rsidRPr="00905D9E" w:rsidRDefault="00905D9E" w:rsidP="00905D9E">
      <w:pPr>
        <w:pStyle w:val="FirstParagraph"/>
        <w:numPr>
          <w:ilvl w:val="0"/>
          <w:numId w:val="50"/>
        </w:numPr>
      </w:pPr>
      <w:r w:rsidRPr="00905D9E">
        <w:t>This section does not use narrative sentences, but rather a list format with each term’s definition separated, enabling readers to easily look up meanings of terms as they proceed through the document.</w:t>
      </w:r>
    </w:p>
    <w:p w14:paraId="2FB62832" w14:textId="595E3187" w:rsidR="00B36EB7" w:rsidRDefault="00B36EB7">
      <w:pPr>
        <w:pStyle w:val="FirstParagraph"/>
      </w:pPr>
    </w:p>
    <w:p w14:paraId="7A30D177" w14:textId="77777777" w:rsidR="00B36EB7" w:rsidRDefault="00000000">
      <w:pPr>
        <w:pStyle w:val="a0"/>
      </w:pPr>
      <w:r>
        <w:rPr>
          <w:b/>
          <w:bCs/>
        </w:rPr>
        <w:t>Sponsor Counsel Enhancements:</w:t>
      </w:r>
      <w:r>
        <w:br/>
        <w:t xml:space="preserve">- Add an “anti‑definition creep” rule: any defined term must be used at least N times; otherwise remove definition or fold into narrative to reduce complexity (plain language and readability goals). </w:t>
      </w:r>
      <w:hyperlink r:id="rId52">
        <w:r>
          <w:rPr>
            <w:rStyle w:val="af"/>
          </w:rPr>
          <w:t>[8]</w:t>
        </w:r>
      </w:hyperlink>
      <w:r>
        <w:br/>
        <w:t>- Add a “jurisdiction definitions standard”: PRC definition excluding Hong Kong, Macau and Taiwan is a common pattern in HKEX prospectuses and should be consistent document‑wide.</w:t>
      </w:r>
    </w:p>
    <w:p w14:paraId="3DE0B120" w14:textId="77777777" w:rsidR="00B36EB7" w:rsidRDefault="00000000">
      <w:pPr>
        <w:pStyle w:val="a0"/>
      </w:pPr>
      <w:r>
        <w:rPr>
          <w:b/>
          <w:bCs/>
        </w:rPr>
        <w:lastRenderedPageBreak/>
        <w:t>Enhanced sample paragraph (Definitions lead‑in):</w:t>
      </w:r>
      <w:r>
        <w:br/>
        <w:t>“In this prospectus, unless the context otherwise requires, the following expressions shall have the following meanings. Defined terms are used consistently throughout the prospectus to ensure clarity and legal precision. [[AI:VERIFY|confirm each defined term matches usage in all chapters, including Risk Factors and Financial Information.]]”</w:t>
      </w:r>
    </w:p>
    <w:p w14:paraId="6FF7EBDE" w14:textId="77777777" w:rsidR="00B36EB7" w:rsidRPr="0074610B" w:rsidRDefault="00000000">
      <w:pPr>
        <w:pStyle w:val="4"/>
        <w:rPr>
          <w:b/>
          <w:bCs/>
          <w:sz w:val="28"/>
          <w:szCs w:val="28"/>
        </w:rPr>
      </w:pPr>
      <w:bookmarkStart w:id="25" w:name="glossary-of-technical-terms"/>
      <w:bookmarkEnd w:id="24"/>
      <w:r w:rsidRPr="0074610B">
        <w:rPr>
          <w:b/>
          <w:bCs/>
          <w:sz w:val="28"/>
          <w:szCs w:val="28"/>
        </w:rPr>
        <w:t>Glossary of Technical Terms</w:t>
      </w:r>
    </w:p>
    <w:p w14:paraId="5408091F" w14:textId="66D0F070" w:rsidR="00905D9E" w:rsidRPr="00905D9E" w:rsidRDefault="00905D9E" w:rsidP="00905D9E">
      <w:pPr>
        <w:pStyle w:val="FirstParagraph"/>
      </w:pPr>
      <w:r w:rsidRPr="00905D9E">
        <w:rPr>
          <w:b/>
          <w:bCs/>
        </w:rPr>
        <w:t>How it differs from Definitions</w:t>
      </w:r>
    </w:p>
    <w:p w14:paraId="5352BCE8" w14:textId="77777777" w:rsidR="00905D9E" w:rsidRPr="00905D9E" w:rsidRDefault="00905D9E" w:rsidP="00905D9E">
      <w:pPr>
        <w:pStyle w:val="FirstParagraph"/>
        <w:numPr>
          <w:ilvl w:val="0"/>
          <w:numId w:val="51"/>
        </w:numPr>
      </w:pPr>
      <w:r w:rsidRPr="00905D9E">
        <w:t>This section resembles the Definitions section but focuses on industry- or technical-specific terminology that a general investor might not know.</w:t>
      </w:r>
    </w:p>
    <w:p w14:paraId="2825F789" w14:textId="77777777" w:rsidR="00905D9E" w:rsidRPr="00905D9E" w:rsidRDefault="00905D9E" w:rsidP="00905D9E">
      <w:pPr>
        <w:pStyle w:val="FirstParagraph"/>
      </w:pPr>
      <w:r w:rsidRPr="00905D9E">
        <w:rPr>
          <w:b/>
          <w:bCs/>
        </w:rPr>
        <w:t>Required format &amp; tone</w:t>
      </w:r>
    </w:p>
    <w:p w14:paraId="539601C9" w14:textId="77777777" w:rsidR="00905D9E" w:rsidRPr="00905D9E" w:rsidRDefault="00905D9E" w:rsidP="00905D9E">
      <w:pPr>
        <w:pStyle w:val="FirstParagraph"/>
        <w:numPr>
          <w:ilvl w:val="0"/>
          <w:numId w:val="52"/>
        </w:numPr>
      </w:pPr>
      <w:r w:rsidRPr="00905D9E">
        <w:t>The AI should produce an alphabetized list of technical terms or acronyms, each with a brief explanation.</w:t>
      </w:r>
    </w:p>
    <w:p w14:paraId="3CCF4CA5" w14:textId="77777777" w:rsidR="00905D9E" w:rsidRPr="00905D9E" w:rsidRDefault="00905D9E" w:rsidP="00905D9E">
      <w:pPr>
        <w:pStyle w:val="FirstParagraph"/>
        <w:numPr>
          <w:ilvl w:val="0"/>
          <w:numId w:val="52"/>
        </w:numPr>
      </w:pPr>
      <w:r w:rsidRPr="00905D9E">
        <w:t>The information framework is similar to a glossary entry: term followed by a one-line or short paragraph definition explaining it in plain language.</w:t>
      </w:r>
    </w:p>
    <w:p w14:paraId="77BC1A7F" w14:textId="77777777" w:rsidR="00905D9E" w:rsidRPr="00905D9E" w:rsidRDefault="00905D9E" w:rsidP="00905D9E">
      <w:pPr>
        <w:pStyle w:val="FirstParagraph"/>
        <w:numPr>
          <w:ilvl w:val="0"/>
          <w:numId w:val="52"/>
        </w:numPr>
      </w:pPr>
      <w:r w:rsidRPr="00905D9E">
        <w:t>The tone is factual and explanatory.</w:t>
      </w:r>
    </w:p>
    <w:p w14:paraId="0651820F" w14:textId="77777777" w:rsidR="00905D9E" w:rsidRPr="00905D9E" w:rsidRDefault="00905D9E" w:rsidP="00905D9E">
      <w:pPr>
        <w:pStyle w:val="FirstParagraph"/>
      </w:pPr>
      <w:r w:rsidRPr="00905D9E">
        <w:rPr>
          <w:b/>
          <w:bCs/>
        </w:rPr>
        <w:t>Content scope &amp; examples</w:t>
      </w:r>
    </w:p>
    <w:p w14:paraId="7FF7401A" w14:textId="77777777" w:rsidR="00905D9E" w:rsidRPr="00905D9E" w:rsidRDefault="00905D9E" w:rsidP="00905D9E">
      <w:pPr>
        <w:pStyle w:val="FirstParagraph"/>
        <w:numPr>
          <w:ilvl w:val="0"/>
          <w:numId w:val="53"/>
        </w:numPr>
      </w:pPr>
      <w:r w:rsidRPr="00905D9E">
        <w:t>The content scope covers jargon, scientific or product terms, and industry-specific concepts related to the company’s business.</w:t>
      </w:r>
    </w:p>
    <w:p w14:paraId="4B6330A9" w14:textId="77777777" w:rsidR="00905D9E" w:rsidRPr="00905D9E" w:rsidRDefault="00905D9E" w:rsidP="00905D9E">
      <w:pPr>
        <w:pStyle w:val="FirstParagraph"/>
        <w:numPr>
          <w:ilvl w:val="0"/>
          <w:numId w:val="53"/>
        </w:numPr>
      </w:pPr>
      <w:r w:rsidRPr="00905D9E">
        <w:t>For example, in a technology company’s prospectus this might include definitions of technical standards or in a biotech prospectus, definitions of medical terms.</w:t>
      </w:r>
    </w:p>
    <w:p w14:paraId="374EB01E" w14:textId="77777777" w:rsidR="00905D9E" w:rsidRPr="00905D9E" w:rsidRDefault="00905D9E" w:rsidP="00905D9E">
      <w:pPr>
        <w:pStyle w:val="FirstParagraph"/>
        <w:numPr>
          <w:ilvl w:val="0"/>
          <w:numId w:val="53"/>
        </w:numPr>
      </w:pPr>
      <w:r w:rsidRPr="00905D9E">
        <w:t>In the case of Pop Mart, terms related to pop culture toys and IP might be included (e.g. definitions of “IP” in the context of Intellectual Property characters, or specific product category names).</w:t>
      </w:r>
    </w:p>
    <w:p w14:paraId="60C737E0" w14:textId="77777777" w:rsidR="00905D9E" w:rsidRPr="00905D9E" w:rsidRDefault="00905D9E" w:rsidP="00905D9E">
      <w:pPr>
        <w:pStyle w:val="FirstParagraph"/>
      </w:pPr>
      <w:r w:rsidRPr="00905D9E">
        <w:rPr>
          <w:b/>
          <w:bCs/>
        </w:rPr>
        <w:t>Granularity &amp; consistency</w:t>
      </w:r>
    </w:p>
    <w:p w14:paraId="55B7896E" w14:textId="77777777" w:rsidR="00905D9E" w:rsidRPr="00905D9E" w:rsidRDefault="00905D9E" w:rsidP="00905D9E">
      <w:pPr>
        <w:pStyle w:val="FirstParagraph"/>
        <w:numPr>
          <w:ilvl w:val="0"/>
          <w:numId w:val="54"/>
        </w:numPr>
      </w:pPr>
      <w:r w:rsidRPr="00905D9E">
        <w:t>The granularity should be enough to give a reader basic understanding of each term – not a full essay, just a concise clarification.</w:t>
      </w:r>
    </w:p>
    <w:p w14:paraId="7D2020DE" w14:textId="77777777" w:rsidR="00905D9E" w:rsidRPr="00905D9E" w:rsidRDefault="00905D9E" w:rsidP="00905D9E">
      <w:pPr>
        <w:pStyle w:val="FirstParagraph"/>
        <w:numPr>
          <w:ilvl w:val="0"/>
          <w:numId w:val="54"/>
        </w:numPr>
      </w:pPr>
      <w:r w:rsidRPr="00905D9E">
        <w:t>The AI should ensure consistency with how these terms are later used in the Business or Industry sections.</w:t>
      </w:r>
    </w:p>
    <w:p w14:paraId="5499D1AB" w14:textId="77777777" w:rsidR="00905D9E" w:rsidRPr="00905D9E" w:rsidRDefault="00905D9E" w:rsidP="00905D9E">
      <w:pPr>
        <w:pStyle w:val="FirstParagraph"/>
        <w:numPr>
          <w:ilvl w:val="0"/>
          <w:numId w:val="54"/>
        </w:numPr>
      </w:pPr>
      <w:r w:rsidRPr="00905D9E">
        <w:t>For instance, if “blind box” or “pop toy” is a technical term, it should be defined (e.g. “Pop toys – toys infused with pop culture and trendy content, often sold in blind boxes”).</w:t>
      </w:r>
    </w:p>
    <w:p w14:paraId="2C0D720D" w14:textId="77777777" w:rsidR="00905D9E" w:rsidRPr="00905D9E" w:rsidRDefault="00905D9E" w:rsidP="00905D9E">
      <w:pPr>
        <w:pStyle w:val="FirstParagraph"/>
      </w:pPr>
      <w:r w:rsidRPr="00905D9E">
        <w:rPr>
          <w:b/>
          <w:bCs/>
        </w:rPr>
        <w:t>Why it matters</w:t>
      </w:r>
    </w:p>
    <w:p w14:paraId="1ADD29E7" w14:textId="77777777" w:rsidR="00905D9E" w:rsidRPr="00905D9E" w:rsidRDefault="00905D9E" w:rsidP="00905D9E">
      <w:pPr>
        <w:pStyle w:val="FirstParagraph"/>
        <w:numPr>
          <w:ilvl w:val="0"/>
          <w:numId w:val="55"/>
        </w:numPr>
      </w:pPr>
      <w:r w:rsidRPr="00905D9E">
        <w:lastRenderedPageBreak/>
        <w:t>By including this section, the prospectus ensures that all readers, regardless of background, can understand specialized terms used in describing the business and its industry.</w:t>
      </w:r>
    </w:p>
    <w:p w14:paraId="15209C49" w14:textId="319D39D7" w:rsidR="00B36EB7" w:rsidRDefault="00000000">
      <w:pPr>
        <w:pStyle w:val="FirstParagraph"/>
      </w:pPr>
      <w:r>
        <w:t>”</w:t>
      </w:r>
    </w:p>
    <w:p w14:paraId="1F186115" w14:textId="77777777" w:rsidR="00B36EB7" w:rsidRDefault="00000000">
      <w:pPr>
        <w:pStyle w:val="a0"/>
      </w:pPr>
      <w:r>
        <w:rPr>
          <w:b/>
          <w:bCs/>
        </w:rPr>
        <w:t>Sponsor Counsel Enhancements:</w:t>
      </w:r>
      <w:r>
        <w:br/>
        <w:t>- Add “investor comprehension test”: each technical term definition should be understandable without referencing other definitions; avoid self‑referencing loops.</w:t>
      </w:r>
      <w:r>
        <w:br/>
        <w:t xml:space="preserve">- Add “risk‑sensitive term tagging”: technical terms that tie to regulatory risk (e.g., “personal data,” “desensitisation,” “privacy computing,” “model training data”) should have </w:t>
      </w:r>
      <w:r>
        <w:rPr>
          <w:rStyle w:val="VerbatimChar"/>
        </w:rPr>
        <w:t>[[AI:XREF|to=Regulatory Overview/Data Security Risk Factors]]</w:t>
      </w:r>
      <w:r>
        <w:t xml:space="preserve">. </w:t>
      </w:r>
      <w:hyperlink r:id="rId53">
        <w:r>
          <w:rPr>
            <w:rStyle w:val="af"/>
          </w:rPr>
          <w:t>[29]</w:t>
        </w:r>
      </w:hyperlink>
    </w:p>
    <w:p w14:paraId="05511DD3" w14:textId="77777777" w:rsidR="00B36EB7" w:rsidRDefault="00000000">
      <w:pPr>
        <w:pStyle w:val="a0"/>
      </w:pPr>
      <w:r>
        <w:rPr>
          <w:b/>
          <w:bCs/>
        </w:rPr>
        <w:t>Enhanced sample paragraph (Glossary lead‑in):</w:t>
      </w:r>
      <w:r>
        <w:br/>
        <w:t xml:space="preserve">“This Glossary of Technical Terms explains industry and technical expressions used in the prospectus in plain language to support investor understanding. Each term is defined concisely and consistently with its use in the ‘Business’, ‘Regulatory Overview’ and ‘Risk Factors’ sections. [[AI:XREF|ensure risk‑sensitive terms cross‑reference to the applicable regulatory and risk disclosures.]]” </w:t>
      </w:r>
      <w:hyperlink r:id="rId54">
        <w:r>
          <w:rPr>
            <w:rStyle w:val="af"/>
          </w:rPr>
          <w:t>[23]</w:t>
        </w:r>
      </w:hyperlink>
    </w:p>
    <w:p w14:paraId="13F1EE2A" w14:textId="77777777" w:rsidR="00B36EB7" w:rsidRPr="0074610B" w:rsidRDefault="00000000">
      <w:pPr>
        <w:pStyle w:val="4"/>
        <w:rPr>
          <w:b/>
          <w:bCs/>
          <w:sz w:val="28"/>
          <w:szCs w:val="28"/>
        </w:rPr>
      </w:pPr>
      <w:bookmarkStart w:id="26" w:name="forwardlooking-statements"/>
      <w:bookmarkEnd w:id="25"/>
      <w:r w:rsidRPr="0074610B">
        <w:rPr>
          <w:b/>
          <w:bCs/>
          <w:sz w:val="28"/>
          <w:szCs w:val="28"/>
        </w:rPr>
        <w:t>Forward‑Looking Statements</w:t>
      </w:r>
    </w:p>
    <w:p w14:paraId="7CD4EDF1" w14:textId="77777777" w:rsidR="00905D9E" w:rsidRPr="00905D9E" w:rsidRDefault="00905D9E" w:rsidP="00905D9E">
      <w:pPr>
        <w:pStyle w:val="a0"/>
        <w:rPr>
          <w:b/>
          <w:bCs/>
        </w:rPr>
      </w:pPr>
      <w:r w:rsidRPr="00905D9E">
        <w:rPr>
          <w:b/>
          <w:bCs/>
        </w:rPr>
        <w:t>Purpose</w:t>
      </w:r>
    </w:p>
    <w:p w14:paraId="0FB93748" w14:textId="77777777" w:rsidR="00905D9E" w:rsidRPr="00905D9E" w:rsidRDefault="00905D9E" w:rsidP="00905D9E">
      <w:pPr>
        <w:pStyle w:val="a0"/>
        <w:numPr>
          <w:ilvl w:val="0"/>
          <w:numId w:val="56"/>
        </w:numPr>
        <w:rPr>
          <w:b/>
          <w:bCs/>
        </w:rPr>
      </w:pPr>
      <w:r w:rsidRPr="00905D9E">
        <w:rPr>
          <w:b/>
          <w:bCs/>
        </w:rPr>
        <w:t>The Forward-Looking Statements section is a cautionary disclaimer explaining that certain statements in the prospectus are predictive or based on future expectations.</w:t>
      </w:r>
    </w:p>
    <w:p w14:paraId="4F8A7B07" w14:textId="77777777" w:rsidR="00905D9E" w:rsidRPr="00905D9E" w:rsidRDefault="00905D9E" w:rsidP="00905D9E">
      <w:pPr>
        <w:pStyle w:val="a0"/>
        <w:rPr>
          <w:b/>
          <w:bCs/>
        </w:rPr>
      </w:pPr>
      <w:r w:rsidRPr="00905D9E">
        <w:rPr>
          <w:b/>
          <w:bCs/>
        </w:rPr>
        <w:t>Drafting requirements</w:t>
      </w:r>
    </w:p>
    <w:p w14:paraId="0E9EAC63" w14:textId="77777777" w:rsidR="00905D9E" w:rsidRPr="00905D9E" w:rsidRDefault="00905D9E" w:rsidP="00905D9E">
      <w:pPr>
        <w:pStyle w:val="a0"/>
        <w:numPr>
          <w:ilvl w:val="0"/>
          <w:numId w:val="57"/>
        </w:numPr>
        <w:rPr>
          <w:b/>
          <w:bCs/>
        </w:rPr>
      </w:pPr>
      <w:r w:rsidRPr="00905D9E">
        <w:rPr>
          <w:b/>
          <w:bCs/>
        </w:rPr>
        <w:t>The AI should draft this in formal, legal language, making clear that any statements about future plans, prospects, or performance are not guarantees.</w:t>
      </w:r>
    </w:p>
    <w:p w14:paraId="78481A91" w14:textId="77777777" w:rsidR="00905D9E" w:rsidRPr="00905D9E" w:rsidRDefault="00905D9E" w:rsidP="00905D9E">
      <w:pPr>
        <w:pStyle w:val="a0"/>
        <w:numPr>
          <w:ilvl w:val="0"/>
          <w:numId w:val="57"/>
        </w:numPr>
        <w:rPr>
          <w:b/>
          <w:bCs/>
        </w:rPr>
      </w:pPr>
      <w:r w:rsidRPr="00905D9E">
        <w:rPr>
          <w:b/>
          <w:bCs/>
        </w:rPr>
        <w:t>The content typically states that forward-looking statements are based on assumptions and information currently available to the company, which may prove to be inaccurate.</w:t>
      </w:r>
    </w:p>
    <w:p w14:paraId="01302D42" w14:textId="77777777" w:rsidR="00905D9E" w:rsidRPr="00905D9E" w:rsidRDefault="00905D9E" w:rsidP="00905D9E">
      <w:pPr>
        <w:pStyle w:val="a0"/>
        <w:rPr>
          <w:b/>
          <w:bCs/>
        </w:rPr>
      </w:pPr>
      <w:r w:rsidRPr="00905D9E">
        <w:rPr>
          <w:b/>
          <w:bCs/>
        </w:rPr>
        <w:t>What must be covered</w:t>
      </w:r>
    </w:p>
    <w:p w14:paraId="3044E4C4" w14:textId="77777777" w:rsidR="00905D9E" w:rsidRPr="00905D9E" w:rsidRDefault="00905D9E" w:rsidP="00905D9E">
      <w:pPr>
        <w:pStyle w:val="a0"/>
        <w:numPr>
          <w:ilvl w:val="0"/>
          <w:numId w:val="58"/>
        </w:numPr>
        <w:rPr>
          <w:b/>
          <w:bCs/>
        </w:rPr>
      </w:pPr>
      <w:r w:rsidRPr="00905D9E">
        <w:rPr>
          <w:b/>
          <w:bCs/>
        </w:rPr>
        <w:t>It should enumerate the kinds of statements that qualify (e.g. those regarding future growth, market demand, expansion plans, financial projections) and then warn that actual results could differ materially due to known or unknown risks and uncertainties.</w:t>
      </w:r>
    </w:p>
    <w:p w14:paraId="5E08F7FD" w14:textId="77777777" w:rsidR="00905D9E" w:rsidRPr="00905D9E" w:rsidRDefault="00905D9E" w:rsidP="00905D9E">
      <w:pPr>
        <w:pStyle w:val="a0"/>
        <w:numPr>
          <w:ilvl w:val="0"/>
          <w:numId w:val="58"/>
        </w:numPr>
        <w:rPr>
          <w:b/>
          <w:bCs/>
        </w:rPr>
      </w:pPr>
      <w:r w:rsidRPr="00905D9E">
        <w:rPr>
          <w:b/>
          <w:bCs/>
        </w:rPr>
        <w:t>A standard phrase would be that investors are cautioned not to place undue reliance on these forward-looking statements.</w:t>
      </w:r>
    </w:p>
    <w:p w14:paraId="191E8083" w14:textId="77777777" w:rsidR="00905D9E" w:rsidRPr="00905D9E" w:rsidRDefault="00905D9E" w:rsidP="00905D9E">
      <w:pPr>
        <w:pStyle w:val="a0"/>
        <w:rPr>
          <w:b/>
          <w:bCs/>
        </w:rPr>
      </w:pPr>
      <w:r w:rsidRPr="00905D9E">
        <w:rPr>
          <w:b/>
          <w:bCs/>
        </w:rPr>
        <w:lastRenderedPageBreak/>
        <w:t>Timing &amp; updating</w:t>
      </w:r>
    </w:p>
    <w:p w14:paraId="4234EA6C" w14:textId="77777777" w:rsidR="00905D9E" w:rsidRPr="00905D9E" w:rsidRDefault="00905D9E" w:rsidP="00905D9E">
      <w:pPr>
        <w:pStyle w:val="a0"/>
        <w:numPr>
          <w:ilvl w:val="0"/>
          <w:numId w:val="59"/>
        </w:numPr>
        <w:rPr>
          <w:b/>
          <w:bCs/>
        </w:rPr>
      </w:pPr>
      <w:r w:rsidRPr="00905D9E">
        <w:rPr>
          <w:b/>
          <w:bCs/>
        </w:rPr>
        <w:t>The section also often mentions that all forward-looking statements speak only as of the date of the prospectus, and the company undertakes no obligation to update them unless required by law.</w:t>
      </w:r>
    </w:p>
    <w:p w14:paraId="0311F9FE" w14:textId="77777777" w:rsidR="00905D9E" w:rsidRPr="00905D9E" w:rsidRDefault="00905D9E" w:rsidP="00905D9E">
      <w:pPr>
        <w:pStyle w:val="a0"/>
        <w:rPr>
          <w:b/>
          <w:bCs/>
        </w:rPr>
      </w:pPr>
      <w:r w:rsidRPr="00905D9E">
        <w:rPr>
          <w:b/>
          <w:bCs/>
        </w:rPr>
        <w:t>Typical structure</w:t>
      </w:r>
    </w:p>
    <w:p w14:paraId="63B0470F" w14:textId="77777777" w:rsidR="00905D9E" w:rsidRPr="00905D9E" w:rsidRDefault="00905D9E" w:rsidP="00905D9E">
      <w:pPr>
        <w:pStyle w:val="a0"/>
        <w:numPr>
          <w:ilvl w:val="0"/>
          <w:numId w:val="60"/>
        </w:numPr>
        <w:rPr>
          <w:b/>
          <w:bCs/>
        </w:rPr>
      </w:pPr>
      <w:r w:rsidRPr="00905D9E">
        <w:rPr>
          <w:b/>
          <w:bCs/>
        </w:rPr>
        <w:t>The information framework is generally a few cautionary paragraphs – starting by identifying forward-looking statements, then highlighting risk factors that could cause outcomes to differ, and ending with the qualification that the statements are expressly qualified by these cautionary notes.</w:t>
      </w:r>
    </w:p>
    <w:p w14:paraId="7CA2F6B8" w14:textId="77777777" w:rsidR="00905D9E" w:rsidRPr="00905D9E" w:rsidRDefault="00905D9E" w:rsidP="00905D9E">
      <w:pPr>
        <w:pStyle w:val="a0"/>
        <w:rPr>
          <w:b/>
          <w:bCs/>
        </w:rPr>
      </w:pPr>
      <w:r w:rsidRPr="00905D9E">
        <w:rPr>
          <w:b/>
          <w:bCs/>
        </w:rPr>
        <w:t>Granularity level</w:t>
      </w:r>
    </w:p>
    <w:p w14:paraId="12DFF3BF" w14:textId="77777777" w:rsidR="00905D9E" w:rsidRPr="00905D9E" w:rsidRDefault="00905D9E" w:rsidP="00905D9E">
      <w:pPr>
        <w:pStyle w:val="a0"/>
        <w:numPr>
          <w:ilvl w:val="0"/>
          <w:numId w:val="61"/>
        </w:numPr>
        <w:rPr>
          <w:b/>
          <w:bCs/>
        </w:rPr>
      </w:pPr>
      <w:r w:rsidRPr="00905D9E">
        <w:rPr>
          <w:b/>
          <w:bCs/>
        </w:rPr>
        <w:t>The granularity is moderate: it doesn’t list every risk (since the Risk Factors section does that), but it provides enough examples of uncertainties (macroeconomic conditions, competition, regulatory changes, etc.) that could impact forward-looking information.</w:t>
      </w:r>
    </w:p>
    <w:p w14:paraId="3496A674" w14:textId="77777777" w:rsidR="00905D9E" w:rsidRPr="00905D9E" w:rsidRDefault="00905D9E" w:rsidP="00905D9E">
      <w:pPr>
        <w:pStyle w:val="a0"/>
        <w:rPr>
          <w:b/>
          <w:bCs/>
        </w:rPr>
      </w:pPr>
      <w:r w:rsidRPr="00905D9E">
        <w:rPr>
          <w:b/>
          <w:bCs/>
        </w:rPr>
        <w:t>Compliance emphasis</w:t>
      </w:r>
    </w:p>
    <w:p w14:paraId="127C6F3C" w14:textId="77777777" w:rsidR="00905D9E" w:rsidRPr="00905D9E" w:rsidRDefault="00905D9E" w:rsidP="00905D9E">
      <w:pPr>
        <w:pStyle w:val="a0"/>
        <w:numPr>
          <w:ilvl w:val="0"/>
          <w:numId w:val="62"/>
        </w:numPr>
        <w:rPr>
          <w:b/>
          <w:bCs/>
        </w:rPr>
      </w:pPr>
      <w:r w:rsidRPr="00905D9E">
        <w:rPr>
          <w:b/>
          <w:bCs/>
        </w:rPr>
        <w:t>The AI’s language should be highly precise and compliant, often mirroring standard safe-harbor disclaimers.</w:t>
      </w:r>
    </w:p>
    <w:p w14:paraId="4AC40206" w14:textId="77777777" w:rsidR="00905D9E" w:rsidRPr="00905D9E" w:rsidRDefault="00905D9E" w:rsidP="00905D9E">
      <w:pPr>
        <w:pStyle w:val="a0"/>
        <w:numPr>
          <w:ilvl w:val="0"/>
          <w:numId w:val="62"/>
        </w:numPr>
        <w:rPr>
          <w:b/>
          <w:bCs/>
        </w:rPr>
      </w:pPr>
      <w:r w:rsidRPr="00905D9E">
        <w:rPr>
          <w:b/>
          <w:bCs/>
        </w:rPr>
        <w:t>Essentially, this section serves to legally protect the company by alerting readers that predictions are subject to change and should be viewed with caution.</w:t>
      </w:r>
    </w:p>
    <w:p w14:paraId="19FD0704" w14:textId="77777777" w:rsidR="00B36EB7" w:rsidRDefault="00000000">
      <w:pPr>
        <w:pStyle w:val="a0"/>
      </w:pPr>
      <w:r>
        <w:rPr>
          <w:b/>
          <w:bCs/>
        </w:rPr>
        <w:t>Sponsor Counsel Enhancements:</w:t>
      </w:r>
      <w:r>
        <w:br/>
        <w:t xml:space="preserve">- Add a strict “trigger‑word net”: if any of “expect/aim/will/plan/target/believe” appears outside this section, the AI agent must require a qualifier + risk cross‑reference (Rule 2.13(c)). </w:t>
      </w:r>
      <w:hyperlink r:id="rId55">
        <w:r>
          <w:rPr>
            <w:rStyle w:val="af"/>
          </w:rPr>
          <w:t>[8]</w:t>
        </w:r>
      </w:hyperlink>
      <w:r>
        <w:br/>
        <w:t xml:space="preserve">- Add “profit forecast guardrail”: prohibit statements that explicitly or implicitly quantify future profits/losses unless counsel confirms compliance with Rule 11.16–11.19. </w:t>
      </w:r>
      <w:hyperlink r:id="rId56">
        <w:r>
          <w:rPr>
            <w:rStyle w:val="af"/>
          </w:rPr>
          <w:t>[15]</w:t>
        </w:r>
      </w:hyperlink>
    </w:p>
    <w:p w14:paraId="1B02DEC0" w14:textId="77777777" w:rsidR="00B36EB7" w:rsidRDefault="00000000">
      <w:pPr>
        <w:pStyle w:val="a0"/>
      </w:pPr>
      <w:r>
        <w:rPr>
          <w:b/>
          <w:bCs/>
        </w:rPr>
        <w:t>Enhanced sample paragraph (Forward‑Looking Statements):</w:t>
      </w:r>
      <w:r>
        <w:br/>
        <w:t xml:space="preserve">“This prospectus contains forward‑looking statements which are subject to risks and uncertainties. Statements that are not historical facts, including statements about our plans, objectives, future developments, and expected performance, may constitute forward‑looking statements. These statements are based on assumptions and information currently available and may prove inaccurate. Actual results may differ materially due to known and unknown risks and uncertainties. You are cautioned not to place undue reliance on such forward‑looking statements, which speak only as of the date of this prospectus, and we undertake no obligation to update them except as required by law. [[AI:XREF|to=Risk Factors]]” </w:t>
      </w:r>
      <w:hyperlink r:id="rId57">
        <w:r>
          <w:rPr>
            <w:rStyle w:val="af"/>
          </w:rPr>
          <w:t>[8]</w:t>
        </w:r>
      </w:hyperlink>
    </w:p>
    <w:p w14:paraId="5081F686" w14:textId="77777777" w:rsidR="00905D9E" w:rsidRDefault="00000000" w:rsidP="00905D9E">
      <w:pPr>
        <w:pStyle w:val="4"/>
        <w:rPr>
          <w:b/>
          <w:bCs/>
          <w:sz w:val="28"/>
          <w:szCs w:val="28"/>
        </w:rPr>
      </w:pPr>
      <w:bookmarkStart w:id="27" w:name="risk-factors"/>
      <w:bookmarkEnd w:id="26"/>
      <w:r w:rsidRPr="0074610B">
        <w:rPr>
          <w:b/>
          <w:bCs/>
          <w:sz w:val="28"/>
          <w:szCs w:val="28"/>
        </w:rPr>
        <w:lastRenderedPageBreak/>
        <w:t>Risk Factors</w:t>
      </w:r>
    </w:p>
    <w:p w14:paraId="6F23B40C" w14:textId="748FECF2" w:rsidR="00905D9E" w:rsidRPr="00905D9E" w:rsidRDefault="00000000" w:rsidP="00905D9E">
      <w:pPr>
        <w:pStyle w:val="4"/>
        <w:rPr>
          <w:b/>
          <w:bCs/>
          <w:sz w:val="28"/>
          <w:szCs w:val="28"/>
        </w:rPr>
      </w:pPr>
      <w:r>
        <w:br/>
      </w:r>
      <w:r w:rsidR="00905D9E" w:rsidRPr="00905D9E">
        <w:rPr>
          <w:rFonts w:cstheme="minorBidi"/>
          <w:b/>
          <w:bCs/>
        </w:rPr>
        <w:t>Role and tone</w:t>
      </w:r>
    </w:p>
    <w:p w14:paraId="47BF22C6" w14:textId="77777777" w:rsidR="00905D9E" w:rsidRPr="00905D9E" w:rsidRDefault="00905D9E" w:rsidP="00905D9E">
      <w:pPr>
        <w:pStyle w:val="FirstParagraph"/>
        <w:numPr>
          <w:ilvl w:val="0"/>
          <w:numId w:val="63"/>
        </w:numPr>
      </w:pPr>
      <w:r w:rsidRPr="00905D9E">
        <w:t>The Risk Factors section contains a detailed discussion of all significant risks associated with the company’s business and the investment, written in a frank and thorough manner.</w:t>
      </w:r>
    </w:p>
    <w:p w14:paraId="0AA5EDDC" w14:textId="77777777" w:rsidR="00905D9E" w:rsidRPr="00905D9E" w:rsidRDefault="00905D9E" w:rsidP="00905D9E">
      <w:pPr>
        <w:pStyle w:val="FirstParagraph"/>
      </w:pPr>
      <w:r w:rsidRPr="00905D9E">
        <w:rPr>
          <w:b/>
          <w:bCs/>
        </w:rPr>
        <w:t>Structure</w:t>
      </w:r>
    </w:p>
    <w:p w14:paraId="1AA2C1ED" w14:textId="0F2CB84C" w:rsidR="00905D9E" w:rsidRPr="00905D9E" w:rsidRDefault="00905D9E" w:rsidP="00905D9E">
      <w:pPr>
        <w:pStyle w:val="FirstParagraph"/>
        <w:numPr>
          <w:ilvl w:val="0"/>
          <w:numId w:val="64"/>
        </w:numPr>
      </w:pPr>
      <w:r w:rsidRPr="00905D9E">
        <w:t xml:space="preserve">The AI should structure this as a series of sub-sections or bullet points (usually formatted as descriptive sub-headings with explanatory paragraphs) for each major </w:t>
      </w:r>
      <w:proofErr w:type="spellStart"/>
      <w:r w:rsidRPr="00905D9E">
        <w:t>ris</w:t>
      </w:r>
      <w:proofErr w:type="spellEnd"/>
    </w:p>
    <w:p w14:paraId="70F672FE" w14:textId="77777777" w:rsidR="00905D9E" w:rsidRPr="00905D9E" w:rsidRDefault="00905D9E" w:rsidP="00905D9E">
      <w:pPr>
        <w:pStyle w:val="FirstParagraph"/>
      </w:pPr>
      <w:r w:rsidRPr="00905D9E">
        <w:rPr>
          <w:b/>
          <w:bCs/>
        </w:rPr>
        <w:t>Coverage requirements</w:t>
      </w:r>
    </w:p>
    <w:p w14:paraId="39A66892" w14:textId="77777777" w:rsidR="00905D9E" w:rsidRPr="00905D9E" w:rsidRDefault="00905D9E" w:rsidP="00905D9E">
      <w:pPr>
        <w:pStyle w:val="FirstParagraph"/>
        <w:numPr>
          <w:ilvl w:val="0"/>
          <w:numId w:val="65"/>
        </w:numPr>
      </w:pPr>
      <w:r w:rsidRPr="00905D9E">
        <w:t>The content range must be comprehensive: covering industry-related risks, business and operational risks, financial and market risks, regulatory and legal risks, and any investment-specific risks (such as risks related to the offering structure or share price volatility).</w:t>
      </w:r>
    </w:p>
    <w:p w14:paraId="40066AE7" w14:textId="77777777" w:rsidR="00905D9E" w:rsidRPr="00905D9E" w:rsidRDefault="00905D9E" w:rsidP="00905D9E">
      <w:pPr>
        <w:pStyle w:val="FirstParagraph"/>
      </w:pPr>
      <w:r w:rsidRPr="00905D9E">
        <w:rPr>
          <w:b/>
          <w:bCs/>
        </w:rPr>
        <w:t>Per-risk content</w:t>
      </w:r>
    </w:p>
    <w:p w14:paraId="513FECCB" w14:textId="77777777" w:rsidR="00905D9E" w:rsidRPr="00905D9E" w:rsidRDefault="00905D9E" w:rsidP="00905D9E">
      <w:pPr>
        <w:pStyle w:val="FirstParagraph"/>
        <w:numPr>
          <w:ilvl w:val="0"/>
          <w:numId w:val="66"/>
        </w:numPr>
      </w:pPr>
      <w:r w:rsidRPr="00905D9E">
        <w:t>Each risk factor typically has a heading that states the risk in a crisp statement, followed by one or more paragraphs explaining why this is a risk and how it could adversely affect the company or investors.</w:t>
      </w:r>
    </w:p>
    <w:p w14:paraId="1C6C0F86" w14:textId="77777777" w:rsidR="00905D9E" w:rsidRPr="00905D9E" w:rsidRDefault="00905D9E" w:rsidP="00905D9E">
      <w:pPr>
        <w:pStyle w:val="FirstParagraph"/>
        <w:numPr>
          <w:ilvl w:val="0"/>
          <w:numId w:val="66"/>
        </w:numPr>
      </w:pPr>
      <w:r w:rsidRPr="00905D9E">
        <w:t>For example, a risk factor heading might be, “We cannot assure you that our pop culture products will continue to be popular, and a decline in consumer interest could adversely affect our sales,” followed by details supporting that statement.</w:t>
      </w:r>
    </w:p>
    <w:p w14:paraId="789C511B" w14:textId="77777777" w:rsidR="00905D9E" w:rsidRPr="00905D9E" w:rsidRDefault="00905D9E" w:rsidP="00905D9E">
      <w:pPr>
        <w:pStyle w:val="FirstParagraph"/>
        <w:numPr>
          <w:ilvl w:val="0"/>
          <w:numId w:val="66"/>
        </w:numPr>
      </w:pPr>
      <w:r w:rsidRPr="00905D9E">
        <w:t>The AI’s output for each risk should include the context or cause of the risk, the potential negative outcome (impact on revenue, profit, reputation, regulatory compliance, etc.), and sometimes mitigating factors or the company’s response (though usually emphasis is on the downside).</w:t>
      </w:r>
    </w:p>
    <w:p w14:paraId="1FE07950" w14:textId="77777777" w:rsidR="00905D9E" w:rsidRPr="00905D9E" w:rsidRDefault="00905D9E" w:rsidP="00905D9E">
      <w:pPr>
        <w:pStyle w:val="FirstParagraph"/>
      </w:pPr>
      <w:r w:rsidRPr="00905D9E">
        <w:rPr>
          <w:b/>
          <w:bCs/>
        </w:rPr>
        <w:t>Organization</w:t>
      </w:r>
    </w:p>
    <w:p w14:paraId="019AB953" w14:textId="77777777" w:rsidR="00905D9E" w:rsidRPr="00905D9E" w:rsidRDefault="00905D9E" w:rsidP="00905D9E">
      <w:pPr>
        <w:pStyle w:val="FirstParagraph"/>
        <w:numPr>
          <w:ilvl w:val="0"/>
          <w:numId w:val="67"/>
        </w:numPr>
      </w:pPr>
      <w:r w:rsidRPr="00905D9E">
        <w:t>The information framework is often grouped by type of risk, starting with those relating to the business/industry, then financial matters, then regulatory environment, and finally risks relating to the shares or the offering.</w:t>
      </w:r>
    </w:p>
    <w:p w14:paraId="27C44EAA" w14:textId="77777777" w:rsidR="00905D9E" w:rsidRPr="00905D9E" w:rsidRDefault="00905D9E" w:rsidP="00905D9E">
      <w:pPr>
        <w:pStyle w:val="FirstParagraph"/>
      </w:pPr>
      <w:r w:rsidRPr="00905D9E">
        <w:rPr>
          <w:b/>
          <w:bCs/>
        </w:rPr>
        <w:t>Granularity</w:t>
      </w:r>
    </w:p>
    <w:p w14:paraId="310A9B5D" w14:textId="77777777" w:rsidR="00905D9E" w:rsidRPr="00905D9E" w:rsidRDefault="00905D9E" w:rsidP="00905D9E">
      <w:pPr>
        <w:pStyle w:val="FirstParagraph"/>
        <w:numPr>
          <w:ilvl w:val="0"/>
          <w:numId w:val="68"/>
        </w:numPr>
      </w:pPr>
      <w:r w:rsidRPr="00905D9E">
        <w:t>The granularity requirement is high: this section should err on the side of full disclosure, meaning each risk is described with sufficient detail and specific examples or figures (if relevant) to convey its seriousness.</w:t>
      </w:r>
    </w:p>
    <w:p w14:paraId="7EF70853" w14:textId="77777777" w:rsidR="00905D9E" w:rsidRPr="00905D9E" w:rsidRDefault="00905D9E" w:rsidP="00905D9E">
      <w:pPr>
        <w:pStyle w:val="FirstParagraph"/>
        <w:numPr>
          <w:ilvl w:val="0"/>
          <w:numId w:val="68"/>
        </w:numPr>
      </w:pPr>
      <w:r w:rsidRPr="00905D9E">
        <w:lastRenderedPageBreak/>
        <w:t>For instance, if the company is heavily dependent on one product or one market, the risk factor will quantify that dependence and describe consequences of its change.</w:t>
      </w:r>
    </w:p>
    <w:p w14:paraId="66074FEC" w14:textId="77777777" w:rsidR="00905D9E" w:rsidRPr="00905D9E" w:rsidRDefault="00905D9E" w:rsidP="00905D9E">
      <w:pPr>
        <w:pStyle w:val="FirstParagraph"/>
      </w:pPr>
      <w:r w:rsidRPr="00905D9E">
        <w:rPr>
          <w:b/>
          <w:bCs/>
        </w:rPr>
        <w:t>Compliance requirements</w:t>
      </w:r>
    </w:p>
    <w:p w14:paraId="41920B64" w14:textId="77777777" w:rsidR="00905D9E" w:rsidRPr="00905D9E" w:rsidRDefault="00905D9E" w:rsidP="00905D9E">
      <w:pPr>
        <w:pStyle w:val="FirstParagraph"/>
        <w:numPr>
          <w:ilvl w:val="0"/>
          <w:numId w:val="69"/>
        </w:numPr>
      </w:pPr>
      <w:r w:rsidRPr="00905D9E">
        <w:t>The tone remains cautionary and factual, avoiding optimistic language.</w:t>
      </w:r>
    </w:p>
    <w:p w14:paraId="1ACBE26F" w14:textId="77777777" w:rsidR="00905D9E" w:rsidRPr="00905D9E" w:rsidRDefault="00905D9E" w:rsidP="00905D9E">
      <w:pPr>
        <w:pStyle w:val="FirstParagraph"/>
        <w:numPr>
          <w:ilvl w:val="0"/>
          <w:numId w:val="69"/>
        </w:numPr>
      </w:pPr>
      <w:r w:rsidRPr="00905D9E">
        <w:t>It’s important the AI agent does not downplay any risk – compliance standards require that all material risks be clearly disclosed.</w:t>
      </w:r>
    </w:p>
    <w:p w14:paraId="1ABA6D68" w14:textId="77777777" w:rsidR="00905D9E" w:rsidRPr="00905D9E" w:rsidRDefault="00905D9E" w:rsidP="00905D9E">
      <w:pPr>
        <w:pStyle w:val="FirstParagraph"/>
      </w:pPr>
      <w:r w:rsidRPr="00905D9E">
        <w:rPr>
          <w:b/>
          <w:bCs/>
        </w:rPr>
        <w:t>Investor value</w:t>
      </w:r>
    </w:p>
    <w:p w14:paraId="7D03E148" w14:textId="77777777" w:rsidR="00905D9E" w:rsidRPr="00905D9E" w:rsidRDefault="00905D9E" w:rsidP="00905D9E">
      <w:pPr>
        <w:pStyle w:val="FirstParagraph"/>
        <w:numPr>
          <w:ilvl w:val="0"/>
          <w:numId w:val="70"/>
        </w:numPr>
      </w:pPr>
      <w:r w:rsidRPr="00905D9E">
        <w:t>By structuring the risk factors with clear headings and in-depth explanation, the AI’s output will ensure investors are well-informed of potential downsides before making an investment decision.</w:t>
      </w:r>
    </w:p>
    <w:p w14:paraId="181470CB" w14:textId="18E67155" w:rsidR="00B36EB7" w:rsidRPr="00905D9E" w:rsidRDefault="00B36EB7">
      <w:pPr>
        <w:pStyle w:val="FirstParagraph"/>
      </w:pPr>
    </w:p>
    <w:p w14:paraId="6337E5B3" w14:textId="77777777" w:rsidR="00B36EB7" w:rsidRDefault="00000000">
      <w:pPr>
        <w:pStyle w:val="a0"/>
      </w:pPr>
      <w:r>
        <w:rPr>
          <w:b/>
          <w:bCs/>
        </w:rPr>
        <w:t>Sponsor Counsel Enhancements (hard rules):</w:t>
      </w:r>
      <w:r>
        <w:br/>
        <w:t xml:space="preserve">- Risk factors must be material, applicant‑specific, and quantify impact where possible (Guide 3.3). </w:t>
      </w:r>
      <w:hyperlink r:id="rId58">
        <w:r>
          <w:rPr>
            <w:rStyle w:val="af"/>
          </w:rPr>
          <w:t>[28]</w:t>
        </w:r>
      </w:hyperlink>
      <w:r>
        <w:br/>
        <w:t xml:space="preserve">- Avoid bundling/overlap; each risk factor should focus on a single principal risk (Guide 3.3). </w:t>
      </w:r>
      <w:hyperlink r:id="rId59">
        <w:r>
          <w:rPr>
            <w:rStyle w:val="af"/>
          </w:rPr>
          <w:t>[28]</w:t>
        </w:r>
      </w:hyperlink>
      <w:r>
        <w:br/>
        <w:t xml:space="preserve">- Do not include mitigating facts inside the risk description; put mitigation elsewhere and cross‑reference (GL86‑16). </w:t>
      </w:r>
      <w:hyperlink r:id="rId60">
        <w:r>
          <w:rPr>
            <w:rStyle w:val="af"/>
          </w:rPr>
          <w:t>[30]</w:t>
        </w:r>
      </w:hyperlink>
      <w:r>
        <w:br/>
        <w:t xml:space="preserve">- Avoid vague “unknown risks” disclaimers (GL86‑16). </w:t>
      </w:r>
      <w:hyperlink r:id="rId61">
        <w:r>
          <w:rPr>
            <w:rStyle w:val="af"/>
          </w:rPr>
          <w:t>[30]</w:t>
        </w:r>
      </w:hyperlink>
    </w:p>
    <w:p w14:paraId="7273E894" w14:textId="77777777" w:rsidR="00B36EB7" w:rsidRDefault="00000000">
      <w:pPr>
        <w:pStyle w:val="a0"/>
      </w:pPr>
      <w:r>
        <w:rPr>
          <w:b/>
          <w:bCs/>
        </w:rPr>
        <w:t>Enhanced sample paragraph (Risk Factors introductory paragraphs):</w:t>
      </w:r>
      <w:r>
        <w:br/>
        <w:t xml:space="preserve">“An investment in our shares involves significant risks. You should consider carefully all information in this prospectus, including the risks described in this section, before making an investment decision. The risks described below are those we believe to be material to us and the offering; additional risks and uncertainties not presently known to us, or that we currently deem immaterial, may also impair our business, financial condition, results of operations and prospects. Each risk factor is described in the context of our business and explains how it could adversely affect us and investors. [[AI:VERIFY|each risk must tie to facts in Business/Financial Information and must be consistent across the document.]]” </w:t>
      </w:r>
      <w:hyperlink r:id="rId62">
        <w:r>
          <w:rPr>
            <w:rStyle w:val="af"/>
          </w:rPr>
          <w:t>[18]</w:t>
        </w:r>
      </w:hyperlink>
    </w:p>
    <w:p w14:paraId="63AE6CD3" w14:textId="77777777" w:rsidR="00B36EB7" w:rsidRDefault="00000000">
      <w:pPr>
        <w:pStyle w:val="a0"/>
      </w:pPr>
      <w:r>
        <w:rPr>
          <w:i/>
          <w:iCs/>
        </w:rPr>
        <w:t>(Note: if you choose to retain the “additional risks unknown” sentence above, counsel should assess it against GL86‑16’s warning against non‑specific disclaimers; many HKEX‑vetted prospectuses avoid or tightly limit this language.)</w:t>
      </w:r>
      <w:r>
        <w:t xml:space="preserve"> </w:t>
      </w:r>
      <w:hyperlink r:id="rId63">
        <w:r>
          <w:rPr>
            <w:rStyle w:val="af"/>
          </w:rPr>
          <w:t>[30]</w:t>
        </w:r>
      </w:hyperlink>
    </w:p>
    <w:p w14:paraId="3591CC9F" w14:textId="77777777" w:rsidR="00B36EB7" w:rsidRPr="0074610B" w:rsidRDefault="00000000">
      <w:pPr>
        <w:pStyle w:val="4"/>
        <w:rPr>
          <w:b/>
          <w:bCs/>
          <w:sz w:val="28"/>
          <w:szCs w:val="28"/>
        </w:rPr>
      </w:pPr>
      <w:bookmarkStart w:id="28" w:name="waivers-and-exemptions"/>
      <w:bookmarkEnd w:id="27"/>
      <w:r w:rsidRPr="0074610B">
        <w:rPr>
          <w:b/>
          <w:bCs/>
          <w:sz w:val="28"/>
          <w:szCs w:val="28"/>
        </w:rPr>
        <w:lastRenderedPageBreak/>
        <w:t>Waivers and Exemptions</w:t>
      </w:r>
    </w:p>
    <w:p w14:paraId="4F1A41D7" w14:textId="5BBB42A2" w:rsidR="00905D9E" w:rsidRPr="00905D9E" w:rsidRDefault="00000000" w:rsidP="00905D9E">
      <w:pPr>
        <w:pStyle w:val="FirstParagraph"/>
      </w:pPr>
      <w:r>
        <w:br/>
      </w:r>
      <w:r w:rsidR="00905D9E" w:rsidRPr="00905D9E">
        <w:rPr>
          <w:b/>
          <w:bCs/>
        </w:rPr>
        <w:t>Purpose</w:t>
      </w:r>
    </w:p>
    <w:p w14:paraId="3D5CAF9F" w14:textId="77777777" w:rsidR="00905D9E" w:rsidRPr="00905D9E" w:rsidRDefault="00905D9E" w:rsidP="00905D9E">
      <w:pPr>
        <w:pStyle w:val="FirstParagraph"/>
        <w:numPr>
          <w:ilvl w:val="0"/>
          <w:numId w:val="71"/>
        </w:numPr>
      </w:pPr>
      <w:r w:rsidRPr="00905D9E">
        <w:t>In this section, the prospectus discloses any special dispensations the company has obtained from the stock exchange or regulators regarding listing requirements.</w:t>
      </w:r>
    </w:p>
    <w:p w14:paraId="27CA35E3" w14:textId="77777777" w:rsidR="00905D9E" w:rsidRPr="00905D9E" w:rsidRDefault="00905D9E" w:rsidP="00905D9E">
      <w:pPr>
        <w:pStyle w:val="FirstParagraph"/>
      </w:pPr>
      <w:r w:rsidRPr="00905D9E">
        <w:rPr>
          <w:b/>
          <w:bCs/>
        </w:rPr>
        <w:t>How to structure</w:t>
      </w:r>
    </w:p>
    <w:p w14:paraId="1382181D" w14:textId="77777777" w:rsidR="00905D9E" w:rsidRPr="00905D9E" w:rsidRDefault="00905D9E" w:rsidP="00905D9E">
      <w:pPr>
        <w:pStyle w:val="FirstParagraph"/>
        <w:numPr>
          <w:ilvl w:val="0"/>
          <w:numId w:val="72"/>
        </w:numPr>
      </w:pPr>
      <w:r w:rsidRPr="00905D9E">
        <w:t>The AI should enumerate each waiver or exemption the company sought, usually structured by the specific rule waived.</w:t>
      </w:r>
    </w:p>
    <w:p w14:paraId="00E3D16D" w14:textId="77777777" w:rsidR="00905D9E" w:rsidRPr="00905D9E" w:rsidRDefault="00905D9E" w:rsidP="00905D9E">
      <w:pPr>
        <w:pStyle w:val="FirstParagraph"/>
      </w:pPr>
      <w:r w:rsidRPr="00905D9E">
        <w:rPr>
          <w:b/>
          <w:bCs/>
        </w:rPr>
        <w:t>Required components for each waiver</w:t>
      </w:r>
    </w:p>
    <w:p w14:paraId="3EE6019D" w14:textId="77777777" w:rsidR="00905D9E" w:rsidRPr="00905D9E" w:rsidRDefault="00905D9E" w:rsidP="00905D9E">
      <w:pPr>
        <w:pStyle w:val="FirstParagraph"/>
        <w:numPr>
          <w:ilvl w:val="0"/>
          <w:numId w:val="73"/>
        </w:numPr>
      </w:pPr>
      <w:r w:rsidRPr="00905D9E">
        <w:t>The standard content includes a brief description of the requirement from which the company is exempted, the justification for seeking the waiver, and confirmation that the exchange or regulator granted it.</w:t>
      </w:r>
    </w:p>
    <w:p w14:paraId="18D8B4A9" w14:textId="77777777" w:rsidR="00905D9E" w:rsidRPr="00905D9E" w:rsidRDefault="00905D9E" w:rsidP="00905D9E">
      <w:pPr>
        <w:pStyle w:val="FirstParagraph"/>
      </w:pPr>
      <w:r w:rsidRPr="00905D9E">
        <w:rPr>
          <w:b/>
          <w:bCs/>
        </w:rPr>
        <w:t>Example pattern</w:t>
      </w:r>
    </w:p>
    <w:p w14:paraId="4C97876B" w14:textId="77777777" w:rsidR="00905D9E" w:rsidRPr="00905D9E" w:rsidRDefault="00905D9E" w:rsidP="00905D9E">
      <w:pPr>
        <w:pStyle w:val="FirstParagraph"/>
        <w:numPr>
          <w:ilvl w:val="0"/>
          <w:numId w:val="74"/>
        </w:numPr>
      </w:pPr>
      <w:r w:rsidRPr="00905D9E">
        <w:t>For example, a common waiver in Hong Kong IPOs is for management presence in Hong Kong (if most directors reside outside Hong Kong) – the prospectus would explain this rule (Listing Rule X.Y requiring certain executives to reside in HK) and why the company cannot meet it, then note that a waiver was granted subject to conditions.</w:t>
      </w:r>
    </w:p>
    <w:p w14:paraId="6C32ED68" w14:textId="77777777" w:rsidR="00905D9E" w:rsidRPr="00905D9E" w:rsidRDefault="00905D9E" w:rsidP="00905D9E">
      <w:pPr>
        <w:pStyle w:val="FirstParagraph"/>
      </w:pPr>
      <w:r w:rsidRPr="00905D9E">
        <w:rPr>
          <w:b/>
          <w:bCs/>
        </w:rPr>
        <w:t>Granularity &amp; rule referencing</w:t>
      </w:r>
    </w:p>
    <w:p w14:paraId="78CAB14E" w14:textId="77777777" w:rsidR="00905D9E" w:rsidRPr="00905D9E" w:rsidRDefault="00905D9E" w:rsidP="00905D9E">
      <w:pPr>
        <w:pStyle w:val="FirstParagraph"/>
        <w:numPr>
          <w:ilvl w:val="0"/>
          <w:numId w:val="75"/>
        </w:numPr>
      </w:pPr>
      <w:r w:rsidRPr="00905D9E">
        <w:t>Each waiver is typically presented as a sub-section with a heading (often the topic, like “Management Presence in Hong Kong”) followed by paragraphs detailing the situation.</w:t>
      </w:r>
    </w:p>
    <w:p w14:paraId="1300E75D" w14:textId="77777777" w:rsidR="00905D9E" w:rsidRPr="00905D9E" w:rsidRDefault="00905D9E" w:rsidP="00905D9E">
      <w:pPr>
        <w:pStyle w:val="FirstParagraph"/>
        <w:numPr>
          <w:ilvl w:val="0"/>
          <w:numId w:val="75"/>
        </w:numPr>
      </w:pPr>
      <w:r w:rsidRPr="00905D9E">
        <w:t>The AI’s output should provide the reason for each waiver (e.g., “due to the Company’s operations being primarily in the PRC, all executive Directors are based in the PRC, making strict compliance with the Hong Kong residency requirement impracticable”) and any conditions attached to the waiver (such as appointing a Hong Kong communication agent as an alternative measure).</w:t>
      </w:r>
    </w:p>
    <w:p w14:paraId="24B88F29" w14:textId="77777777" w:rsidR="00905D9E" w:rsidRPr="00905D9E" w:rsidRDefault="00905D9E" w:rsidP="00905D9E">
      <w:pPr>
        <w:pStyle w:val="FirstParagraph"/>
        <w:numPr>
          <w:ilvl w:val="0"/>
          <w:numId w:val="75"/>
        </w:numPr>
      </w:pPr>
      <w:r w:rsidRPr="00905D9E">
        <w:t>The information framework is factual and itemized; it may reference the exact Listing Rule numbers and their titles.</w:t>
      </w:r>
    </w:p>
    <w:p w14:paraId="5758F075" w14:textId="77777777" w:rsidR="00905D9E" w:rsidRPr="00905D9E" w:rsidRDefault="00905D9E" w:rsidP="00905D9E">
      <w:pPr>
        <w:pStyle w:val="FirstParagraph"/>
        <w:numPr>
          <w:ilvl w:val="0"/>
          <w:numId w:val="75"/>
        </w:numPr>
      </w:pPr>
      <w:r w:rsidRPr="00905D9E">
        <w:t>The granularity is specific – it should cite the rule number and title, describe the extent of non-compliance, and the mitigation or alternative steps the company is taking due to the waiver.</w:t>
      </w:r>
    </w:p>
    <w:p w14:paraId="0A0DAD2C" w14:textId="77777777" w:rsidR="00905D9E" w:rsidRPr="00905D9E" w:rsidRDefault="00905D9E" w:rsidP="00905D9E">
      <w:pPr>
        <w:pStyle w:val="FirstParagraph"/>
      </w:pPr>
      <w:r w:rsidRPr="00905D9E">
        <w:rPr>
          <w:b/>
          <w:bCs/>
        </w:rPr>
        <w:t>Transparency &amp; edge cases</w:t>
      </w:r>
    </w:p>
    <w:p w14:paraId="49B91D57" w14:textId="77777777" w:rsidR="00905D9E" w:rsidRPr="00905D9E" w:rsidRDefault="00905D9E" w:rsidP="00905D9E">
      <w:pPr>
        <w:pStyle w:val="FirstParagraph"/>
        <w:numPr>
          <w:ilvl w:val="0"/>
          <w:numId w:val="76"/>
        </w:numPr>
      </w:pPr>
      <w:r w:rsidRPr="00905D9E">
        <w:lastRenderedPageBreak/>
        <w:t>This section ensures transparency about regulatory compliance: investors learn that the company does not fully meet certain standard rules but has obtained official permission to proceed anyway.</w:t>
      </w:r>
    </w:p>
    <w:p w14:paraId="5DA780D3" w14:textId="77777777" w:rsidR="00905D9E" w:rsidRPr="00905D9E" w:rsidRDefault="00905D9E" w:rsidP="00905D9E">
      <w:pPr>
        <w:pStyle w:val="FirstParagraph"/>
        <w:numPr>
          <w:ilvl w:val="0"/>
          <w:numId w:val="76"/>
        </w:numPr>
      </w:pPr>
      <w:r w:rsidRPr="00905D9E">
        <w:t>The AI must ensure the explanation is clear that without these waivers, the company would not meet listing criteria, but with them, the listing is permitted.</w:t>
      </w:r>
    </w:p>
    <w:p w14:paraId="7E05FFE8" w14:textId="77777777" w:rsidR="00905D9E" w:rsidRPr="00905D9E" w:rsidRDefault="00905D9E" w:rsidP="00905D9E">
      <w:pPr>
        <w:pStyle w:val="FirstParagraph"/>
        <w:numPr>
          <w:ilvl w:val="0"/>
          <w:numId w:val="76"/>
        </w:numPr>
      </w:pPr>
      <w:r w:rsidRPr="00905D9E">
        <w:t>Clarity and completeness in describing waivers (including any that were sought but not granted, if applicable) is crucial for compliance.</w:t>
      </w:r>
    </w:p>
    <w:p w14:paraId="3563ADCE" w14:textId="47375EA4" w:rsidR="00B36EB7" w:rsidRDefault="00000000">
      <w:pPr>
        <w:pStyle w:val="FirstParagraph"/>
      </w:pPr>
      <w:r>
        <w:t>”</w:t>
      </w:r>
    </w:p>
    <w:p w14:paraId="4C0F7A99" w14:textId="77777777" w:rsidR="00B36EB7" w:rsidRDefault="00000000">
      <w:pPr>
        <w:pStyle w:val="a0"/>
      </w:pPr>
      <w:r>
        <w:rPr>
          <w:b/>
          <w:bCs/>
        </w:rPr>
        <w:t>Sponsor Counsel Enhancements:</w:t>
      </w:r>
      <w:r>
        <w:br/>
        <w:t xml:space="preserve">- Require a structured format: </w:t>
      </w:r>
      <w:r>
        <w:rPr>
          <w:rStyle w:val="VerbatimChar"/>
        </w:rPr>
        <w:t>Rule → requirement → non‑compliance fact pattern → waiver/exemption granted → conditions → investor relevance</w:t>
      </w:r>
      <w:r>
        <w:t>.</w:t>
      </w:r>
      <w:r>
        <w:br/>
        <w:t xml:space="preserve">- </w:t>
      </w:r>
      <w:r>
        <w:rPr>
          <w:rStyle w:val="VerbatimChar"/>
        </w:rPr>
        <w:t>[[AI:VERIFY|include Exchange approval evidence; confirm conditions implemented]]</w:t>
      </w:r>
      <w:r>
        <w:br/>
        <w:t xml:space="preserve">- Ensure any waiver does not create “quiet risk”: if a waiver signals structural risk, surface it in Risk Factors with cross‑reference. </w:t>
      </w:r>
      <w:hyperlink r:id="rId64">
        <w:r>
          <w:rPr>
            <w:rStyle w:val="af"/>
          </w:rPr>
          <w:t>[28]</w:t>
        </w:r>
      </w:hyperlink>
    </w:p>
    <w:p w14:paraId="08DF135B" w14:textId="77777777" w:rsidR="00B36EB7" w:rsidRDefault="00000000">
      <w:pPr>
        <w:pStyle w:val="a0"/>
      </w:pPr>
      <w:r>
        <w:rPr>
          <w:b/>
          <w:bCs/>
        </w:rPr>
        <w:t>Enhanced sample paragraph (Waivers lead‑in):</w:t>
      </w:r>
      <w:r>
        <w:br/>
        <w:t>“In this section, we describe waivers and exemptions from strict compliance with certain Listing Rules and/or applicable prospectus requirements that have been granted to us. For each waiver or exemption, we identify the relevant rule, explain why strict compliance is impracticable or inappropriate in our circumstances, confirm that the waiver/exemption has been granted, and describe any conditions and alternative measures. [[AI:VERIFY|obtain documentary evidence of each waiver and confirm ongoing compliance with conditions.]]”</w:t>
      </w:r>
    </w:p>
    <w:p w14:paraId="0102C1BE" w14:textId="77777777" w:rsidR="0074610B" w:rsidRPr="0074610B" w:rsidRDefault="0074610B" w:rsidP="0074610B">
      <w:pPr>
        <w:pStyle w:val="a0"/>
        <w:rPr>
          <w:b/>
          <w:bCs/>
          <w:i/>
          <w:iCs/>
          <w:sz w:val="28"/>
          <w:szCs w:val="28"/>
        </w:rPr>
      </w:pPr>
      <w:r w:rsidRPr="0074610B">
        <w:rPr>
          <w:b/>
          <w:bCs/>
          <w:i/>
          <w:iCs/>
          <w:sz w:val="28"/>
          <w:szCs w:val="28"/>
        </w:rPr>
        <w:t>Information about this Prospectus and the Global Offering</w:t>
      </w:r>
    </w:p>
    <w:p w14:paraId="273B6E96" w14:textId="77777777" w:rsidR="00905D9E" w:rsidRPr="00905D9E" w:rsidRDefault="00905D9E" w:rsidP="00905D9E">
      <w:pPr>
        <w:pStyle w:val="a0"/>
        <w:rPr>
          <w:b/>
          <w:bCs/>
        </w:rPr>
      </w:pPr>
      <w:r w:rsidRPr="00905D9E">
        <w:rPr>
          <w:b/>
          <w:bCs/>
        </w:rPr>
        <w:t>Purpose</w:t>
      </w:r>
    </w:p>
    <w:p w14:paraId="2E0E2F0F" w14:textId="77777777" w:rsidR="00905D9E" w:rsidRPr="00905D9E" w:rsidRDefault="00905D9E" w:rsidP="00905D9E">
      <w:pPr>
        <w:pStyle w:val="a0"/>
        <w:numPr>
          <w:ilvl w:val="0"/>
          <w:numId w:val="77"/>
        </w:numPr>
        <w:rPr>
          <w:b/>
          <w:bCs/>
        </w:rPr>
      </w:pPr>
      <w:r w:rsidRPr="00905D9E">
        <w:rPr>
          <w:b/>
          <w:bCs/>
        </w:rPr>
        <w:t>This section provides important notices to investors on how to interpret the document and details about the offering process.</w:t>
      </w:r>
    </w:p>
    <w:p w14:paraId="71302B20" w14:textId="77777777" w:rsidR="00905D9E" w:rsidRPr="00905D9E" w:rsidRDefault="00905D9E" w:rsidP="00905D9E">
      <w:pPr>
        <w:pStyle w:val="a0"/>
        <w:rPr>
          <w:b/>
          <w:bCs/>
        </w:rPr>
      </w:pPr>
      <w:r w:rsidRPr="00905D9E">
        <w:rPr>
          <w:b/>
          <w:bCs/>
        </w:rPr>
        <w:t>Format</w:t>
      </w:r>
    </w:p>
    <w:p w14:paraId="5FF3568F" w14:textId="77777777" w:rsidR="00905D9E" w:rsidRPr="00905D9E" w:rsidRDefault="00905D9E" w:rsidP="00905D9E">
      <w:pPr>
        <w:pStyle w:val="a0"/>
        <w:numPr>
          <w:ilvl w:val="0"/>
          <w:numId w:val="78"/>
        </w:numPr>
        <w:rPr>
          <w:b/>
          <w:bCs/>
        </w:rPr>
      </w:pPr>
      <w:r w:rsidRPr="00905D9E">
        <w:rPr>
          <w:b/>
          <w:bCs/>
        </w:rPr>
        <w:t>The AI should write it as a series of informational points or short paragraphs.</w:t>
      </w:r>
    </w:p>
    <w:p w14:paraId="154C8BC9" w14:textId="77777777" w:rsidR="00905D9E" w:rsidRPr="00905D9E" w:rsidRDefault="00905D9E" w:rsidP="00905D9E">
      <w:pPr>
        <w:pStyle w:val="a0"/>
        <w:rPr>
          <w:b/>
          <w:bCs/>
        </w:rPr>
      </w:pPr>
      <w:r w:rsidRPr="00905D9E">
        <w:rPr>
          <w:b/>
          <w:bCs/>
        </w:rPr>
        <w:t>Standard content that must appear</w:t>
      </w:r>
    </w:p>
    <w:p w14:paraId="349B5DB6" w14:textId="77777777" w:rsidR="00905D9E" w:rsidRPr="00905D9E" w:rsidRDefault="00905D9E" w:rsidP="00905D9E">
      <w:pPr>
        <w:pStyle w:val="a0"/>
        <w:numPr>
          <w:ilvl w:val="0"/>
          <w:numId w:val="79"/>
        </w:numPr>
        <w:rPr>
          <w:b/>
          <w:bCs/>
        </w:rPr>
      </w:pPr>
      <w:r w:rsidRPr="00905D9E">
        <w:rPr>
          <w:b/>
          <w:bCs/>
        </w:rPr>
        <w:t>Standard content includes: distribution and reliance – a statement that the prospectus is the only authorized source of information and that no one is authorized to provide different information (investors should not rely on any other sources).</w:t>
      </w:r>
    </w:p>
    <w:p w14:paraId="4766D1BA" w14:textId="77777777" w:rsidR="00905D9E" w:rsidRPr="00905D9E" w:rsidRDefault="00905D9E" w:rsidP="00905D9E">
      <w:pPr>
        <w:pStyle w:val="a0"/>
        <w:numPr>
          <w:ilvl w:val="0"/>
          <w:numId w:val="79"/>
        </w:numPr>
        <w:rPr>
          <w:b/>
          <w:bCs/>
        </w:rPr>
      </w:pPr>
      <w:r w:rsidRPr="00905D9E">
        <w:rPr>
          <w:b/>
          <w:bCs/>
        </w:rPr>
        <w:lastRenderedPageBreak/>
        <w:t>It often clarifies that the prospectus does not constitute an offer in any jurisdiction where it’s not permitted, cautioning investors regarding the distribution of the document across borders.</w:t>
      </w:r>
    </w:p>
    <w:p w14:paraId="4E88B8C4" w14:textId="77777777" w:rsidR="00905D9E" w:rsidRPr="00905D9E" w:rsidRDefault="00905D9E" w:rsidP="00905D9E">
      <w:pPr>
        <w:pStyle w:val="a0"/>
        <w:rPr>
          <w:b/>
          <w:bCs/>
        </w:rPr>
      </w:pPr>
      <w:r w:rsidRPr="00905D9E">
        <w:rPr>
          <w:b/>
          <w:bCs/>
        </w:rPr>
        <w:t>Offering mechanics references</w:t>
      </w:r>
    </w:p>
    <w:p w14:paraId="6E251C21" w14:textId="77777777" w:rsidR="00905D9E" w:rsidRPr="00905D9E" w:rsidRDefault="00905D9E" w:rsidP="00905D9E">
      <w:pPr>
        <w:pStyle w:val="a0"/>
        <w:numPr>
          <w:ilvl w:val="0"/>
          <w:numId w:val="80"/>
        </w:numPr>
        <w:rPr>
          <w:b/>
          <w:bCs/>
        </w:rPr>
      </w:pPr>
      <w:r w:rsidRPr="00905D9E">
        <w:rPr>
          <w:b/>
          <w:bCs/>
        </w:rPr>
        <w:t>It also discloses arrangements for the offering, such as how the shares will be delivered and traded.</w:t>
      </w:r>
    </w:p>
    <w:p w14:paraId="20B51188" w14:textId="77777777" w:rsidR="00905D9E" w:rsidRPr="00905D9E" w:rsidRDefault="00905D9E" w:rsidP="00905D9E">
      <w:pPr>
        <w:pStyle w:val="a0"/>
        <w:numPr>
          <w:ilvl w:val="0"/>
          <w:numId w:val="80"/>
        </w:numPr>
        <w:rPr>
          <w:b/>
          <w:bCs/>
        </w:rPr>
      </w:pPr>
      <w:r w:rsidRPr="00905D9E">
        <w:rPr>
          <w:b/>
          <w:bCs/>
        </w:rPr>
        <w:t>For example, in a Hong Kong offering, it would mention that the shares will be listed on HKEX and that they will be admitted into CCASS (the Central Clearing and Settlement System) – indicating clearing and settlement arrangements.</w:t>
      </w:r>
    </w:p>
    <w:p w14:paraId="5D6E457A" w14:textId="77777777" w:rsidR="00905D9E" w:rsidRPr="00905D9E" w:rsidRDefault="00905D9E" w:rsidP="00905D9E">
      <w:pPr>
        <w:pStyle w:val="a0"/>
        <w:numPr>
          <w:ilvl w:val="0"/>
          <w:numId w:val="80"/>
        </w:numPr>
        <w:rPr>
          <w:b/>
          <w:bCs/>
        </w:rPr>
      </w:pPr>
      <w:r w:rsidRPr="00905D9E">
        <w:rPr>
          <w:b/>
          <w:bCs/>
        </w:rPr>
        <w:t>The section might mention the procedures for the Hong Kong Public Offering vs. international tranche in broad terms, or refer to where those details are found.</w:t>
      </w:r>
    </w:p>
    <w:p w14:paraId="6A6C4690" w14:textId="77777777" w:rsidR="00905D9E" w:rsidRPr="00905D9E" w:rsidRDefault="00905D9E" w:rsidP="00905D9E">
      <w:pPr>
        <w:pStyle w:val="a0"/>
        <w:rPr>
          <w:b/>
          <w:bCs/>
        </w:rPr>
      </w:pPr>
      <w:r w:rsidRPr="00905D9E">
        <w:rPr>
          <w:b/>
          <w:bCs/>
        </w:rPr>
        <w:t>Currency and exchange rate disclosure</w:t>
      </w:r>
    </w:p>
    <w:p w14:paraId="56DBFC12" w14:textId="77777777" w:rsidR="00905D9E" w:rsidRPr="00905D9E" w:rsidRDefault="00905D9E" w:rsidP="00905D9E">
      <w:pPr>
        <w:pStyle w:val="a0"/>
        <w:numPr>
          <w:ilvl w:val="0"/>
          <w:numId w:val="81"/>
        </w:numPr>
        <w:rPr>
          <w:b/>
          <w:bCs/>
        </w:rPr>
      </w:pPr>
      <w:r w:rsidRPr="00905D9E">
        <w:rPr>
          <w:b/>
          <w:bCs/>
        </w:rPr>
        <w:t>Another key element is currency and exchange rate information: the prospectus usually states the exchange rate assumptions used for any conversions (e.g., amounts in USD have been converted to HKD at a specified rate for illustration).</w:t>
      </w:r>
    </w:p>
    <w:p w14:paraId="50621EBF" w14:textId="77777777" w:rsidR="00905D9E" w:rsidRPr="00905D9E" w:rsidRDefault="00905D9E" w:rsidP="00905D9E">
      <w:pPr>
        <w:pStyle w:val="a0"/>
        <w:numPr>
          <w:ilvl w:val="0"/>
          <w:numId w:val="81"/>
        </w:numPr>
        <w:rPr>
          <w:b/>
          <w:bCs/>
        </w:rPr>
      </w:pPr>
      <w:r w:rsidRPr="00905D9E">
        <w:rPr>
          <w:b/>
          <w:bCs/>
        </w:rPr>
        <w:t>The AI should include a note on exchange rate conversion if the document contains figures in multiple currencies, ensuring investors understand how foreign currency amounts are translated.</w:t>
      </w:r>
    </w:p>
    <w:p w14:paraId="5F4267EA" w14:textId="77777777" w:rsidR="00905D9E" w:rsidRPr="00905D9E" w:rsidRDefault="00905D9E" w:rsidP="00905D9E">
      <w:pPr>
        <w:pStyle w:val="a0"/>
        <w:rPr>
          <w:b/>
          <w:bCs/>
        </w:rPr>
      </w:pPr>
      <w:r w:rsidRPr="00905D9E">
        <w:rPr>
          <w:b/>
          <w:bCs/>
        </w:rPr>
        <w:t>Other possible notices</w:t>
      </w:r>
    </w:p>
    <w:p w14:paraId="119976BE" w14:textId="77777777" w:rsidR="00905D9E" w:rsidRPr="00905D9E" w:rsidRDefault="00905D9E" w:rsidP="00905D9E">
      <w:pPr>
        <w:pStyle w:val="a0"/>
        <w:numPr>
          <w:ilvl w:val="0"/>
          <w:numId w:val="82"/>
        </w:numPr>
        <w:rPr>
          <w:b/>
          <w:bCs/>
        </w:rPr>
      </w:pPr>
      <w:r w:rsidRPr="00905D9E">
        <w:rPr>
          <w:b/>
          <w:bCs/>
        </w:rPr>
        <w:t>Additionally, any references to legal registration of the prospectus (such as it having been registered with the Companies Registry) or the availability of the document (website info, etc.) might be mentioned.</w:t>
      </w:r>
    </w:p>
    <w:p w14:paraId="476D1EBB" w14:textId="77777777" w:rsidR="00905D9E" w:rsidRPr="00905D9E" w:rsidRDefault="00905D9E" w:rsidP="00905D9E">
      <w:pPr>
        <w:pStyle w:val="a0"/>
        <w:rPr>
          <w:b/>
          <w:bCs/>
        </w:rPr>
      </w:pPr>
      <w:r w:rsidRPr="00905D9E">
        <w:rPr>
          <w:b/>
          <w:bCs/>
        </w:rPr>
        <w:t>Granularity and legal responsibility</w:t>
      </w:r>
    </w:p>
    <w:p w14:paraId="4040BF41" w14:textId="77777777" w:rsidR="00905D9E" w:rsidRPr="00905D9E" w:rsidRDefault="00905D9E" w:rsidP="00905D9E">
      <w:pPr>
        <w:pStyle w:val="a0"/>
        <w:numPr>
          <w:ilvl w:val="0"/>
          <w:numId w:val="83"/>
        </w:numPr>
        <w:rPr>
          <w:b/>
          <w:bCs/>
        </w:rPr>
      </w:pPr>
      <w:r w:rsidRPr="00905D9E">
        <w:rPr>
          <w:b/>
          <w:bCs/>
        </w:rPr>
        <w:t>The granularity here is moderate: each point should be clear and not overly detailed, since this is largely a reference section.</w:t>
      </w:r>
    </w:p>
    <w:p w14:paraId="0EF5F9DB" w14:textId="77777777" w:rsidR="00905D9E" w:rsidRPr="00905D9E" w:rsidRDefault="00905D9E" w:rsidP="00905D9E">
      <w:pPr>
        <w:pStyle w:val="a0"/>
        <w:numPr>
          <w:ilvl w:val="0"/>
          <w:numId w:val="83"/>
        </w:numPr>
        <w:rPr>
          <w:b/>
          <w:bCs/>
        </w:rPr>
      </w:pPr>
      <w:r w:rsidRPr="00905D9E">
        <w:rPr>
          <w:b/>
          <w:bCs/>
        </w:rPr>
        <w:t>But it must not omit any standard notice or legal requirement – for instance, statements about the responsibility of directors for the contents of the prospectus (directors collectively accept responsibility for accuracy) often appear around here or in a similar introductory section.</w:t>
      </w:r>
    </w:p>
    <w:p w14:paraId="0D7F06DA" w14:textId="77777777" w:rsidR="00905D9E" w:rsidRPr="00905D9E" w:rsidRDefault="00905D9E" w:rsidP="00905D9E">
      <w:pPr>
        <w:pStyle w:val="a0"/>
        <w:rPr>
          <w:b/>
          <w:bCs/>
        </w:rPr>
      </w:pPr>
      <w:r w:rsidRPr="00905D9E">
        <w:rPr>
          <w:b/>
          <w:bCs/>
        </w:rPr>
        <w:t>Tone &amp; investor value</w:t>
      </w:r>
    </w:p>
    <w:p w14:paraId="5D3686D3" w14:textId="77777777" w:rsidR="00905D9E" w:rsidRPr="00905D9E" w:rsidRDefault="00905D9E" w:rsidP="00905D9E">
      <w:pPr>
        <w:pStyle w:val="a0"/>
        <w:numPr>
          <w:ilvl w:val="0"/>
          <w:numId w:val="84"/>
        </w:numPr>
        <w:rPr>
          <w:b/>
          <w:bCs/>
        </w:rPr>
      </w:pPr>
      <w:r w:rsidRPr="00905D9E">
        <w:rPr>
          <w:b/>
          <w:bCs/>
        </w:rPr>
        <w:t>The tone remains formal and explanatory.</w:t>
      </w:r>
    </w:p>
    <w:p w14:paraId="0FDF3E3F" w14:textId="77777777" w:rsidR="00905D9E" w:rsidRPr="00905D9E" w:rsidRDefault="00905D9E" w:rsidP="00905D9E">
      <w:pPr>
        <w:pStyle w:val="a0"/>
        <w:numPr>
          <w:ilvl w:val="0"/>
          <w:numId w:val="84"/>
        </w:numPr>
        <w:rPr>
          <w:b/>
          <w:bCs/>
        </w:rPr>
      </w:pPr>
      <w:r w:rsidRPr="00905D9E">
        <w:rPr>
          <w:b/>
          <w:bCs/>
        </w:rPr>
        <w:lastRenderedPageBreak/>
        <w:t>By covering how to use the prospectus, legal notices, and key offering arrangements, this section guides investors in understanding the context and validity of the information presented.</w:t>
      </w:r>
    </w:p>
    <w:p w14:paraId="5CDC1DC7" w14:textId="77777777" w:rsidR="0074610B" w:rsidRPr="0074610B" w:rsidRDefault="0074610B" w:rsidP="0074610B">
      <w:pPr>
        <w:pStyle w:val="a0"/>
      </w:pPr>
      <w:r w:rsidRPr="0074610B">
        <w:rPr>
          <w:b/>
          <w:bCs/>
        </w:rPr>
        <w:t>Sponsor Counsel Enhancements (add; do not delete original):</w:t>
      </w:r>
    </w:p>
    <w:p w14:paraId="036F4F49" w14:textId="77777777" w:rsidR="0074610B" w:rsidRPr="0074610B" w:rsidRDefault="0074610B" w:rsidP="0074610B">
      <w:pPr>
        <w:pStyle w:val="a0"/>
        <w:numPr>
          <w:ilvl w:val="0"/>
          <w:numId w:val="6"/>
        </w:numPr>
      </w:pPr>
      <w:r w:rsidRPr="0074610B">
        <w:t>Add a </w:t>
      </w:r>
      <w:r w:rsidRPr="0074610B">
        <w:rPr>
          <w:b/>
          <w:bCs/>
        </w:rPr>
        <w:t>reliance</w:t>
      </w:r>
      <w:r w:rsidRPr="0074610B">
        <w:rPr>
          <w:b/>
          <w:bCs/>
        </w:rPr>
        <w:noBreakHyphen/>
        <w:t>only</w:t>
      </w:r>
      <w:r w:rsidRPr="0074610B">
        <w:t> and </w:t>
      </w:r>
      <w:r w:rsidRPr="0074610B">
        <w:rPr>
          <w:b/>
          <w:bCs/>
        </w:rPr>
        <w:t>no</w:t>
      </w:r>
      <w:r w:rsidRPr="0074610B">
        <w:rPr>
          <w:b/>
          <w:bCs/>
        </w:rPr>
        <w:noBreakHyphen/>
      </w:r>
      <w:proofErr w:type="spellStart"/>
      <w:r w:rsidRPr="0074610B">
        <w:rPr>
          <w:b/>
          <w:bCs/>
        </w:rPr>
        <w:t>unauthorised</w:t>
      </w:r>
      <w:proofErr w:type="spellEnd"/>
      <w:r w:rsidRPr="0074610B">
        <w:rPr>
          <w:b/>
          <w:bCs/>
        </w:rPr>
        <w:noBreakHyphen/>
        <w:t>information</w:t>
      </w:r>
      <w:r w:rsidRPr="0074610B">
        <w:t xml:space="preserve"> paragraph that matches the live prospectus style: </w:t>
      </w:r>
      <w:proofErr w:type="spellStart"/>
      <w:r w:rsidRPr="0074610B">
        <w:t>MiniMax</w:t>
      </w:r>
      <w:proofErr w:type="spellEnd"/>
      <w:r w:rsidRPr="0074610B">
        <w:t xml:space="preserve"> states “You should rely only on the information contained…” and “We have not authorized anyone…” (PDF p.9/716).</w:t>
      </w:r>
    </w:p>
    <w:p w14:paraId="60415DE3" w14:textId="77777777" w:rsidR="0074610B" w:rsidRPr="0074610B" w:rsidRDefault="0074610B" w:rsidP="0074610B">
      <w:pPr>
        <w:pStyle w:val="a0"/>
        <w:numPr>
          <w:ilvl w:val="0"/>
          <w:numId w:val="6"/>
        </w:numPr>
      </w:pPr>
      <w:r w:rsidRPr="0074610B">
        <w:t>Add explicit territorial restriction language and confirm there has been no action to permit public offering outside the relevant jurisdiction (</w:t>
      </w:r>
      <w:proofErr w:type="spellStart"/>
      <w:r w:rsidRPr="0074610B">
        <w:t>MiniMax</w:t>
      </w:r>
      <w:proofErr w:type="spellEnd"/>
      <w:r w:rsidRPr="0074610B">
        <w:t xml:space="preserve"> p.9/716).</w:t>
      </w:r>
    </w:p>
    <w:p w14:paraId="46BBBA69" w14:textId="77777777" w:rsidR="0074610B" w:rsidRPr="0074610B" w:rsidRDefault="0074610B" w:rsidP="0074610B">
      <w:pPr>
        <w:pStyle w:val="a0"/>
        <w:numPr>
          <w:ilvl w:val="0"/>
          <w:numId w:val="6"/>
        </w:numPr>
      </w:pPr>
      <w:r w:rsidRPr="0074610B">
        <w:t>Add a </w:t>
      </w:r>
      <w:r w:rsidRPr="0074610B">
        <w:rPr>
          <w:b/>
          <w:bCs/>
        </w:rPr>
        <w:t>currency conversion note</w:t>
      </w:r>
      <w:r w:rsidRPr="0074610B">
        <w:t> and a </w:t>
      </w:r>
      <w:r w:rsidRPr="0074610B">
        <w:rPr>
          <w:b/>
          <w:bCs/>
        </w:rPr>
        <w:t>profit</w:t>
      </w:r>
      <w:r w:rsidRPr="0074610B">
        <w:rPr>
          <w:b/>
          <w:bCs/>
        </w:rPr>
        <w:noBreakHyphen/>
        <w:t>forecast guardrail</w:t>
      </w:r>
      <w:r w:rsidRPr="0074610B">
        <w:t> note: avoid any language that may “explicitly or implicitly quantify” future profits/losses. </w:t>
      </w:r>
    </w:p>
    <w:p w14:paraId="2AEB2C08" w14:textId="77777777" w:rsidR="0074610B" w:rsidRPr="0074610B" w:rsidRDefault="0074610B" w:rsidP="0074610B">
      <w:pPr>
        <w:pStyle w:val="a0"/>
        <w:numPr>
          <w:ilvl w:val="0"/>
          <w:numId w:val="6"/>
        </w:numPr>
      </w:pPr>
      <w:r w:rsidRPr="0074610B">
        <w:t>Apply [[AI:LOCKED]] to the Rule 11.20 disclaimer language block if it appears here or nearby. </w:t>
      </w:r>
    </w:p>
    <w:p w14:paraId="1B04F93D" w14:textId="77777777" w:rsidR="0074610B" w:rsidRPr="0074610B" w:rsidRDefault="0074610B" w:rsidP="0074610B">
      <w:pPr>
        <w:pStyle w:val="a0"/>
      </w:pPr>
      <w:r w:rsidRPr="0074610B">
        <w:rPr>
          <w:b/>
          <w:bCs/>
        </w:rPr>
        <w:t>Enhanced sample paragraph (prospectus</w:t>
      </w:r>
      <w:r w:rsidRPr="0074610B">
        <w:rPr>
          <w:b/>
          <w:bCs/>
        </w:rPr>
        <w:noBreakHyphen/>
        <w:t>ready; edits preserve original intent):</w:t>
      </w:r>
      <w:r w:rsidRPr="0074610B">
        <w:br/>
        <w:t>“This Prospectus is issued by us solely in connection with the Hong Kong Public Offering and does not constitute an offer to sell or a solicitation of an offer to buy any securities other than the Hong Kong Offer Shares offered under this Prospectus. No action has been taken to permit a public offering of the Offer Shares or the distribution of this Prospectus in any jurisdiction other than Hong Kong, and the distribution of this Prospectus and the offering and sale of the Offer Shares in other jurisdictions are subject to restrictions. You should rely only on the information contained in this Prospectus to make your investment decision. We have not authorized anyone to provide you with information that is different from what is contained in this Prospectus. [[</w:t>
      </w:r>
      <w:proofErr w:type="spellStart"/>
      <w:r w:rsidRPr="0074610B">
        <w:t>AI:XREF|to</w:t>
      </w:r>
      <w:proofErr w:type="spellEnd"/>
      <w:r w:rsidRPr="0074610B">
        <w:t>=Risk Factors]] [[</w:t>
      </w:r>
      <w:proofErr w:type="spellStart"/>
      <w:r w:rsidRPr="0074610B">
        <w:t>AI:XREF|to</w:t>
      </w:r>
      <w:proofErr w:type="spellEnd"/>
      <w:r w:rsidRPr="0074610B">
        <w:t>=Structure of the Global Offering]] [[</w:t>
      </w:r>
      <w:proofErr w:type="spellStart"/>
      <w:r w:rsidRPr="0074610B">
        <w:t>AI:XREF|to</w:t>
      </w:r>
      <w:proofErr w:type="spellEnd"/>
      <w:r w:rsidRPr="0074610B">
        <w:t>=How to Apply for Hong Kong Offer Shares]]”</w:t>
      </w:r>
    </w:p>
    <w:p w14:paraId="28DA53D5" w14:textId="77777777" w:rsidR="0074610B" w:rsidRPr="0074610B" w:rsidRDefault="0074610B" w:rsidP="0074610B">
      <w:pPr>
        <w:pStyle w:val="a0"/>
        <w:rPr>
          <w:b/>
          <w:bCs/>
          <w:i/>
          <w:iCs/>
          <w:sz w:val="28"/>
          <w:szCs w:val="28"/>
        </w:rPr>
      </w:pPr>
      <w:r w:rsidRPr="0074610B">
        <w:rPr>
          <w:b/>
          <w:bCs/>
          <w:i/>
          <w:iCs/>
          <w:sz w:val="28"/>
          <w:szCs w:val="28"/>
        </w:rPr>
        <w:t>Directors and Parties Involved in the Global Offering</w:t>
      </w:r>
    </w:p>
    <w:p w14:paraId="571D4D10" w14:textId="77777777" w:rsidR="00905D9E" w:rsidRPr="00905D9E" w:rsidRDefault="00905D9E" w:rsidP="00905D9E">
      <w:pPr>
        <w:pStyle w:val="a0"/>
      </w:pPr>
      <w:r w:rsidRPr="00905D9E">
        <w:rPr>
          <w:b/>
          <w:bCs/>
        </w:rPr>
        <w:t>Purpose &amp; format</w:t>
      </w:r>
    </w:p>
    <w:p w14:paraId="1A224072" w14:textId="77777777" w:rsidR="00905D9E" w:rsidRPr="00905D9E" w:rsidRDefault="00905D9E" w:rsidP="00905D9E">
      <w:pPr>
        <w:pStyle w:val="a0"/>
        <w:numPr>
          <w:ilvl w:val="0"/>
          <w:numId w:val="85"/>
        </w:numPr>
      </w:pPr>
      <w:r w:rsidRPr="00905D9E">
        <w:t>This section lists the key individuals and firms involved in the IPO.</w:t>
      </w:r>
    </w:p>
    <w:p w14:paraId="2F0F22E4" w14:textId="77777777" w:rsidR="00905D9E" w:rsidRPr="00905D9E" w:rsidRDefault="00905D9E" w:rsidP="00905D9E">
      <w:pPr>
        <w:pStyle w:val="a0"/>
        <w:numPr>
          <w:ilvl w:val="0"/>
          <w:numId w:val="85"/>
        </w:numPr>
      </w:pPr>
      <w:r w:rsidRPr="00905D9E">
        <w:t>The AI should format this as a directory of names and roles.</w:t>
      </w:r>
    </w:p>
    <w:p w14:paraId="72BA579F" w14:textId="77777777" w:rsidR="00905D9E" w:rsidRPr="00905D9E" w:rsidRDefault="00905D9E" w:rsidP="00905D9E">
      <w:pPr>
        <w:pStyle w:val="a0"/>
      </w:pPr>
      <w:r w:rsidRPr="00905D9E">
        <w:rPr>
          <w:b/>
          <w:bCs/>
        </w:rPr>
        <w:t>Overall framework</w:t>
      </w:r>
    </w:p>
    <w:p w14:paraId="71C063F2" w14:textId="77777777" w:rsidR="00905D9E" w:rsidRPr="00905D9E" w:rsidRDefault="00905D9E" w:rsidP="00905D9E">
      <w:pPr>
        <w:pStyle w:val="a0"/>
        <w:numPr>
          <w:ilvl w:val="0"/>
          <w:numId w:val="86"/>
        </w:numPr>
      </w:pPr>
      <w:r w:rsidRPr="00905D9E">
        <w:t>The content framework is typically divided into two parts: the Company’s directors and senior management, and the professional advisors/parties.</w:t>
      </w:r>
    </w:p>
    <w:p w14:paraId="7CC73E69" w14:textId="77777777" w:rsidR="00905D9E" w:rsidRPr="00905D9E" w:rsidRDefault="00905D9E" w:rsidP="00905D9E">
      <w:pPr>
        <w:pStyle w:val="a0"/>
      </w:pPr>
      <w:r w:rsidRPr="00905D9E">
        <w:rPr>
          <w:b/>
          <w:bCs/>
        </w:rPr>
        <w:t>Directors and their details</w:t>
      </w:r>
    </w:p>
    <w:p w14:paraId="02B239F5" w14:textId="77777777" w:rsidR="00905D9E" w:rsidRPr="00905D9E" w:rsidRDefault="00905D9E" w:rsidP="00905D9E">
      <w:pPr>
        <w:pStyle w:val="a0"/>
        <w:numPr>
          <w:ilvl w:val="0"/>
          <w:numId w:val="87"/>
        </w:numPr>
      </w:pPr>
      <w:r w:rsidRPr="00905D9E">
        <w:lastRenderedPageBreak/>
        <w:t>First, it names the directors of the company (often with their titles).</w:t>
      </w:r>
    </w:p>
    <w:p w14:paraId="0A663091" w14:textId="77777777" w:rsidR="00905D9E" w:rsidRPr="00905D9E" w:rsidRDefault="00905D9E" w:rsidP="00905D9E">
      <w:pPr>
        <w:pStyle w:val="a0"/>
        <w:numPr>
          <w:ilvl w:val="0"/>
          <w:numId w:val="87"/>
        </w:numPr>
      </w:pPr>
      <w:r w:rsidRPr="00905D9E">
        <w:t>In Hong Kong prospectuses, this may include a table with columns for Name, Address, and Nationality of each director.</w:t>
      </w:r>
    </w:p>
    <w:p w14:paraId="0D61E5E0" w14:textId="77777777" w:rsidR="00905D9E" w:rsidRPr="00905D9E" w:rsidRDefault="00905D9E" w:rsidP="00905D9E">
      <w:pPr>
        <w:pStyle w:val="a0"/>
      </w:pPr>
      <w:r w:rsidRPr="00905D9E">
        <w:rPr>
          <w:b/>
          <w:bCs/>
        </w:rPr>
        <w:t>Transaction parties</w:t>
      </w:r>
    </w:p>
    <w:p w14:paraId="7FBC7982" w14:textId="77777777" w:rsidR="00905D9E" w:rsidRPr="00905D9E" w:rsidRDefault="00905D9E" w:rsidP="00905D9E">
      <w:pPr>
        <w:pStyle w:val="a0"/>
        <w:numPr>
          <w:ilvl w:val="0"/>
          <w:numId w:val="88"/>
        </w:numPr>
      </w:pPr>
      <w:r w:rsidRPr="00905D9E">
        <w:t>Right after directors, it may list the Joint Sponsors, Global Coordinators, Bookrunners, and Lead Managers, naming each investment bank involved in those underwriting roles.</w:t>
      </w:r>
    </w:p>
    <w:p w14:paraId="7C8E7B8D" w14:textId="77777777" w:rsidR="00905D9E" w:rsidRPr="00905D9E" w:rsidRDefault="00905D9E" w:rsidP="00905D9E">
      <w:pPr>
        <w:pStyle w:val="a0"/>
        <w:numPr>
          <w:ilvl w:val="0"/>
          <w:numId w:val="88"/>
        </w:numPr>
      </w:pPr>
      <w:r w:rsidRPr="00905D9E">
        <w:t>Then it includes other professional parties: the legal advisors (Hong Kong counsel, international counsel, PRC counsel – naming the law firms), the auditors/reporting accountants, valuers (if any), and other experts.</w:t>
      </w:r>
    </w:p>
    <w:p w14:paraId="0126DA78" w14:textId="77777777" w:rsidR="00905D9E" w:rsidRPr="00905D9E" w:rsidRDefault="00905D9E" w:rsidP="00905D9E">
      <w:pPr>
        <w:pStyle w:val="a0"/>
      </w:pPr>
      <w:r w:rsidRPr="00905D9E">
        <w:rPr>
          <w:b/>
          <w:bCs/>
        </w:rPr>
        <w:t>Per-entry requirements</w:t>
      </w:r>
    </w:p>
    <w:p w14:paraId="4A97E604" w14:textId="77777777" w:rsidR="00905D9E" w:rsidRPr="00905D9E" w:rsidRDefault="00905D9E" w:rsidP="00905D9E">
      <w:pPr>
        <w:pStyle w:val="a0"/>
        <w:numPr>
          <w:ilvl w:val="0"/>
          <w:numId w:val="89"/>
        </w:numPr>
      </w:pPr>
      <w:r w:rsidRPr="00905D9E">
        <w:t>Each entry should include the name of the firm or person and their role or capacity.</w:t>
      </w:r>
    </w:p>
    <w:p w14:paraId="405FF8AD" w14:textId="77777777" w:rsidR="00905D9E" w:rsidRPr="00905D9E" w:rsidRDefault="00905D9E" w:rsidP="00905D9E">
      <w:pPr>
        <w:pStyle w:val="a0"/>
        <w:numPr>
          <w:ilvl w:val="0"/>
          <w:numId w:val="89"/>
        </w:numPr>
      </w:pPr>
      <w:r w:rsidRPr="00905D9E">
        <w:t>For example, “Auditor and Reporting Accountant: XYZ &amp; Co., Certified Public Accountants”.</w:t>
      </w:r>
    </w:p>
    <w:p w14:paraId="3CD3E641" w14:textId="77777777" w:rsidR="00905D9E" w:rsidRPr="00905D9E" w:rsidRDefault="00905D9E" w:rsidP="00905D9E">
      <w:pPr>
        <w:pStyle w:val="a0"/>
      </w:pPr>
      <w:r w:rsidRPr="00905D9E">
        <w:rPr>
          <w:b/>
          <w:bCs/>
        </w:rPr>
        <w:t>Addresses and completeness</w:t>
      </w:r>
    </w:p>
    <w:p w14:paraId="28352A8D" w14:textId="77777777" w:rsidR="00905D9E" w:rsidRPr="00905D9E" w:rsidRDefault="00905D9E" w:rsidP="00905D9E">
      <w:pPr>
        <w:pStyle w:val="a0"/>
        <w:numPr>
          <w:ilvl w:val="0"/>
          <w:numId w:val="90"/>
        </w:numPr>
      </w:pPr>
      <w:r w:rsidRPr="00905D9E">
        <w:t>It also provides addresses for some parties, such as the company’s registered address (which might also appear in the Corporate Information section) and often the addresses of the sponsors or auditors.</w:t>
      </w:r>
    </w:p>
    <w:p w14:paraId="1AAE1C05" w14:textId="77777777" w:rsidR="00905D9E" w:rsidRPr="00905D9E" w:rsidRDefault="00905D9E" w:rsidP="00905D9E">
      <w:pPr>
        <w:pStyle w:val="a0"/>
        <w:numPr>
          <w:ilvl w:val="0"/>
          <w:numId w:val="90"/>
        </w:numPr>
      </w:pPr>
      <w:r w:rsidRPr="00905D9E">
        <w:t>The granularity is literal here: every significant party to the offering must be named exactly as in official records.</w:t>
      </w:r>
    </w:p>
    <w:p w14:paraId="2475B985" w14:textId="77777777" w:rsidR="00905D9E" w:rsidRPr="00905D9E" w:rsidRDefault="00905D9E" w:rsidP="00905D9E">
      <w:pPr>
        <w:pStyle w:val="a0"/>
        <w:numPr>
          <w:ilvl w:val="0"/>
          <w:numId w:val="90"/>
        </w:numPr>
      </w:pPr>
      <w:r w:rsidRPr="00905D9E">
        <w:t>The AI’s output should ensure no party is omitted (including any compliance adviser, receiving bankers, share registrars, etc., if they are listed in this section of the template prospectus).</w:t>
      </w:r>
    </w:p>
    <w:p w14:paraId="535AE4A7" w14:textId="77777777" w:rsidR="00905D9E" w:rsidRPr="00905D9E" w:rsidRDefault="00905D9E" w:rsidP="00905D9E">
      <w:pPr>
        <w:pStyle w:val="a0"/>
      </w:pPr>
      <w:r w:rsidRPr="00905D9E">
        <w:rPr>
          <w:b/>
          <w:bCs/>
        </w:rPr>
        <w:t>Style &amp; accuracy</w:t>
      </w:r>
    </w:p>
    <w:p w14:paraId="6102C37E" w14:textId="77777777" w:rsidR="00905D9E" w:rsidRPr="00905D9E" w:rsidRDefault="00905D9E" w:rsidP="00905D9E">
      <w:pPr>
        <w:pStyle w:val="a0"/>
        <w:numPr>
          <w:ilvl w:val="0"/>
          <w:numId w:val="91"/>
        </w:numPr>
      </w:pPr>
      <w:r w:rsidRPr="00905D9E">
        <w:t>The style is a straightforward listing, possibly using indentation or table format to clearly distinguish categories (e.g., Directors vs. Other Parties).</w:t>
      </w:r>
    </w:p>
    <w:p w14:paraId="42129709" w14:textId="77777777" w:rsidR="00905D9E" w:rsidRPr="00905D9E" w:rsidRDefault="00905D9E" w:rsidP="00905D9E">
      <w:pPr>
        <w:pStyle w:val="a0"/>
        <w:numPr>
          <w:ilvl w:val="0"/>
          <w:numId w:val="91"/>
        </w:numPr>
      </w:pPr>
      <w:r w:rsidRPr="00905D9E">
        <w:t>Accuracy in spelling of names and inclusion of any professional qualifications (like “FCPA” for accountants, or law firm designations) is important.</w:t>
      </w:r>
    </w:p>
    <w:p w14:paraId="5E38FB13" w14:textId="77777777" w:rsidR="00905D9E" w:rsidRPr="00905D9E" w:rsidRDefault="00905D9E" w:rsidP="00905D9E">
      <w:pPr>
        <w:pStyle w:val="a0"/>
      </w:pPr>
      <w:r w:rsidRPr="00905D9E">
        <w:rPr>
          <w:b/>
          <w:bCs/>
        </w:rPr>
        <w:t>No narrative</w:t>
      </w:r>
    </w:p>
    <w:p w14:paraId="4B04FAB1" w14:textId="77777777" w:rsidR="00905D9E" w:rsidRPr="00905D9E" w:rsidRDefault="00905D9E" w:rsidP="00905D9E">
      <w:pPr>
        <w:pStyle w:val="a0"/>
        <w:numPr>
          <w:ilvl w:val="0"/>
          <w:numId w:val="92"/>
        </w:numPr>
      </w:pPr>
      <w:r w:rsidRPr="00905D9E">
        <w:t>This section does not narrate, but rather serves as a who’s who directory for the transaction.</w:t>
      </w:r>
    </w:p>
    <w:p w14:paraId="19123CA2" w14:textId="77777777" w:rsidR="00905D9E" w:rsidRPr="00905D9E" w:rsidRDefault="00905D9E" w:rsidP="00905D9E">
      <w:pPr>
        <w:pStyle w:val="a0"/>
        <w:numPr>
          <w:ilvl w:val="0"/>
          <w:numId w:val="92"/>
        </w:numPr>
      </w:pPr>
      <w:r w:rsidRPr="00905D9E">
        <w:lastRenderedPageBreak/>
        <w:t>It assures readers that all key players in the IPO process are disclosed, as required.</w:t>
      </w:r>
    </w:p>
    <w:p w14:paraId="39472640" w14:textId="77777777" w:rsidR="0074610B" w:rsidRPr="0074610B" w:rsidRDefault="0074610B" w:rsidP="0074610B">
      <w:pPr>
        <w:pStyle w:val="a0"/>
      </w:pPr>
      <w:r w:rsidRPr="0074610B">
        <w:rPr>
          <w:b/>
          <w:bCs/>
        </w:rPr>
        <w:t>Sponsor Counsel Enhancements:</w:t>
      </w:r>
    </w:p>
    <w:p w14:paraId="79933831" w14:textId="77777777" w:rsidR="0074610B" w:rsidRPr="0074610B" w:rsidRDefault="0074610B" w:rsidP="0074610B">
      <w:pPr>
        <w:pStyle w:val="a0"/>
        <w:numPr>
          <w:ilvl w:val="0"/>
          <w:numId w:val="8"/>
        </w:numPr>
      </w:pPr>
      <w:r w:rsidRPr="0074610B">
        <w:t>Add [[</w:t>
      </w:r>
      <w:proofErr w:type="spellStart"/>
      <w:r w:rsidRPr="0074610B">
        <w:t>AI:VERIFY|evidence</w:t>
      </w:r>
      <w:proofErr w:type="spellEnd"/>
      <w:r w:rsidRPr="0074610B">
        <w:t xml:space="preserve">=engagement letters / appointment letters / registered names]] for each party. Sponsor work is judged on recordability and professional </w:t>
      </w:r>
      <w:proofErr w:type="spellStart"/>
      <w:r w:rsidRPr="0074610B">
        <w:t>scepticism</w:t>
      </w:r>
      <w:proofErr w:type="spellEnd"/>
      <w:r w:rsidRPr="0074610B">
        <w:t>. </w:t>
      </w:r>
    </w:p>
    <w:p w14:paraId="1FDFB2ED" w14:textId="77777777" w:rsidR="0074610B" w:rsidRPr="0074610B" w:rsidRDefault="0074610B" w:rsidP="0074610B">
      <w:pPr>
        <w:pStyle w:val="a0"/>
        <w:numPr>
          <w:ilvl w:val="0"/>
          <w:numId w:val="8"/>
        </w:numPr>
      </w:pPr>
      <w:r w:rsidRPr="0074610B">
        <w:t>Add a consistency rule: the same party names must match exactly across this section, “Underwriting,” and any “Experts”/appendices. [[</w:t>
      </w:r>
      <w:proofErr w:type="spellStart"/>
      <w:r w:rsidRPr="0074610B">
        <w:t>AI:XREF|to</w:t>
      </w:r>
      <w:proofErr w:type="spellEnd"/>
      <w:r w:rsidRPr="0074610B">
        <w:t>=Underwriting]]. </w:t>
      </w:r>
    </w:p>
    <w:p w14:paraId="63E00324" w14:textId="77777777" w:rsidR="0074610B" w:rsidRPr="0074610B" w:rsidRDefault="0074610B" w:rsidP="0074610B">
      <w:pPr>
        <w:pStyle w:val="a0"/>
      </w:pPr>
      <w:r w:rsidRPr="0074610B">
        <w:rPr>
          <w:b/>
          <w:bCs/>
        </w:rPr>
        <w:t>Enhanced sample paragraph (directory lead</w:t>
      </w:r>
      <w:r w:rsidRPr="0074610B">
        <w:rPr>
          <w:b/>
          <w:bCs/>
        </w:rPr>
        <w:noBreakHyphen/>
        <w:t>in):</w:t>
      </w:r>
      <w:r w:rsidRPr="0074610B">
        <w:br/>
        <w:t>“This section sets out the key parties involved in the Global Offering, including our Directors and the professional parties engaged in connection with the offering, such as the Joint Sponsors, Overall Coordinators, Joint Global Coordinators, Joint Bookrunners and Joint Lead Managers, the Underwriters, legal advisers, reporting accountants/auditors, industry consultants (if any), share registrar(s), receiving bank(s), and other relevant intermediaries. The names and roles are stated as they appear in official engagement documentation. [[</w:t>
      </w:r>
      <w:proofErr w:type="spellStart"/>
      <w:r w:rsidRPr="0074610B">
        <w:t>AI:VERIFY|evidence</w:t>
      </w:r>
      <w:proofErr w:type="spellEnd"/>
      <w:r w:rsidRPr="0074610B">
        <w:t>=signed engagement letters and corporate filings for each party]] [[</w:t>
      </w:r>
      <w:proofErr w:type="spellStart"/>
      <w:r w:rsidRPr="0074610B">
        <w:t>AI:XREF|to</w:t>
      </w:r>
      <w:proofErr w:type="spellEnd"/>
      <w:r w:rsidRPr="0074610B">
        <w:t>=Underwriting]]”</w:t>
      </w:r>
    </w:p>
    <w:p w14:paraId="23E55C23" w14:textId="77777777" w:rsidR="0074610B" w:rsidRPr="0074610B" w:rsidRDefault="0074610B" w:rsidP="0074610B">
      <w:pPr>
        <w:pStyle w:val="a0"/>
        <w:rPr>
          <w:b/>
          <w:bCs/>
        </w:rPr>
      </w:pPr>
      <w:r w:rsidRPr="0074610B">
        <w:rPr>
          <w:b/>
          <w:bCs/>
        </w:rPr>
        <w:t>Corporate Information</w:t>
      </w:r>
    </w:p>
    <w:p w14:paraId="310C7F4F" w14:textId="77777777" w:rsidR="0074610B" w:rsidRPr="0074610B" w:rsidRDefault="0074610B" w:rsidP="0074610B">
      <w:pPr>
        <w:pStyle w:val="a0"/>
      </w:pPr>
      <w:r w:rsidRPr="0074610B">
        <w:rPr>
          <w:b/>
          <w:bCs/>
        </w:rPr>
        <w:t>Preserved user draft core (Word draft ¶193–211):</w:t>
      </w:r>
    </w:p>
    <w:p w14:paraId="477CD64F" w14:textId="77777777" w:rsidR="0074610B" w:rsidRPr="0074610B" w:rsidRDefault="0074610B" w:rsidP="0074610B">
      <w:pPr>
        <w:pStyle w:val="a0"/>
        <w:numPr>
          <w:ilvl w:val="0"/>
          <w:numId w:val="9"/>
        </w:numPr>
      </w:pPr>
      <w:r w:rsidRPr="0074610B">
        <w:t>Registered office, principal place of business, website, company secretary, authorized reps, compliance adviser (if applicable), share registrar, stock code, and other corporate particulars, formatted as a reference block.</w:t>
      </w:r>
    </w:p>
    <w:p w14:paraId="1B368206" w14:textId="77777777" w:rsidR="0074610B" w:rsidRPr="0074610B" w:rsidRDefault="0074610B" w:rsidP="0074610B">
      <w:pPr>
        <w:pStyle w:val="a0"/>
      </w:pPr>
      <w:r w:rsidRPr="0074610B">
        <w:rPr>
          <w:b/>
          <w:bCs/>
        </w:rPr>
        <w:t>Sponsor Counsel Enhancements:</w:t>
      </w:r>
    </w:p>
    <w:p w14:paraId="1526D42F" w14:textId="77777777" w:rsidR="0074610B" w:rsidRPr="0074610B" w:rsidRDefault="0074610B" w:rsidP="0074610B">
      <w:pPr>
        <w:pStyle w:val="a0"/>
        <w:numPr>
          <w:ilvl w:val="0"/>
          <w:numId w:val="10"/>
        </w:numPr>
      </w:pPr>
      <w:r w:rsidRPr="0074610B">
        <w:t>If the issuer is incorporated in Cayman Islands, ensure the incorporation language is consistent with the cover and with Appendix disclosures (</w:t>
      </w:r>
      <w:proofErr w:type="spellStart"/>
      <w:r w:rsidRPr="0074610B">
        <w:t>MiniMax</w:t>
      </w:r>
      <w:proofErr w:type="spellEnd"/>
      <w:r w:rsidRPr="0074610B">
        <w:t xml:space="preserve"> cover states Cayman Islands incorporation).</w:t>
      </w:r>
    </w:p>
    <w:p w14:paraId="0DA6C4CD" w14:textId="77777777" w:rsidR="0074610B" w:rsidRPr="0074610B" w:rsidRDefault="0074610B" w:rsidP="0074610B">
      <w:pPr>
        <w:pStyle w:val="a0"/>
        <w:numPr>
          <w:ilvl w:val="0"/>
          <w:numId w:val="10"/>
        </w:numPr>
      </w:pPr>
      <w:r w:rsidRPr="0074610B">
        <w:t>Add [[</w:t>
      </w:r>
      <w:proofErr w:type="spellStart"/>
      <w:r w:rsidRPr="0074610B">
        <w:t>AI:VERIFY|evidence</w:t>
      </w:r>
      <w:proofErr w:type="spellEnd"/>
      <w:r w:rsidRPr="0074610B">
        <w:t>=certificate of incorporation; registered office service agreement; company secretary appointment]]. </w:t>
      </w:r>
    </w:p>
    <w:p w14:paraId="51D8A904" w14:textId="77777777" w:rsidR="0074610B" w:rsidRPr="0074610B" w:rsidRDefault="0074610B" w:rsidP="0074610B">
      <w:pPr>
        <w:pStyle w:val="a0"/>
      </w:pPr>
      <w:r w:rsidRPr="0074610B">
        <w:rPr>
          <w:b/>
          <w:bCs/>
        </w:rPr>
        <w:t>Enhanced sample paragraph (reference block lead</w:t>
      </w:r>
      <w:r w:rsidRPr="0074610B">
        <w:rPr>
          <w:b/>
          <w:bCs/>
        </w:rPr>
        <w:noBreakHyphen/>
        <w:t>in):</w:t>
      </w:r>
      <w:r w:rsidRPr="0074610B">
        <w:br/>
        <w:t xml:space="preserve">“This section provides our key corporate and contact particulars for investor and regulatory reference, including our registered office and jurisdiction of incorporation, our principal place of business and contact address(es), our corporate website (for reference only and not forming part of this Prospectus), the names of our company secretary and </w:t>
      </w:r>
      <w:proofErr w:type="spellStart"/>
      <w:r w:rsidRPr="0074610B">
        <w:t>authorised</w:t>
      </w:r>
      <w:proofErr w:type="spellEnd"/>
      <w:r w:rsidRPr="0074610B">
        <w:t xml:space="preserve"> representative(s), and details of </w:t>
      </w:r>
      <w:r w:rsidRPr="0074610B">
        <w:lastRenderedPageBreak/>
        <w:t>our share registrar(s) and other offering administration parties where applicable. [[</w:t>
      </w:r>
      <w:proofErr w:type="spellStart"/>
      <w:r w:rsidRPr="0074610B">
        <w:t>AI:VERIFY|evidence</w:t>
      </w:r>
      <w:proofErr w:type="spellEnd"/>
      <w:r w:rsidRPr="0074610B">
        <w:t>=corporate filings and appointment documents]]”</w:t>
      </w:r>
    </w:p>
    <w:p w14:paraId="7FD8CF4C" w14:textId="77777777" w:rsidR="0074610B" w:rsidRPr="0074610B" w:rsidRDefault="0074610B" w:rsidP="0074610B">
      <w:pPr>
        <w:pStyle w:val="a0"/>
        <w:rPr>
          <w:b/>
          <w:bCs/>
          <w:i/>
          <w:iCs/>
          <w:sz w:val="28"/>
          <w:szCs w:val="28"/>
        </w:rPr>
      </w:pPr>
      <w:r w:rsidRPr="0074610B">
        <w:rPr>
          <w:b/>
          <w:bCs/>
          <w:i/>
          <w:iCs/>
          <w:sz w:val="28"/>
          <w:szCs w:val="28"/>
        </w:rPr>
        <w:t>Regulation (Regulatory Overview)</w:t>
      </w:r>
    </w:p>
    <w:p w14:paraId="052DE548" w14:textId="77777777" w:rsidR="00905D9E" w:rsidRPr="00905D9E" w:rsidRDefault="00905D9E" w:rsidP="00905D9E">
      <w:pPr>
        <w:pStyle w:val="a0"/>
      </w:pPr>
      <w:r w:rsidRPr="00905D9E">
        <w:rPr>
          <w:b/>
          <w:bCs/>
        </w:rPr>
        <w:t>Purpose</w:t>
      </w:r>
    </w:p>
    <w:p w14:paraId="4CC1ACAF" w14:textId="77777777" w:rsidR="00905D9E" w:rsidRPr="00905D9E" w:rsidRDefault="00905D9E" w:rsidP="00905D9E">
      <w:pPr>
        <w:pStyle w:val="a0"/>
        <w:numPr>
          <w:ilvl w:val="0"/>
          <w:numId w:val="93"/>
        </w:numPr>
      </w:pPr>
      <w:r w:rsidRPr="00905D9E">
        <w:t>The Regulation section (sometimes titled “Regulatory Overview”) summarizes the key laws and regulations that govern the company’s business and industry.</w:t>
      </w:r>
    </w:p>
    <w:p w14:paraId="3D0A91E3" w14:textId="77777777" w:rsidR="00905D9E" w:rsidRPr="00905D9E" w:rsidRDefault="00905D9E" w:rsidP="00905D9E">
      <w:pPr>
        <w:pStyle w:val="a0"/>
      </w:pPr>
      <w:r w:rsidRPr="00905D9E">
        <w:rPr>
          <w:b/>
          <w:bCs/>
        </w:rPr>
        <w:t>Structure</w:t>
      </w:r>
    </w:p>
    <w:p w14:paraId="598B82E9" w14:textId="77777777" w:rsidR="00905D9E" w:rsidRPr="00905D9E" w:rsidRDefault="00905D9E" w:rsidP="00905D9E">
      <w:pPr>
        <w:pStyle w:val="a0"/>
        <w:numPr>
          <w:ilvl w:val="0"/>
          <w:numId w:val="94"/>
        </w:numPr>
      </w:pPr>
      <w:r w:rsidRPr="00905D9E">
        <w:t>The AI agent should structure this in a logical, thematic order, breaking it down by categories of regulations.</w:t>
      </w:r>
    </w:p>
    <w:p w14:paraId="582A0F7E" w14:textId="77777777" w:rsidR="00905D9E" w:rsidRPr="00905D9E" w:rsidRDefault="00905D9E" w:rsidP="00905D9E">
      <w:pPr>
        <w:pStyle w:val="a0"/>
      </w:pPr>
      <w:r w:rsidRPr="00905D9E">
        <w:rPr>
          <w:b/>
          <w:bCs/>
        </w:rPr>
        <w:t>Examples of categories</w:t>
      </w:r>
    </w:p>
    <w:p w14:paraId="60A12F5C" w14:textId="77777777" w:rsidR="00905D9E" w:rsidRPr="00905D9E" w:rsidRDefault="00905D9E" w:rsidP="00905D9E">
      <w:pPr>
        <w:pStyle w:val="a0"/>
        <w:numPr>
          <w:ilvl w:val="0"/>
          <w:numId w:val="95"/>
        </w:numPr>
      </w:pPr>
      <w:r w:rsidRPr="00905D9E">
        <w:t>For instance, if the company is in retail and online services (like Pop Mart), the categories might include Licensing for Online Services, Consumer Protection Laws, Intellectual Property Laws, Environmental and Safety Regulations, Foreign Investment Restrictions, etc.</w:t>
      </w:r>
    </w:p>
    <w:p w14:paraId="22A2CD6A" w14:textId="77777777" w:rsidR="00905D9E" w:rsidRPr="00905D9E" w:rsidRDefault="00905D9E" w:rsidP="00905D9E">
      <w:pPr>
        <w:pStyle w:val="a0"/>
      </w:pPr>
      <w:r w:rsidRPr="00905D9E">
        <w:rPr>
          <w:b/>
          <w:bCs/>
        </w:rPr>
        <w:t>What must be covered</w:t>
      </w:r>
    </w:p>
    <w:p w14:paraId="5AAF320C" w14:textId="77777777" w:rsidR="00905D9E" w:rsidRPr="00905D9E" w:rsidRDefault="00905D9E" w:rsidP="00905D9E">
      <w:pPr>
        <w:pStyle w:val="a0"/>
        <w:numPr>
          <w:ilvl w:val="0"/>
          <w:numId w:val="96"/>
        </w:numPr>
      </w:pPr>
      <w:r w:rsidRPr="00905D9E">
        <w:t>Each category should have a brief description of the relevant rules.</w:t>
      </w:r>
    </w:p>
    <w:p w14:paraId="0E1FEEB3" w14:textId="77777777" w:rsidR="00905D9E" w:rsidRPr="00905D9E" w:rsidRDefault="00905D9E" w:rsidP="00905D9E">
      <w:pPr>
        <w:pStyle w:val="a0"/>
        <w:numPr>
          <w:ilvl w:val="0"/>
          <w:numId w:val="96"/>
        </w:numPr>
      </w:pPr>
      <w:r w:rsidRPr="00905D9E">
        <w:t>The content needs to cover what permits or approvals are required for the business, what ongoing compliance standards exist, and recent regulatory developments if any.</w:t>
      </w:r>
    </w:p>
    <w:p w14:paraId="7A14F18F" w14:textId="77777777" w:rsidR="00905D9E" w:rsidRPr="00905D9E" w:rsidRDefault="00905D9E" w:rsidP="00905D9E">
      <w:pPr>
        <w:pStyle w:val="a0"/>
      </w:pPr>
      <w:r w:rsidRPr="00905D9E">
        <w:rPr>
          <w:b/>
          <w:bCs/>
        </w:rPr>
        <w:t>Illustrative regulatory logic</w:t>
      </w:r>
    </w:p>
    <w:p w14:paraId="1084056B" w14:textId="77777777" w:rsidR="00905D9E" w:rsidRPr="00905D9E" w:rsidRDefault="00905D9E" w:rsidP="00905D9E">
      <w:pPr>
        <w:pStyle w:val="a0"/>
        <w:numPr>
          <w:ilvl w:val="0"/>
          <w:numId w:val="97"/>
        </w:numPr>
      </w:pPr>
      <w:r w:rsidRPr="00905D9E">
        <w:t>For example, if a company operates an internet platform in China, the overview would mention the laws on Internet content provision and online culture services, noting that PRC law prohibits foreign ownership of such services, which is why the company uses a VIE (contractual arrangements).</w:t>
      </w:r>
    </w:p>
    <w:p w14:paraId="33D0A720" w14:textId="77777777" w:rsidR="00905D9E" w:rsidRPr="00905D9E" w:rsidRDefault="00905D9E" w:rsidP="00905D9E">
      <w:pPr>
        <w:pStyle w:val="a0"/>
        <w:numPr>
          <w:ilvl w:val="0"/>
          <w:numId w:val="97"/>
        </w:numPr>
      </w:pPr>
      <w:r w:rsidRPr="00905D9E">
        <w:t>It might outline the legal basis of those restrictions (e.g., reference the PRC Foreign Investment Negative List) and how the company complies (through local subsidiaries or contracts).</w:t>
      </w:r>
    </w:p>
    <w:p w14:paraId="66A83484" w14:textId="77777777" w:rsidR="00905D9E" w:rsidRPr="00905D9E" w:rsidRDefault="00905D9E" w:rsidP="00905D9E">
      <w:pPr>
        <w:pStyle w:val="a0"/>
      </w:pPr>
      <w:r w:rsidRPr="00905D9E">
        <w:rPr>
          <w:b/>
          <w:bCs/>
        </w:rPr>
        <w:t>How to describe rules</w:t>
      </w:r>
    </w:p>
    <w:p w14:paraId="5DF38724" w14:textId="77777777" w:rsidR="00905D9E" w:rsidRPr="00905D9E" w:rsidRDefault="00905D9E" w:rsidP="00905D9E">
      <w:pPr>
        <w:pStyle w:val="a0"/>
        <w:numPr>
          <w:ilvl w:val="0"/>
          <w:numId w:val="98"/>
        </w:numPr>
      </w:pPr>
      <w:r w:rsidRPr="00905D9E">
        <w:t>For advertising or product safety, it will cite the key legislation like the Advertising Law or product quality standards, summarizing requirements (e.g., “No advertisement shall contain false or misleading information” as per the PRC Advertising Law).</w:t>
      </w:r>
    </w:p>
    <w:p w14:paraId="62944C17" w14:textId="77777777" w:rsidR="00905D9E" w:rsidRPr="00905D9E" w:rsidRDefault="00905D9E" w:rsidP="00905D9E">
      <w:pPr>
        <w:pStyle w:val="a0"/>
      </w:pPr>
      <w:r w:rsidRPr="00905D9E">
        <w:rPr>
          <w:b/>
          <w:bCs/>
        </w:rPr>
        <w:t>Granularity &amp; risk signaling</w:t>
      </w:r>
    </w:p>
    <w:p w14:paraId="6E37EA4A" w14:textId="77777777" w:rsidR="00905D9E" w:rsidRPr="00905D9E" w:rsidRDefault="00905D9E" w:rsidP="00905D9E">
      <w:pPr>
        <w:pStyle w:val="a0"/>
        <w:numPr>
          <w:ilvl w:val="0"/>
          <w:numId w:val="99"/>
        </w:numPr>
      </w:pPr>
      <w:r w:rsidRPr="00905D9E">
        <w:lastRenderedPageBreak/>
        <w:t>The granularity should be enough to inform investors of the regulatory environment risk and compliance: each mentioned law should include its name and a short explanation of its scope or what it requires/prohibits.</w:t>
      </w:r>
    </w:p>
    <w:p w14:paraId="72241436" w14:textId="77777777" w:rsidR="00905D9E" w:rsidRPr="00905D9E" w:rsidRDefault="00905D9E" w:rsidP="00905D9E">
      <w:pPr>
        <w:pStyle w:val="a0"/>
        <w:numPr>
          <w:ilvl w:val="0"/>
          <w:numId w:val="99"/>
        </w:numPr>
      </w:pPr>
      <w:r w:rsidRPr="00905D9E">
        <w:t>If there are specific regulatory risks (e.g., laws that might change or are particularly stringent), this section may foreshadow them (though detailed consequences often appear in Risk Factors).</w:t>
      </w:r>
    </w:p>
    <w:p w14:paraId="6D285B38" w14:textId="77777777" w:rsidR="00905D9E" w:rsidRPr="00905D9E" w:rsidRDefault="00905D9E" w:rsidP="00905D9E">
      <w:pPr>
        <w:pStyle w:val="a0"/>
      </w:pPr>
      <w:r w:rsidRPr="00905D9E">
        <w:rPr>
          <w:b/>
          <w:bCs/>
        </w:rPr>
        <w:t>Licenses and status</w:t>
      </w:r>
    </w:p>
    <w:p w14:paraId="40405A12" w14:textId="77777777" w:rsidR="00905D9E" w:rsidRPr="00905D9E" w:rsidRDefault="00905D9E" w:rsidP="00905D9E">
      <w:pPr>
        <w:pStyle w:val="a0"/>
        <w:numPr>
          <w:ilvl w:val="0"/>
          <w:numId w:val="100"/>
        </w:numPr>
      </w:pPr>
      <w:r w:rsidRPr="00905D9E">
        <w:t>It may also note if the company has all necessary licenses as of the Latest Practicable Date, or if certain applications are pending, since that is material information.</w:t>
      </w:r>
    </w:p>
    <w:p w14:paraId="7FCC3F93" w14:textId="77777777" w:rsidR="00905D9E" w:rsidRPr="00905D9E" w:rsidRDefault="00905D9E" w:rsidP="00905D9E">
      <w:pPr>
        <w:pStyle w:val="a0"/>
      </w:pPr>
      <w:r w:rsidRPr="00905D9E">
        <w:rPr>
          <w:b/>
          <w:bCs/>
        </w:rPr>
        <w:t>Tone &amp; outcome</w:t>
      </w:r>
    </w:p>
    <w:p w14:paraId="59AFDED7" w14:textId="77777777" w:rsidR="00905D9E" w:rsidRPr="00905D9E" w:rsidRDefault="00905D9E" w:rsidP="00905D9E">
      <w:pPr>
        <w:pStyle w:val="a0"/>
        <w:numPr>
          <w:ilvl w:val="0"/>
          <w:numId w:val="101"/>
        </w:numPr>
      </w:pPr>
      <w:r w:rsidRPr="00905D9E">
        <w:t>The AI’s tone should be neutral and informative, as this is a factual overview.</w:t>
      </w:r>
    </w:p>
    <w:p w14:paraId="4B04C26F" w14:textId="77777777" w:rsidR="00905D9E" w:rsidRPr="00905D9E" w:rsidRDefault="00905D9E" w:rsidP="00905D9E">
      <w:pPr>
        <w:pStyle w:val="a0"/>
        <w:numPr>
          <w:ilvl w:val="0"/>
          <w:numId w:val="101"/>
        </w:numPr>
      </w:pPr>
      <w:r w:rsidRPr="00905D9E">
        <w:t>Essentially, this section frames the legal landscape the company operates in, giving readers context on how government policies and regulations could affect the business and what the company must adhere to.</w:t>
      </w:r>
    </w:p>
    <w:p w14:paraId="7C753479" w14:textId="77777777" w:rsidR="0074610B" w:rsidRPr="0074610B" w:rsidRDefault="0074610B" w:rsidP="0074610B">
      <w:pPr>
        <w:pStyle w:val="a0"/>
      </w:pPr>
      <w:r w:rsidRPr="0074610B">
        <w:rPr>
          <w:b/>
          <w:bCs/>
        </w:rPr>
        <w:t>Sponsor Counsel Enhancements:</w:t>
      </w:r>
    </w:p>
    <w:p w14:paraId="376AF095" w14:textId="77777777" w:rsidR="0074610B" w:rsidRPr="0074610B" w:rsidRDefault="0074610B" w:rsidP="0074610B">
      <w:pPr>
        <w:pStyle w:val="a0"/>
        <w:numPr>
          <w:ilvl w:val="0"/>
          <w:numId w:val="12"/>
        </w:numPr>
      </w:pPr>
      <w:r w:rsidRPr="0074610B">
        <w:t>Tech</w:t>
      </w:r>
      <w:r w:rsidRPr="0074610B">
        <w:noBreakHyphen/>
        <w:t>sector minimum: include “internet information services and data security” checklist items (regulatory framework; personal data types; data lifecycle controls; compliance status; material incidents). </w:t>
      </w:r>
    </w:p>
    <w:p w14:paraId="1C9C49E4" w14:textId="77777777" w:rsidR="0074610B" w:rsidRPr="0074610B" w:rsidRDefault="0074610B" w:rsidP="0074610B">
      <w:pPr>
        <w:pStyle w:val="a0"/>
        <w:numPr>
          <w:ilvl w:val="0"/>
          <w:numId w:val="12"/>
        </w:numPr>
      </w:pPr>
      <w:r w:rsidRPr="0074610B">
        <w:t>Add “change in laws with material impact” cross</w:t>
      </w:r>
      <w:r w:rsidRPr="0074610B">
        <w:noBreakHyphen/>
        <w:t>references to Risk Factors and Business; ensure consistency and avoid downplaying regulatory risk. </w:t>
      </w:r>
    </w:p>
    <w:p w14:paraId="32CB676D" w14:textId="77777777" w:rsidR="0074610B" w:rsidRPr="0074610B" w:rsidRDefault="0074610B" w:rsidP="0074610B">
      <w:pPr>
        <w:pStyle w:val="a0"/>
        <w:numPr>
          <w:ilvl w:val="0"/>
          <w:numId w:val="12"/>
        </w:numPr>
      </w:pPr>
      <w:r w:rsidRPr="0074610B">
        <w:t>Add [[</w:t>
      </w:r>
      <w:proofErr w:type="spellStart"/>
      <w:r w:rsidRPr="0074610B">
        <w:t>AI:VERIFY|evidence</w:t>
      </w:r>
      <w:proofErr w:type="spellEnd"/>
      <w:r w:rsidRPr="0074610B">
        <w:t xml:space="preserve">=legal opinions; </w:t>
      </w:r>
      <w:proofErr w:type="spellStart"/>
      <w:r w:rsidRPr="0074610B">
        <w:t>licences</w:t>
      </w:r>
      <w:proofErr w:type="spellEnd"/>
      <w:r w:rsidRPr="0074610B">
        <w:t>; regulatory filings; incident logs]]. </w:t>
      </w:r>
    </w:p>
    <w:p w14:paraId="404B91E5" w14:textId="77777777" w:rsidR="0074610B" w:rsidRPr="0074610B" w:rsidRDefault="0074610B" w:rsidP="0074610B">
      <w:pPr>
        <w:pStyle w:val="a0"/>
      </w:pPr>
      <w:r w:rsidRPr="0074610B">
        <w:rPr>
          <w:b/>
          <w:bCs/>
        </w:rPr>
        <w:t>Enhanced sample paragraph:</w:t>
      </w:r>
      <w:r w:rsidRPr="0074610B">
        <w:br/>
        <w:t xml:space="preserve">“This section </w:t>
      </w:r>
      <w:proofErr w:type="spellStart"/>
      <w:r w:rsidRPr="0074610B">
        <w:t>summarises</w:t>
      </w:r>
      <w:proofErr w:type="spellEnd"/>
      <w:r w:rsidRPr="0074610B">
        <w:t xml:space="preserve"> the principal laws, regulations, </w:t>
      </w:r>
      <w:proofErr w:type="spellStart"/>
      <w:r w:rsidRPr="0074610B">
        <w:t>licences</w:t>
      </w:r>
      <w:proofErr w:type="spellEnd"/>
      <w:r w:rsidRPr="0074610B">
        <w:t xml:space="preserve"> and regulatory practices that materially affect our business and operations in each relevant jurisdiction. It is </w:t>
      </w:r>
      <w:proofErr w:type="spellStart"/>
      <w:r w:rsidRPr="0074610B">
        <w:t>organised</w:t>
      </w:r>
      <w:proofErr w:type="spellEnd"/>
      <w:r w:rsidRPr="0074610B">
        <w:t xml:space="preserve"> by regulatory topic (for example: licensing and approvals; data privacy and cybersecurity; internet information services requirements and any foreign ownership restrictions; intellectual property protection; consumer protection; and other sector</w:t>
      </w:r>
      <w:r w:rsidRPr="0074610B">
        <w:noBreakHyphen/>
        <w:t>specific rules). Where our business involves processing personal data or providing internet information services, we disclose the types of personal data involved, our data protection policies and lifecycle controls (collection, storage, processing, use, transfer, disclosure, retention and destruction), our compliance status, and any incidents of material data leakage (if any). [[</w:t>
      </w:r>
      <w:proofErr w:type="spellStart"/>
      <w:r w:rsidRPr="0074610B">
        <w:t>AI:XREF|to</w:t>
      </w:r>
      <w:proofErr w:type="spellEnd"/>
      <w:r w:rsidRPr="0074610B">
        <w:t>=Risk Factors]] [[</w:t>
      </w:r>
      <w:proofErr w:type="spellStart"/>
      <w:r w:rsidRPr="0074610B">
        <w:t>AI:XREF|to</w:t>
      </w:r>
      <w:proofErr w:type="spellEnd"/>
      <w:r w:rsidRPr="0074610B">
        <w:t>=Business]] [[</w:t>
      </w:r>
      <w:proofErr w:type="spellStart"/>
      <w:r w:rsidRPr="0074610B">
        <w:t>AI:VERIFY|evidence</w:t>
      </w:r>
      <w:proofErr w:type="spellEnd"/>
      <w:r w:rsidRPr="0074610B">
        <w:t xml:space="preserve">=PRC/HK/other counsel regulatory memos and </w:t>
      </w:r>
      <w:proofErr w:type="spellStart"/>
      <w:r w:rsidRPr="0074610B">
        <w:t>licence</w:t>
      </w:r>
      <w:proofErr w:type="spellEnd"/>
      <w:r w:rsidRPr="0074610B">
        <w:t xml:space="preserve"> registers]]” </w:t>
      </w:r>
    </w:p>
    <w:p w14:paraId="2E28DB1B" w14:textId="77777777" w:rsidR="0074610B" w:rsidRPr="0074610B" w:rsidRDefault="0074610B" w:rsidP="0074610B">
      <w:pPr>
        <w:pStyle w:val="a0"/>
        <w:rPr>
          <w:b/>
          <w:bCs/>
          <w:i/>
          <w:iCs/>
          <w:sz w:val="28"/>
          <w:szCs w:val="28"/>
        </w:rPr>
      </w:pPr>
      <w:r w:rsidRPr="0074610B">
        <w:rPr>
          <w:b/>
          <w:bCs/>
          <w:i/>
          <w:iCs/>
          <w:sz w:val="28"/>
          <w:szCs w:val="28"/>
        </w:rPr>
        <w:lastRenderedPageBreak/>
        <w:t>Industry Overview</w:t>
      </w:r>
    </w:p>
    <w:p w14:paraId="51D20B86" w14:textId="77777777" w:rsidR="00905D9E" w:rsidRPr="00905D9E" w:rsidRDefault="00905D9E" w:rsidP="00905D9E">
      <w:pPr>
        <w:pStyle w:val="a0"/>
      </w:pPr>
      <w:r w:rsidRPr="00905D9E">
        <w:rPr>
          <w:b/>
          <w:bCs/>
        </w:rPr>
        <w:t>Purpose</w:t>
      </w:r>
    </w:p>
    <w:p w14:paraId="0210F71D" w14:textId="77777777" w:rsidR="00905D9E" w:rsidRPr="00905D9E" w:rsidRDefault="00905D9E" w:rsidP="00905D9E">
      <w:pPr>
        <w:pStyle w:val="a0"/>
        <w:numPr>
          <w:ilvl w:val="0"/>
          <w:numId w:val="102"/>
        </w:numPr>
      </w:pPr>
      <w:r w:rsidRPr="00905D9E">
        <w:t>The Industry Overview provides background on the market or industry in which the company operates, often supported by third-party research.</w:t>
      </w:r>
    </w:p>
    <w:p w14:paraId="5FE4C86F" w14:textId="77777777" w:rsidR="00905D9E" w:rsidRPr="00905D9E" w:rsidRDefault="00905D9E" w:rsidP="00905D9E">
      <w:pPr>
        <w:pStyle w:val="a0"/>
      </w:pPr>
      <w:r w:rsidRPr="00905D9E">
        <w:rPr>
          <w:b/>
          <w:bCs/>
        </w:rPr>
        <w:t>Required sub-parts</w:t>
      </w:r>
    </w:p>
    <w:p w14:paraId="66EA2D4E" w14:textId="77777777" w:rsidR="00905D9E" w:rsidRPr="00905D9E" w:rsidRDefault="00905D9E" w:rsidP="00905D9E">
      <w:pPr>
        <w:pStyle w:val="a0"/>
        <w:numPr>
          <w:ilvl w:val="0"/>
          <w:numId w:val="103"/>
        </w:numPr>
      </w:pPr>
      <w:r w:rsidRPr="00905D9E">
        <w:t>The AI should divide this section into sub-parts that cover: definition of the industry, market size and growth trends, competitive landscape, and possibly future outlook.</w:t>
      </w:r>
    </w:p>
    <w:p w14:paraId="40D8F828" w14:textId="77777777" w:rsidR="00905D9E" w:rsidRPr="00905D9E" w:rsidRDefault="00905D9E" w:rsidP="00905D9E">
      <w:pPr>
        <w:pStyle w:val="a0"/>
      </w:pPr>
      <w:r w:rsidRPr="00905D9E">
        <w:rPr>
          <w:b/>
          <w:bCs/>
        </w:rPr>
        <w:t>Typical flow</w:t>
      </w:r>
    </w:p>
    <w:p w14:paraId="5EB4E2CF" w14:textId="77777777" w:rsidR="00905D9E" w:rsidRPr="00905D9E" w:rsidRDefault="00905D9E" w:rsidP="00905D9E">
      <w:pPr>
        <w:pStyle w:val="a0"/>
        <w:numPr>
          <w:ilvl w:val="0"/>
          <w:numId w:val="104"/>
        </w:numPr>
      </w:pPr>
      <w:r w:rsidRPr="00905D9E">
        <w:t>It usually begins by defining key terms or segments of the industry (for example, explaining what “pop toys” are in Pop Mart’s case, as per an industry definition).</w:t>
      </w:r>
    </w:p>
    <w:p w14:paraId="5C6DF597" w14:textId="77777777" w:rsidR="00905D9E" w:rsidRPr="00905D9E" w:rsidRDefault="00905D9E" w:rsidP="00905D9E">
      <w:pPr>
        <w:pStyle w:val="a0"/>
        <w:numPr>
          <w:ilvl w:val="0"/>
          <w:numId w:val="104"/>
        </w:numPr>
      </w:pPr>
      <w:r w:rsidRPr="00905D9E">
        <w:t>Then it presents data on the industry’s historical and projected market size, typically including figures and compound annual growth rates, sourced from an independent market research firm.</w:t>
      </w:r>
    </w:p>
    <w:p w14:paraId="01738C42" w14:textId="77777777" w:rsidR="00905D9E" w:rsidRPr="00905D9E" w:rsidRDefault="00905D9E" w:rsidP="00905D9E">
      <w:pPr>
        <w:pStyle w:val="a0"/>
      </w:pPr>
      <w:r w:rsidRPr="00905D9E">
        <w:rPr>
          <w:b/>
          <w:bCs/>
        </w:rPr>
        <w:t>Source attribution</w:t>
      </w:r>
    </w:p>
    <w:p w14:paraId="48D870C1" w14:textId="77777777" w:rsidR="00905D9E" w:rsidRPr="00905D9E" w:rsidRDefault="00905D9E" w:rsidP="00905D9E">
      <w:pPr>
        <w:pStyle w:val="a0"/>
        <w:numPr>
          <w:ilvl w:val="0"/>
          <w:numId w:val="105"/>
        </w:numPr>
      </w:pPr>
      <w:r w:rsidRPr="00905D9E">
        <w:t>The AI must cite such data as coming from sources like Frost &amp; Sullivan or other consultants, as the prospectus does (e.g., “according to the Frost &amp; Sullivan Report, the market size of China’s pop toy retailing was RMBX in 2019 and is expected to reach RMBY by 2024”).</w:t>
      </w:r>
    </w:p>
    <w:p w14:paraId="326A7F78" w14:textId="77777777" w:rsidR="00905D9E" w:rsidRPr="00905D9E" w:rsidRDefault="00905D9E" w:rsidP="00905D9E">
      <w:pPr>
        <w:pStyle w:val="a0"/>
      </w:pPr>
      <w:r w:rsidRPr="00905D9E">
        <w:rPr>
          <w:b/>
          <w:bCs/>
        </w:rPr>
        <w:t>Coverage expectations</w:t>
      </w:r>
    </w:p>
    <w:p w14:paraId="3AA8FE5A" w14:textId="77777777" w:rsidR="00905D9E" w:rsidRPr="00905D9E" w:rsidRDefault="00905D9E" w:rsidP="00905D9E">
      <w:pPr>
        <w:pStyle w:val="a0"/>
        <w:numPr>
          <w:ilvl w:val="0"/>
          <w:numId w:val="106"/>
        </w:numPr>
      </w:pPr>
      <w:r w:rsidRPr="00905D9E">
        <w:t>The content range should cover both global context (if relevant) and the specific region of the company (e.g., the Chinese market for a Chinese issuer), highlighting drivers of growth or recent trends (such as increasing disposable incomes, urbanization, consumer preferences for certain products).</w:t>
      </w:r>
    </w:p>
    <w:p w14:paraId="0032A1C9" w14:textId="77777777" w:rsidR="00905D9E" w:rsidRPr="00905D9E" w:rsidRDefault="00905D9E" w:rsidP="00905D9E">
      <w:pPr>
        <w:pStyle w:val="a0"/>
      </w:pPr>
      <w:r w:rsidRPr="00905D9E">
        <w:rPr>
          <w:b/>
          <w:bCs/>
        </w:rPr>
        <w:t>Competition discussion</w:t>
      </w:r>
    </w:p>
    <w:p w14:paraId="31753C64" w14:textId="77777777" w:rsidR="00905D9E" w:rsidRPr="00905D9E" w:rsidRDefault="00905D9E" w:rsidP="00905D9E">
      <w:pPr>
        <w:pStyle w:val="a0"/>
        <w:numPr>
          <w:ilvl w:val="0"/>
          <w:numId w:val="107"/>
        </w:numPr>
      </w:pPr>
      <w:r w:rsidRPr="00905D9E">
        <w:t>Additionally, the competitive landscape is described: how fragmented or consolidated the industry is, the company’s rank or market share if available, and key competitors (with possibly a statement like “the top five players accounted for X% of the market, with Company ranked first at 8.5% share”).</w:t>
      </w:r>
    </w:p>
    <w:p w14:paraId="799A8DC9" w14:textId="77777777" w:rsidR="00905D9E" w:rsidRPr="00905D9E" w:rsidRDefault="00905D9E" w:rsidP="00905D9E">
      <w:pPr>
        <w:pStyle w:val="a0"/>
      </w:pPr>
      <w:r w:rsidRPr="00905D9E">
        <w:rPr>
          <w:b/>
          <w:bCs/>
        </w:rPr>
        <w:t>Other influencing factors</w:t>
      </w:r>
    </w:p>
    <w:p w14:paraId="393E4EDB" w14:textId="77777777" w:rsidR="00905D9E" w:rsidRPr="00905D9E" w:rsidRDefault="00905D9E" w:rsidP="00905D9E">
      <w:pPr>
        <w:pStyle w:val="a0"/>
        <w:numPr>
          <w:ilvl w:val="0"/>
          <w:numId w:val="108"/>
        </w:numPr>
      </w:pPr>
      <w:r w:rsidRPr="00905D9E">
        <w:t>If the industry is influenced by government policy or technological change, those factors are outlined as well.</w:t>
      </w:r>
    </w:p>
    <w:p w14:paraId="266404B2" w14:textId="77777777" w:rsidR="00905D9E" w:rsidRPr="00905D9E" w:rsidRDefault="00905D9E" w:rsidP="00905D9E">
      <w:pPr>
        <w:pStyle w:val="a0"/>
      </w:pPr>
      <w:r w:rsidRPr="00905D9E">
        <w:rPr>
          <w:b/>
          <w:bCs/>
        </w:rPr>
        <w:lastRenderedPageBreak/>
        <w:t>Granularity &amp; presentation</w:t>
      </w:r>
    </w:p>
    <w:p w14:paraId="6614F209" w14:textId="77777777" w:rsidR="00905D9E" w:rsidRPr="00905D9E" w:rsidRDefault="00905D9E" w:rsidP="00905D9E">
      <w:pPr>
        <w:pStyle w:val="a0"/>
        <w:numPr>
          <w:ilvl w:val="0"/>
          <w:numId w:val="109"/>
        </w:numPr>
      </w:pPr>
      <w:r w:rsidRPr="00905D9E">
        <w:t>The granularity involves specific statistics and rankings, growth percentages, and qualitative analysis of trends.</w:t>
      </w:r>
    </w:p>
    <w:p w14:paraId="4C962726" w14:textId="77777777" w:rsidR="00905D9E" w:rsidRPr="00905D9E" w:rsidRDefault="00905D9E" w:rsidP="00905D9E">
      <w:pPr>
        <w:pStyle w:val="a0"/>
        <w:numPr>
          <w:ilvl w:val="0"/>
          <w:numId w:val="109"/>
        </w:numPr>
      </w:pPr>
      <w:r w:rsidRPr="00905D9E">
        <w:t>The AI’s language should remain objective and analytic, not promotional – this section is about the industry, not the company specifically.</w:t>
      </w:r>
    </w:p>
    <w:p w14:paraId="3768BB84" w14:textId="77777777" w:rsidR="00905D9E" w:rsidRPr="00905D9E" w:rsidRDefault="00905D9E" w:rsidP="00905D9E">
      <w:pPr>
        <w:pStyle w:val="a0"/>
        <w:numPr>
          <w:ilvl w:val="0"/>
          <w:numId w:val="109"/>
        </w:numPr>
      </w:pPr>
      <w:r w:rsidRPr="00905D9E">
        <w:t>The use of charts or tables is common, although if only text is being generated, the AI should describe any notable figures clearly in prose.</w:t>
      </w:r>
    </w:p>
    <w:p w14:paraId="47EE8135" w14:textId="77777777" w:rsidR="00905D9E" w:rsidRPr="00905D9E" w:rsidRDefault="00905D9E" w:rsidP="00905D9E">
      <w:pPr>
        <w:pStyle w:val="a0"/>
      </w:pPr>
      <w:r w:rsidRPr="00905D9E">
        <w:rPr>
          <w:b/>
          <w:bCs/>
        </w:rPr>
        <w:t>Closing outlook</w:t>
      </w:r>
    </w:p>
    <w:p w14:paraId="23DFA852" w14:textId="77777777" w:rsidR="00905D9E" w:rsidRPr="00905D9E" w:rsidRDefault="00905D9E" w:rsidP="00905D9E">
      <w:pPr>
        <w:pStyle w:val="a0"/>
        <w:numPr>
          <w:ilvl w:val="0"/>
          <w:numId w:val="110"/>
        </w:numPr>
      </w:pPr>
      <w:r w:rsidRPr="00905D9E">
        <w:t>It may end with a short outlook discussing how the industry is expected to evolve in the next few years (again citing the research source for any forecasts).</w:t>
      </w:r>
    </w:p>
    <w:p w14:paraId="56491200" w14:textId="77777777" w:rsidR="00905D9E" w:rsidRPr="00905D9E" w:rsidRDefault="00905D9E" w:rsidP="00905D9E">
      <w:pPr>
        <w:pStyle w:val="a0"/>
      </w:pPr>
      <w:r w:rsidRPr="00905D9E">
        <w:rPr>
          <w:b/>
          <w:bCs/>
        </w:rPr>
        <w:t>Investor value</w:t>
      </w:r>
    </w:p>
    <w:p w14:paraId="4C447D64" w14:textId="77777777" w:rsidR="00905D9E" w:rsidRPr="00905D9E" w:rsidRDefault="00905D9E" w:rsidP="00905D9E">
      <w:pPr>
        <w:pStyle w:val="a0"/>
        <w:numPr>
          <w:ilvl w:val="0"/>
          <w:numId w:val="111"/>
        </w:numPr>
      </w:pPr>
      <w:r w:rsidRPr="00905D9E">
        <w:t>By thoroughly covering the industry context, this section helps investors understand the broader environment and opportunity set that the company operates within.</w:t>
      </w:r>
    </w:p>
    <w:p w14:paraId="1B908C39" w14:textId="77777777" w:rsidR="0074610B" w:rsidRPr="0074610B" w:rsidRDefault="0074610B" w:rsidP="0074610B">
      <w:pPr>
        <w:pStyle w:val="a0"/>
      </w:pPr>
      <w:r w:rsidRPr="0074610B">
        <w:rPr>
          <w:b/>
          <w:bCs/>
        </w:rPr>
        <w:t>Sponsor Counsel Enhancements:</w:t>
      </w:r>
    </w:p>
    <w:p w14:paraId="1360231A" w14:textId="77777777" w:rsidR="0074610B" w:rsidRPr="0074610B" w:rsidRDefault="0074610B" w:rsidP="0074610B">
      <w:pPr>
        <w:pStyle w:val="a0"/>
        <w:numPr>
          <w:ilvl w:val="0"/>
          <w:numId w:val="14"/>
        </w:numPr>
      </w:pPr>
      <w:r w:rsidRPr="0074610B">
        <w:t>Enforce GL98</w:t>
      </w:r>
      <w:r w:rsidRPr="0074610B">
        <w:noBreakHyphen/>
        <w:t>18 sourcing: </w:t>
      </w:r>
      <w:r w:rsidRPr="0074610B">
        <w:rPr>
          <w:b/>
          <w:bCs/>
        </w:rPr>
        <w:t>every</w:t>
      </w:r>
      <w:r w:rsidRPr="0074610B">
        <w:t> market size, CAGR, share, rank must include [[</w:t>
      </w:r>
      <w:proofErr w:type="spellStart"/>
      <w:r w:rsidRPr="0074610B">
        <w:t>AI:CITE|source</w:t>
      </w:r>
      <w:proofErr w:type="spellEnd"/>
      <w:r w:rsidRPr="0074610B">
        <w:t>; scope; metric; date]]. </w:t>
      </w:r>
    </w:p>
    <w:p w14:paraId="6A2F5F5B" w14:textId="77777777" w:rsidR="0074610B" w:rsidRPr="0074610B" w:rsidRDefault="0074610B" w:rsidP="0074610B">
      <w:pPr>
        <w:pStyle w:val="a0"/>
        <w:numPr>
          <w:ilvl w:val="0"/>
          <w:numId w:val="14"/>
        </w:numPr>
      </w:pPr>
      <w:r w:rsidRPr="0074610B">
        <w:t xml:space="preserve">For “projected to exceed … by 2030” type statements in </w:t>
      </w:r>
      <w:proofErr w:type="spellStart"/>
      <w:r w:rsidRPr="0074610B">
        <w:t>MiniMax</w:t>
      </w:r>
      <w:proofErr w:type="spellEnd"/>
      <w:r w:rsidRPr="0074610B">
        <w:t xml:space="preserve"> Summary (p.11/716), ensure they are explicitly attributed to third parties and framed as estimates with uncertainties. </w:t>
      </w:r>
    </w:p>
    <w:p w14:paraId="366A07C4" w14:textId="77777777" w:rsidR="0074610B" w:rsidRPr="0074610B" w:rsidRDefault="0074610B" w:rsidP="0074610B">
      <w:pPr>
        <w:pStyle w:val="a0"/>
      </w:pPr>
      <w:r w:rsidRPr="0074610B">
        <w:rPr>
          <w:b/>
          <w:bCs/>
        </w:rPr>
        <w:t>Enhanced sample paragraph:</w:t>
      </w:r>
      <w:r w:rsidRPr="0074610B">
        <w:br/>
        <w:t>“This section provides an overview of the industry and markets in which we operate, including relevant market size and growth trends, key demand drivers, competitive dynamics, customer profiles, and technology or regulatory developments that may materially affect our business. Any statistics, forecasts or market share information sourced from third parties are clearly attributed and presented with defined scope, period, and metrics. [[</w:t>
      </w:r>
      <w:proofErr w:type="spellStart"/>
      <w:r w:rsidRPr="0074610B">
        <w:t>AI:CITE|source</w:t>
      </w:r>
      <w:proofErr w:type="spellEnd"/>
      <w:r w:rsidRPr="0074610B">
        <w:t xml:space="preserve">=; </w:t>
      </w:r>
      <w:proofErr w:type="spellStart"/>
      <w:r w:rsidRPr="0074610B">
        <w:t>report_date</w:t>
      </w:r>
      <w:proofErr w:type="spellEnd"/>
      <w:r w:rsidRPr="0074610B">
        <w:t>=; scope=; metric=; period=]] [[</w:t>
      </w:r>
      <w:proofErr w:type="spellStart"/>
      <w:r w:rsidRPr="0074610B">
        <w:t>AI:XREF|to</w:t>
      </w:r>
      <w:proofErr w:type="spellEnd"/>
      <w:r w:rsidRPr="0074610B">
        <w:t>=Business]] [[</w:t>
      </w:r>
      <w:proofErr w:type="spellStart"/>
      <w:r w:rsidRPr="0074610B">
        <w:t>AI:XREF|to</w:t>
      </w:r>
      <w:proofErr w:type="spellEnd"/>
      <w:r w:rsidRPr="0074610B">
        <w:t>=Risk Factors]]” </w:t>
      </w:r>
    </w:p>
    <w:p w14:paraId="1CB8BEA6" w14:textId="77777777" w:rsidR="0074610B" w:rsidRPr="0074610B" w:rsidRDefault="0074610B" w:rsidP="0074610B">
      <w:pPr>
        <w:pStyle w:val="a0"/>
        <w:rPr>
          <w:b/>
          <w:bCs/>
          <w:i/>
          <w:iCs/>
          <w:sz w:val="28"/>
          <w:szCs w:val="28"/>
        </w:rPr>
      </w:pPr>
      <w:r w:rsidRPr="0074610B">
        <w:rPr>
          <w:b/>
          <w:bCs/>
          <w:i/>
          <w:iCs/>
          <w:sz w:val="28"/>
          <w:szCs w:val="28"/>
        </w:rPr>
        <w:t>History, Reorganization, and Corporate Structure</w:t>
      </w:r>
    </w:p>
    <w:p w14:paraId="676A516A" w14:textId="77777777" w:rsidR="00905D9E" w:rsidRPr="00905D9E" w:rsidRDefault="00905D9E" w:rsidP="00905D9E">
      <w:pPr>
        <w:pStyle w:val="a0"/>
      </w:pPr>
      <w:r w:rsidRPr="00905D9E">
        <w:rPr>
          <w:b/>
          <w:bCs/>
        </w:rPr>
        <w:t>Purpose</w:t>
      </w:r>
    </w:p>
    <w:p w14:paraId="74C242D2" w14:textId="77777777" w:rsidR="00905D9E" w:rsidRPr="00905D9E" w:rsidRDefault="00905D9E" w:rsidP="00905D9E">
      <w:pPr>
        <w:pStyle w:val="a0"/>
        <w:numPr>
          <w:ilvl w:val="0"/>
          <w:numId w:val="112"/>
        </w:numPr>
      </w:pPr>
      <w:r w:rsidRPr="00905D9E">
        <w:t>This section outlines the company’s background and how it came to its current form.</w:t>
      </w:r>
    </w:p>
    <w:p w14:paraId="5B8A6108" w14:textId="77777777" w:rsidR="00905D9E" w:rsidRPr="00905D9E" w:rsidRDefault="00905D9E" w:rsidP="00905D9E">
      <w:pPr>
        <w:pStyle w:val="a0"/>
      </w:pPr>
      <w:r w:rsidRPr="00905D9E">
        <w:rPr>
          <w:b/>
          <w:bCs/>
        </w:rPr>
        <w:t>Chronological history</w:t>
      </w:r>
    </w:p>
    <w:p w14:paraId="66B95BBA" w14:textId="77777777" w:rsidR="00905D9E" w:rsidRPr="00905D9E" w:rsidRDefault="00905D9E" w:rsidP="00905D9E">
      <w:pPr>
        <w:pStyle w:val="a0"/>
        <w:numPr>
          <w:ilvl w:val="0"/>
          <w:numId w:val="113"/>
        </w:numPr>
      </w:pPr>
      <w:r w:rsidRPr="00905D9E">
        <w:lastRenderedPageBreak/>
        <w:t>The AI’s output should chronologically narrate the company’s key milestones since inception: the founding date, important business milestones (product launches, expansions, any major awards or achievements), and changes in corporate structure.</w:t>
      </w:r>
    </w:p>
    <w:p w14:paraId="7000D705" w14:textId="77777777" w:rsidR="00905D9E" w:rsidRPr="00905D9E" w:rsidRDefault="00905D9E" w:rsidP="00905D9E">
      <w:pPr>
        <w:pStyle w:val="a0"/>
      </w:pPr>
      <w:r w:rsidRPr="00905D9E">
        <w:rPr>
          <w:b/>
          <w:bCs/>
        </w:rPr>
        <w:t>Reorganization for IPO</w:t>
      </w:r>
    </w:p>
    <w:p w14:paraId="6B45BC98" w14:textId="77777777" w:rsidR="00905D9E" w:rsidRPr="00905D9E" w:rsidRDefault="00905D9E" w:rsidP="00905D9E">
      <w:pPr>
        <w:pStyle w:val="a0"/>
        <w:numPr>
          <w:ilvl w:val="0"/>
          <w:numId w:val="114"/>
        </w:numPr>
      </w:pPr>
      <w:r w:rsidRPr="00905D9E">
        <w:t>A major component is describing the reorganization steps undertaken to prepare for the IPO.</w:t>
      </w:r>
    </w:p>
    <w:p w14:paraId="6D611511" w14:textId="77777777" w:rsidR="00905D9E" w:rsidRPr="00905D9E" w:rsidRDefault="00905D9E" w:rsidP="00905D9E">
      <w:pPr>
        <w:pStyle w:val="a0"/>
        <w:numPr>
          <w:ilvl w:val="0"/>
          <w:numId w:val="114"/>
        </w:numPr>
      </w:pPr>
      <w:r w:rsidRPr="00905D9E">
        <w:t>In many cases, companies restructure shareholdings or set up holding companies prior to listing.</w:t>
      </w:r>
    </w:p>
    <w:p w14:paraId="40722523" w14:textId="77777777" w:rsidR="00905D9E" w:rsidRPr="00905D9E" w:rsidRDefault="00905D9E" w:rsidP="00905D9E">
      <w:pPr>
        <w:pStyle w:val="a0"/>
        <w:numPr>
          <w:ilvl w:val="0"/>
          <w:numId w:val="114"/>
        </w:numPr>
      </w:pPr>
      <w:r w:rsidRPr="00905D9E">
        <w:t>The AI should explain these transactions in simple terms – for example, “in [month year], the Company underwent a reorganization whereby a new Cayman Islands holding company (the issuer) was incorporated to become the listing vehicle, and the equity interests of the operating subsidiaries were transferred under this holding structure.”</w:t>
      </w:r>
    </w:p>
    <w:p w14:paraId="76078235" w14:textId="77777777" w:rsidR="00905D9E" w:rsidRPr="00905D9E" w:rsidRDefault="00905D9E" w:rsidP="00905D9E">
      <w:pPr>
        <w:pStyle w:val="a0"/>
      </w:pPr>
      <w:r w:rsidRPr="00905D9E">
        <w:rPr>
          <w:b/>
          <w:bCs/>
        </w:rPr>
        <w:t>Other structural events</w:t>
      </w:r>
    </w:p>
    <w:p w14:paraId="191B2AEF" w14:textId="77777777" w:rsidR="00905D9E" w:rsidRPr="00905D9E" w:rsidRDefault="00905D9E" w:rsidP="00905D9E">
      <w:pPr>
        <w:pStyle w:val="a0"/>
        <w:numPr>
          <w:ilvl w:val="0"/>
          <w:numId w:val="115"/>
        </w:numPr>
      </w:pPr>
      <w:r w:rsidRPr="00905D9E">
        <w:t>Any mergers, spinoffs, or capital changes as part of the reorganization should be noted.</w:t>
      </w:r>
    </w:p>
    <w:p w14:paraId="424ADA15" w14:textId="77777777" w:rsidR="00905D9E" w:rsidRPr="00905D9E" w:rsidRDefault="00905D9E" w:rsidP="00905D9E">
      <w:pPr>
        <w:pStyle w:val="a0"/>
        <w:numPr>
          <w:ilvl w:val="0"/>
          <w:numId w:val="115"/>
        </w:numPr>
      </w:pPr>
      <w:r w:rsidRPr="00905D9E">
        <w:t>If there were significant pre-IPO investments (like series funding rounds by investors), this section might briefly mention those and how they affected ownership.</w:t>
      </w:r>
    </w:p>
    <w:p w14:paraId="4C9D2781" w14:textId="77777777" w:rsidR="00905D9E" w:rsidRPr="00905D9E" w:rsidRDefault="00905D9E" w:rsidP="00905D9E">
      <w:pPr>
        <w:pStyle w:val="a0"/>
      </w:pPr>
      <w:r w:rsidRPr="00905D9E">
        <w:rPr>
          <w:b/>
          <w:bCs/>
        </w:rPr>
        <w:t>Corporate structure description</w:t>
      </w:r>
    </w:p>
    <w:p w14:paraId="44014B77" w14:textId="77777777" w:rsidR="00905D9E" w:rsidRPr="00905D9E" w:rsidRDefault="00905D9E" w:rsidP="00905D9E">
      <w:pPr>
        <w:pStyle w:val="a0"/>
        <w:numPr>
          <w:ilvl w:val="0"/>
          <w:numId w:val="116"/>
        </w:numPr>
      </w:pPr>
      <w:r w:rsidRPr="00905D9E">
        <w:t>The Corporate Structure part usually includes one or more diagrams or descriptions of the group’s legal entities.</w:t>
      </w:r>
    </w:p>
    <w:p w14:paraId="00B8F8A3" w14:textId="77777777" w:rsidR="00905D9E" w:rsidRPr="00905D9E" w:rsidRDefault="00905D9E" w:rsidP="00905D9E">
      <w:pPr>
        <w:pStyle w:val="a0"/>
        <w:numPr>
          <w:ilvl w:val="0"/>
          <w:numId w:val="116"/>
        </w:numPr>
      </w:pPr>
      <w:r w:rsidRPr="00905D9E">
        <w:t>The AI should describe the group structure, stating the main subsidiaries and their ownership.</w:t>
      </w:r>
    </w:p>
    <w:p w14:paraId="532747FA" w14:textId="77777777" w:rsidR="00905D9E" w:rsidRPr="00905D9E" w:rsidRDefault="00905D9E" w:rsidP="00905D9E">
      <w:pPr>
        <w:pStyle w:val="a0"/>
        <w:numPr>
          <w:ilvl w:val="0"/>
          <w:numId w:val="116"/>
        </w:numPr>
      </w:pPr>
      <w:r w:rsidRPr="00905D9E">
        <w:t>For example: “The following diagram illustrates our corporate and shareholding structure immediately before and after the Global Offering…”.</w:t>
      </w:r>
    </w:p>
    <w:p w14:paraId="25011598" w14:textId="77777777" w:rsidR="00905D9E" w:rsidRPr="00905D9E" w:rsidRDefault="00905D9E" w:rsidP="00905D9E">
      <w:pPr>
        <w:pStyle w:val="a0"/>
      </w:pPr>
      <w:r w:rsidRPr="00905D9E">
        <w:rPr>
          <w:b/>
          <w:bCs/>
        </w:rPr>
        <w:t>Pre- and post-IPO structure</w:t>
      </w:r>
    </w:p>
    <w:p w14:paraId="35A62A02" w14:textId="77777777" w:rsidR="00905D9E" w:rsidRPr="00905D9E" w:rsidRDefault="00905D9E" w:rsidP="00905D9E">
      <w:pPr>
        <w:pStyle w:val="a0"/>
        <w:numPr>
          <w:ilvl w:val="0"/>
          <w:numId w:val="117"/>
        </w:numPr>
      </w:pPr>
      <w:r w:rsidRPr="00905D9E">
        <w:t>It should list the key subsidiaries, their jurisdictions, and percentage ownership.</w:t>
      </w:r>
    </w:p>
    <w:p w14:paraId="42A654A3" w14:textId="77777777" w:rsidR="00905D9E" w:rsidRPr="00905D9E" w:rsidRDefault="00905D9E" w:rsidP="00905D9E">
      <w:pPr>
        <w:pStyle w:val="a0"/>
        <w:numPr>
          <w:ilvl w:val="0"/>
          <w:numId w:val="117"/>
        </w:numPr>
      </w:pPr>
      <w:r w:rsidRPr="00905D9E">
        <w:t>If the prospectus provides two structures (pre-IPO and post-IPO), the AI should explain both: who the major shareholders were before listing and how that changes after listing (e.g., after issuing new shares in the IPO and executing any Capitalization Issue or stock split).</w:t>
      </w:r>
    </w:p>
    <w:p w14:paraId="0209B6C1" w14:textId="77777777" w:rsidR="00905D9E" w:rsidRPr="00905D9E" w:rsidRDefault="00905D9E" w:rsidP="00905D9E">
      <w:pPr>
        <w:pStyle w:val="a0"/>
      </w:pPr>
      <w:r w:rsidRPr="00905D9E">
        <w:rPr>
          <w:b/>
          <w:bCs/>
        </w:rPr>
        <w:t>Granularity</w:t>
      </w:r>
    </w:p>
    <w:p w14:paraId="49B4ACCE" w14:textId="77777777" w:rsidR="00905D9E" w:rsidRPr="00905D9E" w:rsidRDefault="00905D9E" w:rsidP="00905D9E">
      <w:pPr>
        <w:pStyle w:val="a0"/>
        <w:numPr>
          <w:ilvl w:val="0"/>
          <w:numId w:val="118"/>
        </w:numPr>
      </w:pPr>
      <w:r w:rsidRPr="00905D9E">
        <w:lastRenderedPageBreak/>
        <w:t>The granularity should include names of major subsidiaries and intermediate holding companies, especially any material operating entities, and any VIE (contractual arrangement) entities if those exist (though details of VIE go in another section).</w:t>
      </w:r>
    </w:p>
    <w:p w14:paraId="33563880" w14:textId="77777777" w:rsidR="00905D9E" w:rsidRPr="00905D9E" w:rsidRDefault="00905D9E" w:rsidP="00905D9E">
      <w:pPr>
        <w:pStyle w:val="a0"/>
      </w:pPr>
      <w:r w:rsidRPr="00905D9E">
        <w:rPr>
          <w:b/>
          <w:bCs/>
        </w:rPr>
        <w:t>Outcome</w:t>
      </w:r>
    </w:p>
    <w:p w14:paraId="0DC252EE" w14:textId="77777777" w:rsidR="00905D9E" w:rsidRPr="00905D9E" w:rsidRDefault="00905D9E" w:rsidP="00905D9E">
      <w:pPr>
        <w:pStyle w:val="a0"/>
        <w:numPr>
          <w:ilvl w:val="0"/>
          <w:numId w:val="119"/>
        </w:numPr>
      </w:pPr>
      <w:r w:rsidRPr="00905D9E">
        <w:t>Essentially, by the end of this section, a reader should understand the lineage and evolution of the company and see a clear picture of the group’s makeup.</w:t>
      </w:r>
    </w:p>
    <w:p w14:paraId="72F4326D" w14:textId="77777777" w:rsidR="00905D9E" w:rsidRPr="00905D9E" w:rsidRDefault="00905D9E" w:rsidP="00905D9E">
      <w:pPr>
        <w:pStyle w:val="a0"/>
      </w:pPr>
      <w:r w:rsidRPr="00905D9E">
        <w:rPr>
          <w:b/>
          <w:bCs/>
        </w:rPr>
        <w:t>Illustrative detail that should be captured if present</w:t>
      </w:r>
    </w:p>
    <w:p w14:paraId="1D3F61C2" w14:textId="77777777" w:rsidR="00905D9E" w:rsidRPr="00905D9E" w:rsidRDefault="00905D9E" w:rsidP="00905D9E">
      <w:pPr>
        <w:pStyle w:val="a0"/>
        <w:numPr>
          <w:ilvl w:val="0"/>
          <w:numId w:val="120"/>
        </w:numPr>
      </w:pPr>
      <w:r w:rsidRPr="00905D9E">
        <w:t>This might involve stating “Our company was founded in [year] by [Founder’s Name] in [city]” and then describing growth (e.g., opened first store in 2010, expanded to X cities by 2015, etc.), culminating in the steps taken in the last year to reorganize for the IPO.</w:t>
      </w:r>
    </w:p>
    <w:p w14:paraId="23960128" w14:textId="77777777" w:rsidR="00905D9E" w:rsidRPr="00905D9E" w:rsidRDefault="00905D9E" w:rsidP="00905D9E">
      <w:pPr>
        <w:pStyle w:val="a0"/>
      </w:pPr>
      <w:r w:rsidRPr="00905D9E">
        <w:rPr>
          <w:b/>
          <w:bCs/>
        </w:rPr>
        <w:t>Tone and diagram handling</w:t>
      </w:r>
    </w:p>
    <w:p w14:paraId="4CB71F6A" w14:textId="77777777" w:rsidR="00905D9E" w:rsidRPr="00905D9E" w:rsidRDefault="00905D9E" w:rsidP="00905D9E">
      <w:pPr>
        <w:pStyle w:val="a0"/>
        <w:numPr>
          <w:ilvl w:val="0"/>
          <w:numId w:val="121"/>
        </w:numPr>
      </w:pPr>
      <w:r w:rsidRPr="00905D9E">
        <w:t>The AI’s tone remains factual and chronological.</w:t>
      </w:r>
    </w:p>
    <w:p w14:paraId="283D1514" w14:textId="77777777" w:rsidR="00905D9E" w:rsidRPr="00905D9E" w:rsidRDefault="00905D9E" w:rsidP="00905D9E">
      <w:pPr>
        <w:pStyle w:val="a0"/>
        <w:numPr>
          <w:ilvl w:val="0"/>
          <w:numId w:val="121"/>
        </w:numPr>
      </w:pPr>
      <w:r w:rsidRPr="00905D9E">
        <w:t>Diagrams themselves can be described in text if needed (e.g., “See chart below for corporate structure”), but primarily the agent should ensure all pieces of the corporate puzzle are mentioned in text form: significant entities, founders, investor stakes, and any noteworthy structural notes (like dual-class shares if any, or WVR beneficiaries if relevant).</w:t>
      </w:r>
    </w:p>
    <w:p w14:paraId="4A5E6580" w14:textId="77777777" w:rsidR="00905D9E" w:rsidRPr="00905D9E" w:rsidRDefault="00905D9E" w:rsidP="00905D9E">
      <w:pPr>
        <w:pStyle w:val="a0"/>
        <w:numPr>
          <w:ilvl w:val="0"/>
          <w:numId w:val="121"/>
        </w:numPr>
      </w:pPr>
      <w:r w:rsidRPr="00905D9E">
        <w:t>Consistency with what’s shown in any accompanying diagram is critical.</w:t>
      </w:r>
    </w:p>
    <w:p w14:paraId="6A8C194A" w14:textId="77777777" w:rsidR="0074610B" w:rsidRPr="0074610B" w:rsidRDefault="0074610B" w:rsidP="0074610B">
      <w:pPr>
        <w:pStyle w:val="a0"/>
      </w:pPr>
      <w:r w:rsidRPr="0074610B">
        <w:rPr>
          <w:b/>
          <w:bCs/>
        </w:rPr>
        <w:t>Sponsor Counsel Enhancements:</w:t>
      </w:r>
    </w:p>
    <w:p w14:paraId="1BB315FC" w14:textId="77777777" w:rsidR="0074610B" w:rsidRPr="0074610B" w:rsidRDefault="0074610B" w:rsidP="0074610B">
      <w:pPr>
        <w:pStyle w:val="a0"/>
        <w:numPr>
          <w:ilvl w:val="0"/>
          <w:numId w:val="16"/>
        </w:numPr>
      </w:pPr>
      <w:r w:rsidRPr="0074610B">
        <w:t>Add a “clean chain of title” rule: every restructuring step should link to specific legal documents and dates. [[</w:t>
      </w:r>
      <w:proofErr w:type="spellStart"/>
      <w:r w:rsidRPr="0074610B">
        <w:t>AI:VERIFY|evidence</w:t>
      </w:r>
      <w:proofErr w:type="spellEnd"/>
      <w:r w:rsidRPr="0074610B">
        <w:t>=board resolutions; SPA; reorg agreements; filings]]. </w:t>
      </w:r>
    </w:p>
    <w:p w14:paraId="405F1FD1" w14:textId="77777777" w:rsidR="0074610B" w:rsidRPr="0074610B" w:rsidRDefault="0074610B" w:rsidP="0074610B">
      <w:pPr>
        <w:pStyle w:val="a0"/>
        <w:numPr>
          <w:ilvl w:val="0"/>
          <w:numId w:val="16"/>
        </w:numPr>
      </w:pPr>
      <w:r w:rsidRPr="0074610B">
        <w:t>Make sure the description does not conflict with “Substantial Shareholders / Share Capital / WVR” sections; apply [[AI:XREF]]. </w:t>
      </w:r>
    </w:p>
    <w:p w14:paraId="1C546267" w14:textId="77777777" w:rsidR="0074610B" w:rsidRPr="0074610B" w:rsidRDefault="0074610B" w:rsidP="0074610B">
      <w:pPr>
        <w:pStyle w:val="a0"/>
      </w:pPr>
      <w:r w:rsidRPr="0074610B">
        <w:rPr>
          <w:b/>
          <w:bCs/>
        </w:rPr>
        <w:t>Enhanced sample paragraph:</w:t>
      </w:r>
      <w:r w:rsidRPr="0074610B">
        <w:br/>
        <w:t xml:space="preserve">“This section describes our corporate history and the key steps undertaken in connection with the </w:t>
      </w:r>
      <w:proofErr w:type="spellStart"/>
      <w:r w:rsidRPr="0074610B">
        <w:t>reorganisation</w:t>
      </w:r>
      <w:proofErr w:type="spellEnd"/>
      <w:r w:rsidRPr="0074610B">
        <w:t xml:space="preserve"> to establish our current group structure for listing purposes. It sets out the principal entities within our group, their jurisdiction of incorporation, principal businesses, and ownership relationships, and explains—at a high level—the purpose of each material </w:t>
      </w:r>
      <w:proofErr w:type="spellStart"/>
      <w:r w:rsidRPr="0074610B">
        <w:t>reorganisation</w:t>
      </w:r>
      <w:proofErr w:type="spellEnd"/>
      <w:r w:rsidRPr="0074610B">
        <w:t xml:space="preserve"> step. A corporate structure diagram is included for ease of reference. [[</w:t>
      </w:r>
      <w:proofErr w:type="spellStart"/>
      <w:r w:rsidRPr="0074610B">
        <w:t>AI:VERIFY|evidence</w:t>
      </w:r>
      <w:proofErr w:type="spellEnd"/>
      <w:r w:rsidRPr="0074610B">
        <w:t>=</w:t>
      </w:r>
      <w:proofErr w:type="spellStart"/>
      <w:r w:rsidRPr="0074610B">
        <w:t>reorganisation</w:t>
      </w:r>
      <w:proofErr w:type="spellEnd"/>
      <w:r w:rsidRPr="0074610B">
        <w:t xml:space="preserve"> legal documents and corporate filings]] [[</w:t>
      </w:r>
      <w:proofErr w:type="spellStart"/>
      <w:r w:rsidRPr="0074610B">
        <w:t>AI:XREF|to</w:t>
      </w:r>
      <w:proofErr w:type="spellEnd"/>
      <w:r w:rsidRPr="0074610B">
        <w:t>=Share Capital]] [[</w:t>
      </w:r>
      <w:proofErr w:type="spellStart"/>
      <w:r w:rsidRPr="0074610B">
        <w:t>AI:XREF|to</w:t>
      </w:r>
      <w:proofErr w:type="spellEnd"/>
      <w:r w:rsidRPr="0074610B">
        <w:t>=Substantial Shareholders]]”</w:t>
      </w:r>
    </w:p>
    <w:p w14:paraId="6C4FDC36" w14:textId="77777777" w:rsidR="0074610B" w:rsidRPr="0074610B" w:rsidRDefault="0074610B" w:rsidP="0074610B">
      <w:pPr>
        <w:pStyle w:val="a0"/>
        <w:rPr>
          <w:b/>
          <w:bCs/>
          <w:i/>
          <w:iCs/>
          <w:sz w:val="28"/>
          <w:szCs w:val="28"/>
        </w:rPr>
      </w:pPr>
      <w:r w:rsidRPr="0074610B">
        <w:rPr>
          <w:b/>
          <w:bCs/>
          <w:i/>
          <w:iCs/>
          <w:sz w:val="28"/>
          <w:szCs w:val="28"/>
        </w:rPr>
        <w:lastRenderedPageBreak/>
        <w:t>Business</w:t>
      </w:r>
    </w:p>
    <w:p w14:paraId="38332D61" w14:textId="77777777" w:rsidR="00905D9E" w:rsidRPr="00905D9E" w:rsidRDefault="00905D9E" w:rsidP="00905D9E">
      <w:pPr>
        <w:pStyle w:val="a0"/>
      </w:pPr>
      <w:r w:rsidRPr="00905D9E">
        <w:rPr>
          <w:b/>
          <w:bCs/>
        </w:rPr>
        <w:t>Overall role</w:t>
      </w:r>
    </w:p>
    <w:p w14:paraId="1E60AEBE" w14:textId="77777777" w:rsidR="00905D9E" w:rsidRPr="00905D9E" w:rsidRDefault="00905D9E" w:rsidP="00905D9E">
      <w:pPr>
        <w:pStyle w:val="a0"/>
        <w:numPr>
          <w:ilvl w:val="0"/>
          <w:numId w:val="122"/>
        </w:numPr>
      </w:pPr>
      <w:r w:rsidRPr="00905D9E">
        <w:t>The Business section is one of the longest and most detailed parts of the prospectus, giving investors a deep dive into the company’s operations and strategies.</w:t>
      </w:r>
    </w:p>
    <w:p w14:paraId="7E1C73F4" w14:textId="77777777" w:rsidR="00905D9E" w:rsidRPr="00905D9E" w:rsidRDefault="00905D9E" w:rsidP="00905D9E">
      <w:pPr>
        <w:pStyle w:val="a0"/>
        <w:numPr>
          <w:ilvl w:val="0"/>
          <w:numId w:val="122"/>
        </w:numPr>
      </w:pPr>
      <w:r w:rsidRPr="00905D9E">
        <w:t>The AI should organize this section into subsections covering all aspects of the business.</w:t>
      </w:r>
    </w:p>
    <w:p w14:paraId="24995C0A" w14:textId="77777777" w:rsidR="00905D9E" w:rsidRPr="00905D9E" w:rsidRDefault="00905D9E" w:rsidP="00905D9E">
      <w:pPr>
        <w:pStyle w:val="a0"/>
      </w:pPr>
      <w:r w:rsidRPr="00905D9E">
        <w:rPr>
          <w:b/>
          <w:bCs/>
        </w:rPr>
        <w:t>Core subsections to include</w:t>
      </w:r>
    </w:p>
    <w:p w14:paraId="2A6CC3FA" w14:textId="77777777" w:rsidR="00905D9E" w:rsidRPr="00905D9E" w:rsidRDefault="00905D9E" w:rsidP="00905D9E">
      <w:pPr>
        <w:pStyle w:val="a0"/>
        <w:numPr>
          <w:ilvl w:val="0"/>
          <w:numId w:val="123"/>
        </w:numPr>
      </w:pPr>
      <w:r w:rsidRPr="00905D9E">
        <w:t>Key elements to include are: Business Overview, Products and Services, Business Model, Sales and Marketing, Operations, Technology, Competitive Strengths, Growth Strategies, Intellectual Property, Employees, Properties, and Environmental/Social/Legal Compliance related to operations.</w:t>
      </w:r>
    </w:p>
    <w:p w14:paraId="29A70738" w14:textId="77777777" w:rsidR="00905D9E" w:rsidRPr="00905D9E" w:rsidRDefault="00905D9E" w:rsidP="00905D9E">
      <w:pPr>
        <w:pStyle w:val="a0"/>
      </w:pPr>
      <w:r w:rsidRPr="00905D9E">
        <w:rPr>
          <w:b/>
          <w:bCs/>
        </w:rPr>
        <w:t>Opening overview</w:t>
      </w:r>
    </w:p>
    <w:p w14:paraId="07CCA811" w14:textId="77777777" w:rsidR="00905D9E" w:rsidRPr="00905D9E" w:rsidRDefault="00905D9E" w:rsidP="00905D9E">
      <w:pPr>
        <w:pStyle w:val="a0"/>
        <w:numPr>
          <w:ilvl w:val="0"/>
          <w:numId w:val="124"/>
        </w:numPr>
      </w:pPr>
      <w:r w:rsidRPr="00905D9E">
        <w:t>It often begins with a general overview paragraph summing up what the company does and its position in the industry (e.g., “We are the largest and fastest-growing pop toy company in China, specializing in the design and sale of trendy collectible figurines.”).</w:t>
      </w:r>
    </w:p>
    <w:p w14:paraId="51585AE8" w14:textId="77777777" w:rsidR="00905D9E" w:rsidRPr="00905D9E" w:rsidRDefault="00905D9E" w:rsidP="00905D9E">
      <w:pPr>
        <w:pStyle w:val="a0"/>
      </w:pPr>
      <w:r w:rsidRPr="00905D9E">
        <w:rPr>
          <w:b/>
          <w:bCs/>
        </w:rPr>
        <w:t>Products and development</w:t>
      </w:r>
    </w:p>
    <w:p w14:paraId="45A4621A" w14:textId="77777777" w:rsidR="00905D9E" w:rsidRPr="00905D9E" w:rsidRDefault="00905D9E" w:rsidP="00905D9E">
      <w:pPr>
        <w:pStyle w:val="a0"/>
        <w:numPr>
          <w:ilvl w:val="0"/>
          <w:numId w:val="125"/>
        </w:numPr>
      </w:pPr>
      <w:r w:rsidRPr="00905D9E">
        <w:t>The AI should then delve into product lines or services: describing the main categories of products, the brands or IPs involved, and how the company develops them (for instance, an outline of the process of product design and collaboration with artists, since Pop Mart’s business involves IP collaborations).</w:t>
      </w:r>
    </w:p>
    <w:p w14:paraId="4E5467E5" w14:textId="77777777" w:rsidR="00905D9E" w:rsidRPr="00905D9E" w:rsidRDefault="00905D9E" w:rsidP="00905D9E">
      <w:pPr>
        <w:pStyle w:val="a0"/>
      </w:pPr>
      <w:r w:rsidRPr="00905D9E">
        <w:rPr>
          <w:b/>
          <w:bCs/>
        </w:rPr>
        <w:t>Business model and revenue streams</w:t>
      </w:r>
    </w:p>
    <w:p w14:paraId="17229DFA" w14:textId="77777777" w:rsidR="00905D9E" w:rsidRPr="00905D9E" w:rsidRDefault="00905D9E" w:rsidP="00905D9E">
      <w:pPr>
        <w:pStyle w:val="a0"/>
        <w:numPr>
          <w:ilvl w:val="0"/>
          <w:numId w:val="126"/>
        </w:numPr>
      </w:pPr>
      <w:r w:rsidRPr="00905D9E">
        <w:t>Next, it should describe the business model and revenue streams – how the company makes money.</w:t>
      </w:r>
    </w:p>
    <w:p w14:paraId="261334DF" w14:textId="77777777" w:rsidR="00905D9E" w:rsidRPr="00905D9E" w:rsidRDefault="00905D9E" w:rsidP="00905D9E">
      <w:pPr>
        <w:pStyle w:val="a0"/>
        <w:numPr>
          <w:ilvl w:val="0"/>
          <w:numId w:val="126"/>
        </w:numPr>
      </w:pPr>
      <w:r w:rsidRPr="00905D9E">
        <w:t>For a retail company like Pop Mart, this includes an explanation of sales channels (own retail stores, online store, vending machine “</w:t>
      </w:r>
      <w:proofErr w:type="spellStart"/>
      <w:r w:rsidRPr="00905D9E">
        <w:t>roboshops</w:t>
      </w:r>
      <w:proofErr w:type="spellEnd"/>
      <w:r w:rsidRPr="00905D9E">
        <w:t>”, wholesale to distributors, etc.) and their relative importance.</w:t>
      </w:r>
    </w:p>
    <w:p w14:paraId="49E01991" w14:textId="77777777" w:rsidR="00905D9E" w:rsidRPr="00905D9E" w:rsidRDefault="00905D9E" w:rsidP="00905D9E">
      <w:pPr>
        <w:pStyle w:val="a0"/>
        <w:numPr>
          <w:ilvl w:val="0"/>
          <w:numId w:val="126"/>
        </w:numPr>
      </w:pPr>
      <w:r w:rsidRPr="00905D9E">
        <w:t xml:space="preserve">The AI should highlight the number of outlets or presence (e.g., “As of June 30, 2020, we operated X flagship stores and Y </w:t>
      </w:r>
      <w:proofErr w:type="spellStart"/>
      <w:r w:rsidRPr="00905D9E">
        <w:t>roboshops</w:t>
      </w:r>
      <w:proofErr w:type="spellEnd"/>
      <w:r w:rsidRPr="00905D9E">
        <w:t>, and had a distribution network covering 21 countries.”).</w:t>
      </w:r>
    </w:p>
    <w:p w14:paraId="35419F40" w14:textId="77777777" w:rsidR="00905D9E" w:rsidRPr="00905D9E" w:rsidRDefault="00905D9E" w:rsidP="00905D9E">
      <w:pPr>
        <w:pStyle w:val="a0"/>
      </w:pPr>
      <w:r w:rsidRPr="00905D9E">
        <w:rPr>
          <w:b/>
          <w:bCs/>
        </w:rPr>
        <w:t>Competitive strengths</w:t>
      </w:r>
    </w:p>
    <w:p w14:paraId="31873058" w14:textId="77777777" w:rsidR="00905D9E" w:rsidRPr="00905D9E" w:rsidRDefault="00905D9E" w:rsidP="00905D9E">
      <w:pPr>
        <w:pStyle w:val="a0"/>
        <w:numPr>
          <w:ilvl w:val="0"/>
          <w:numId w:val="127"/>
        </w:numPr>
      </w:pPr>
      <w:r w:rsidRPr="00905D9E">
        <w:lastRenderedPageBreak/>
        <w:t>Then, competitive strengths: although not explicitly labeled in the contents for Pop Mart, prospectuses typically discuss why the company is successful – e.g., strong brand community (millions of registered members), integrated platform from IP creation to retail, etc.</w:t>
      </w:r>
    </w:p>
    <w:p w14:paraId="2A566E7F" w14:textId="77777777" w:rsidR="00905D9E" w:rsidRPr="00905D9E" w:rsidRDefault="00905D9E" w:rsidP="00905D9E">
      <w:pPr>
        <w:pStyle w:val="a0"/>
        <w:numPr>
          <w:ilvl w:val="0"/>
          <w:numId w:val="127"/>
        </w:numPr>
      </w:pPr>
      <w:r w:rsidRPr="00905D9E">
        <w:t>The AI should enumerate these strengths in a persuasive but factual tone, as subheadings or bold lead-ins, supported by facts (like community size, market share, unique model).</w:t>
      </w:r>
    </w:p>
    <w:p w14:paraId="50D9BF66" w14:textId="77777777" w:rsidR="00905D9E" w:rsidRPr="00905D9E" w:rsidRDefault="00905D9E" w:rsidP="00905D9E">
      <w:pPr>
        <w:pStyle w:val="a0"/>
      </w:pPr>
      <w:r w:rsidRPr="00905D9E">
        <w:rPr>
          <w:b/>
          <w:bCs/>
        </w:rPr>
        <w:t>Growth strategies</w:t>
      </w:r>
    </w:p>
    <w:p w14:paraId="4C908DE9" w14:textId="77777777" w:rsidR="00905D9E" w:rsidRPr="00905D9E" w:rsidRDefault="00905D9E" w:rsidP="00905D9E">
      <w:pPr>
        <w:pStyle w:val="a0"/>
        <w:numPr>
          <w:ilvl w:val="0"/>
          <w:numId w:val="128"/>
        </w:numPr>
      </w:pPr>
      <w:r w:rsidRPr="00905D9E">
        <w:t>Growth strategies usually follow, detailing how the company plans to expand – for example, international expansion, new product lines, more stores, digital initiatives, etc., showing a forward-looking plan (without making it a forward-looking statement – phrasing should be like “we intend to…”).</w:t>
      </w:r>
    </w:p>
    <w:p w14:paraId="60A10606" w14:textId="77777777" w:rsidR="00905D9E" w:rsidRPr="00905D9E" w:rsidRDefault="00905D9E" w:rsidP="00905D9E">
      <w:pPr>
        <w:pStyle w:val="a0"/>
      </w:pPr>
      <w:r w:rsidRPr="00905D9E">
        <w:rPr>
          <w:b/>
          <w:bCs/>
        </w:rPr>
        <w:t>Operations</w:t>
      </w:r>
    </w:p>
    <w:p w14:paraId="1C7100FA" w14:textId="77777777" w:rsidR="00905D9E" w:rsidRPr="00905D9E" w:rsidRDefault="00905D9E" w:rsidP="00905D9E">
      <w:pPr>
        <w:pStyle w:val="a0"/>
        <w:numPr>
          <w:ilvl w:val="0"/>
          <w:numId w:val="129"/>
        </w:numPr>
      </w:pPr>
      <w:r w:rsidRPr="00905D9E">
        <w:t>The Business section should also cover operational details: supply chain and manufacturing (does the company produce in-house or outsource? key suppliers, production capacity, quality control measures), logistics (how products are distributed), and inventory management.</w:t>
      </w:r>
    </w:p>
    <w:p w14:paraId="363F46C5" w14:textId="77777777" w:rsidR="00905D9E" w:rsidRPr="00905D9E" w:rsidRDefault="00905D9E" w:rsidP="00905D9E">
      <w:pPr>
        <w:pStyle w:val="a0"/>
        <w:numPr>
          <w:ilvl w:val="0"/>
          <w:numId w:val="129"/>
        </w:numPr>
      </w:pPr>
      <w:r w:rsidRPr="00905D9E">
        <w:t>Any seasonal fluctuation or backlog issues could be mentioned if relevant.</w:t>
      </w:r>
    </w:p>
    <w:p w14:paraId="348AC623" w14:textId="77777777" w:rsidR="00905D9E" w:rsidRPr="00905D9E" w:rsidRDefault="00905D9E" w:rsidP="00905D9E">
      <w:pPr>
        <w:pStyle w:val="a0"/>
      </w:pPr>
      <w:r w:rsidRPr="00905D9E">
        <w:rPr>
          <w:b/>
          <w:bCs/>
        </w:rPr>
        <w:t>Marketing &amp; customer engagement</w:t>
      </w:r>
    </w:p>
    <w:p w14:paraId="4AE00CFF" w14:textId="77777777" w:rsidR="00905D9E" w:rsidRPr="00905D9E" w:rsidRDefault="00905D9E" w:rsidP="00905D9E">
      <w:pPr>
        <w:pStyle w:val="a0"/>
        <w:numPr>
          <w:ilvl w:val="0"/>
          <w:numId w:val="130"/>
        </w:numPr>
      </w:pPr>
      <w:r w:rsidRPr="00905D9E">
        <w:t>Marketing and customer engagement is another area – e.g., description of membership programs, fan events (Pop Mart hosts toy conventions, etc.), social media presence (number of followers, app users).</w:t>
      </w:r>
    </w:p>
    <w:p w14:paraId="105F7C24" w14:textId="77777777" w:rsidR="00905D9E" w:rsidRPr="00905D9E" w:rsidRDefault="00905D9E" w:rsidP="00905D9E">
      <w:pPr>
        <w:pStyle w:val="a0"/>
        <w:numPr>
          <w:ilvl w:val="0"/>
          <w:numId w:val="130"/>
        </w:numPr>
      </w:pPr>
      <w:r w:rsidRPr="00905D9E">
        <w:t>The AI should mention these tangible metrics to illustrate how the company engages its customers.</w:t>
      </w:r>
    </w:p>
    <w:p w14:paraId="3A2A1AF7" w14:textId="77777777" w:rsidR="00905D9E" w:rsidRPr="00905D9E" w:rsidRDefault="00905D9E" w:rsidP="00905D9E">
      <w:pPr>
        <w:pStyle w:val="a0"/>
      </w:pPr>
      <w:r w:rsidRPr="00905D9E">
        <w:rPr>
          <w:b/>
          <w:bCs/>
        </w:rPr>
        <w:t>Intellectual property</w:t>
      </w:r>
    </w:p>
    <w:p w14:paraId="7C593DCF" w14:textId="77777777" w:rsidR="00905D9E" w:rsidRPr="00905D9E" w:rsidRDefault="00905D9E" w:rsidP="00905D9E">
      <w:pPr>
        <w:pStyle w:val="a0"/>
        <w:numPr>
          <w:ilvl w:val="0"/>
          <w:numId w:val="131"/>
        </w:numPr>
      </w:pPr>
      <w:r w:rsidRPr="00905D9E">
        <w:t>Intellectual Property: if the business relies on IP (own IP or licensed IP), detail how IP is acquired or licensed, how many proprietary characters the company has, and IP protection measures.</w:t>
      </w:r>
    </w:p>
    <w:p w14:paraId="06A5245D" w14:textId="77777777" w:rsidR="00905D9E" w:rsidRPr="00905D9E" w:rsidRDefault="00905D9E" w:rsidP="00905D9E">
      <w:pPr>
        <w:pStyle w:val="a0"/>
      </w:pPr>
      <w:r w:rsidRPr="00905D9E">
        <w:rPr>
          <w:b/>
          <w:bCs/>
        </w:rPr>
        <w:t>Competition positioning</w:t>
      </w:r>
    </w:p>
    <w:p w14:paraId="0870C880" w14:textId="77777777" w:rsidR="00905D9E" w:rsidRPr="00905D9E" w:rsidRDefault="00905D9E" w:rsidP="00905D9E">
      <w:pPr>
        <w:pStyle w:val="a0"/>
        <w:numPr>
          <w:ilvl w:val="0"/>
          <w:numId w:val="132"/>
        </w:numPr>
      </w:pPr>
      <w:r w:rsidRPr="00905D9E">
        <w:t>Competition: identify main competitors and on what basis the company competes (price, product uniqueness, brand, etc. – some of this info may have been in Industry section, but here it can be tailored to the company’s perspective).</w:t>
      </w:r>
    </w:p>
    <w:p w14:paraId="69C87944" w14:textId="77777777" w:rsidR="00905D9E" w:rsidRPr="00905D9E" w:rsidRDefault="00905D9E" w:rsidP="00905D9E">
      <w:pPr>
        <w:pStyle w:val="a0"/>
      </w:pPr>
      <w:r w:rsidRPr="00905D9E">
        <w:rPr>
          <w:b/>
          <w:bCs/>
        </w:rPr>
        <w:t>Operational regulatory compliance</w:t>
      </w:r>
    </w:p>
    <w:p w14:paraId="4AE10A55" w14:textId="77777777" w:rsidR="00905D9E" w:rsidRPr="00905D9E" w:rsidRDefault="00905D9E" w:rsidP="00905D9E">
      <w:pPr>
        <w:pStyle w:val="a0"/>
        <w:numPr>
          <w:ilvl w:val="0"/>
          <w:numId w:val="133"/>
        </w:numPr>
      </w:pPr>
      <w:r w:rsidRPr="00905D9E">
        <w:lastRenderedPageBreak/>
        <w:t>Regulatory compliance in operations: e.g., if there are specific regulations like safety standards or online sales laws, state that the company has obtained required licenses (with specifics, such as any license numbers or regulatory approvals if important).</w:t>
      </w:r>
    </w:p>
    <w:p w14:paraId="3656368C" w14:textId="77777777" w:rsidR="00905D9E" w:rsidRPr="00905D9E" w:rsidRDefault="00905D9E" w:rsidP="00905D9E">
      <w:pPr>
        <w:pStyle w:val="a0"/>
      </w:pPr>
      <w:r w:rsidRPr="00905D9E">
        <w:rPr>
          <w:b/>
          <w:bCs/>
        </w:rPr>
        <w:t>People, assets, and risk management</w:t>
      </w:r>
    </w:p>
    <w:p w14:paraId="24776045" w14:textId="77777777" w:rsidR="00905D9E" w:rsidRPr="00905D9E" w:rsidRDefault="00905D9E" w:rsidP="00905D9E">
      <w:pPr>
        <w:pStyle w:val="a0"/>
        <w:numPr>
          <w:ilvl w:val="0"/>
          <w:numId w:val="134"/>
        </w:numPr>
      </w:pPr>
      <w:r w:rsidRPr="00905D9E">
        <w:t>Employees and training: number of employees, how critical human capital is, maybe mention any specialized teams (like design team, R&amp;D team).</w:t>
      </w:r>
    </w:p>
    <w:p w14:paraId="12B4EE84" w14:textId="77777777" w:rsidR="00905D9E" w:rsidRPr="00905D9E" w:rsidRDefault="00905D9E" w:rsidP="00905D9E">
      <w:pPr>
        <w:pStyle w:val="a0"/>
        <w:numPr>
          <w:ilvl w:val="0"/>
          <w:numId w:val="134"/>
        </w:numPr>
      </w:pPr>
      <w:r w:rsidRPr="00905D9E">
        <w:t>Properties: list of principal properties like office headquarters, warehouses, etc., including if they are leased or owned.</w:t>
      </w:r>
    </w:p>
    <w:p w14:paraId="422F0150" w14:textId="77777777" w:rsidR="00905D9E" w:rsidRPr="00905D9E" w:rsidRDefault="00905D9E" w:rsidP="00905D9E">
      <w:pPr>
        <w:pStyle w:val="a0"/>
        <w:numPr>
          <w:ilvl w:val="0"/>
          <w:numId w:val="134"/>
        </w:numPr>
      </w:pPr>
      <w:r w:rsidRPr="00905D9E">
        <w:t>Insurance: mention coverage (e.g., “we maintain insurance policies including product liability, property insurance, etc., in line with industry practice”).</w:t>
      </w:r>
    </w:p>
    <w:p w14:paraId="20523F38" w14:textId="77777777" w:rsidR="00905D9E" w:rsidRPr="00905D9E" w:rsidRDefault="00905D9E" w:rsidP="00905D9E">
      <w:pPr>
        <w:pStyle w:val="a0"/>
      </w:pPr>
      <w:r w:rsidRPr="00905D9E">
        <w:rPr>
          <w:b/>
          <w:bCs/>
        </w:rPr>
        <w:t>Granularity expectation</w:t>
      </w:r>
    </w:p>
    <w:p w14:paraId="0E500311" w14:textId="77777777" w:rsidR="00905D9E" w:rsidRPr="00905D9E" w:rsidRDefault="00905D9E" w:rsidP="00905D9E">
      <w:pPr>
        <w:pStyle w:val="a0"/>
        <w:numPr>
          <w:ilvl w:val="0"/>
          <w:numId w:val="135"/>
        </w:numPr>
      </w:pPr>
      <w:r w:rsidRPr="00905D9E">
        <w:t>Throughout, the granularity is high: this section is meant to be very informative.</w:t>
      </w:r>
    </w:p>
    <w:p w14:paraId="2E924DBD" w14:textId="77777777" w:rsidR="00905D9E" w:rsidRPr="00905D9E" w:rsidRDefault="00905D9E" w:rsidP="00905D9E">
      <w:pPr>
        <w:pStyle w:val="a0"/>
        <w:numPr>
          <w:ilvl w:val="0"/>
          <w:numId w:val="135"/>
        </w:numPr>
      </w:pPr>
      <w:r w:rsidRPr="00905D9E">
        <w:t>The AI should include concrete numbers and examples wherever possible (store counts, user counts, years of experience, etc.), drawn from the prospectus data.</w:t>
      </w:r>
    </w:p>
    <w:p w14:paraId="3DBD05BB" w14:textId="77777777" w:rsidR="00905D9E" w:rsidRPr="00905D9E" w:rsidRDefault="00905D9E" w:rsidP="00905D9E">
      <w:pPr>
        <w:pStyle w:val="a0"/>
      </w:pPr>
      <w:r w:rsidRPr="00905D9E">
        <w:rPr>
          <w:b/>
          <w:bCs/>
        </w:rPr>
        <w:t>Illustrative metrics and unique components</w:t>
      </w:r>
    </w:p>
    <w:p w14:paraId="1791A802" w14:textId="77777777" w:rsidR="00905D9E" w:rsidRPr="00905D9E" w:rsidRDefault="00905D9E" w:rsidP="00905D9E">
      <w:pPr>
        <w:pStyle w:val="a0"/>
        <w:numPr>
          <w:ilvl w:val="0"/>
          <w:numId w:val="136"/>
        </w:numPr>
      </w:pPr>
      <w:r w:rsidRPr="00905D9E">
        <w:t>For instance, including specific membership numbers (“3.6 million registered members as of June 30, 2020”), or distribution footprint (“21 overseas countries and regions”).</w:t>
      </w:r>
    </w:p>
    <w:p w14:paraId="49E71CBB" w14:textId="77777777" w:rsidR="00905D9E" w:rsidRPr="00905D9E" w:rsidRDefault="00905D9E" w:rsidP="00905D9E">
      <w:pPr>
        <w:pStyle w:val="a0"/>
        <w:numPr>
          <w:ilvl w:val="0"/>
          <w:numId w:val="136"/>
        </w:numPr>
      </w:pPr>
      <w:r w:rsidRPr="00905D9E">
        <w:t>It should also incorporate any unique business components – e.g., for Pop Mart, mention the concept of “blind boxes” and how they drive consumer excitement, and the use of data analytics or “big data and AI technologies” to track customer preferences.</w:t>
      </w:r>
    </w:p>
    <w:p w14:paraId="42462121" w14:textId="77777777" w:rsidR="00905D9E" w:rsidRPr="00905D9E" w:rsidRDefault="00905D9E" w:rsidP="00905D9E">
      <w:pPr>
        <w:pStyle w:val="a0"/>
      </w:pPr>
      <w:r w:rsidRPr="00905D9E">
        <w:rPr>
          <w:b/>
          <w:bCs/>
        </w:rPr>
        <w:t>Tone</w:t>
      </w:r>
    </w:p>
    <w:p w14:paraId="1771B7BF" w14:textId="77777777" w:rsidR="00905D9E" w:rsidRPr="00905D9E" w:rsidRDefault="00905D9E" w:rsidP="00905D9E">
      <w:pPr>
        <w:pStyle w:val="a0"/>
        <w:numPr>
          <w:ilvl w:val="0"/>
          <w:numId w:val="137"/>
        </w:numPr>
      </w:pPr>
      <w:r w:rsidRPr="00905D9E">
        <w:t>The tone is descriptive and confident, but not promotional; it should showcase the business in a positive light by highlighting strengths and achievements, yet remain grounded in factual statements (since everything must be supportable).</w:t>
      </w:r>
    </w:p>
    <w:p w14:paraId="00A2DC2E" w14:textId="77777777" w:rsidR="00905D9E" w:rsidRPr="00905D9E" w:rsidRDefault="00905D9E" w:rsidP="00905D9E">
      <w:pPr>
        <w:pStyle w:val="a0"/>
        <w:numPr>
          <w:ilvl w:val="0"/>
          <w:numId w:val="137"/>
        </w:numPr>
      </w:pPr>
      <w:r w:rsidRPr="00905D9E">
        <w:t>Using present tense for current operations and past tense for history is appropriate, and occasionally future tense for planned strategies.</w:t>
      </w:r>
    </w:p>
    <w:p w14:paraId="02E57043" w14:textId="77777777" w:rsidR="00905D9E" w:rsidRPr="00905D9E" w:rsidRDefault="00905D9E" w:rsidP="00905D9E">
      <w:pPr>
        <w:pStyle w:val="a0"/>
      </w:pPr>
      <w:r w:rsidRPr="00905D9E">
        <w:rPr>
          <w:b/>
          <w:bCs/>
        </w:rPr>
        <w:t>Outcome</w:t>
      </w:r>
    </w:p>
    <w:p w14:paraId="37105983" w14:textId="77777777" w:rsidR="00905D9E" w:rsidRPr="00905D9E" w:rsidRDefault="00905D9E" w:rsidP="00905D9E">
      <w:pPr>
        <w:pStyle w:val="a0"/>
        <w:numPr>
          <w:ilvl w:val="0"/>
          <w:numId w:val="138"/>
        </w:numPr>
      </w:pPr>
      <w:r w:rsidRPr="00905D9E">
        <w:lastRenderedPageBreak/>
        <w:t>By thoroughly covering who the company is, what it does, how it does it, and why it believes it can succeed, this section provides investors with a foundation to evaluate the company’s commercial viability.</w:t>
      </w:r>
    </w:p>
    <w:p w14:paraId="0EA8C8D5" w14:textId="77777777" w:rsidR="0074610B" w:rsidRPr="0074610B" w:rsidRDefault="0074610B" w:rsidP="0074610B">
      <w:pPr>
        <w:pStyle w:val="a0"/>
      </w:pPr>
      <w:r w:rsidRPr="0074610B">
        <w:rPr>
          <w:b/>
          <w:bCs/>
        </w:rPr>
        <w:t>Sponsor Counsel Enhancements:</w:t>
      </w:r>
    </w:p>
    <w:p w14:paraId="7C2D50E4" w14:textId="77777777" w:rsidR="0074610B" w:rsidRPr="0074610B" w:rsidRDefault="0074610B" w:rsidP="0074610B">
      <w:pPr>
        <w:pStyle w:val="a0"/>
        <w:numPr>
          <w:ilvl w:val="0"/>
          <w:numId w:val="18"/>
        </w:numPr>
      </w:pPr>
      <w:r w:rsidRPr="0074610B">
        <w:t>If issuer is 18C Pre</w:t>
      </w:r>
      <w:r w:rsidRPr="0074610B">
        <w:noBreakHyphen/>
        <w:t xml:space="preserve">Commercial, ensure Business chapter explicitly supports a “credible path to </w:t>
      </w:r>
      <w:proofErr w:type="spellStart"/>
      <w:r w:rsidRPr="0074610B">
        <w:t>commercialisation</w:t>
      </w:r>
      <w:proofErr w:type="spellEnd"/>
      <w:r w:rsidRPr="0074610B">
        <w:t>” (18C.06) and is consistent with funding/runway disclosures in Financial Information and Use of Proceeds. </w:t>
      </w:r>
    </w:p>
    <w:p w14:paraId="71853FE6" w14:textId="77777777" w:rsidR="0074610B" w:rsidRPr="0074610B" w:rsidRDefault="0074610B" w:rsidP="0074610B">
      <w:pPr>
        <w:pStyle w:val="a0"/>
        <w:numPr>
          <w:ilvl w:val="0"/>
          <w:numId w:val="18"/>
        </w:numPr>
      </w:pPr>
      <w:r w:rsidRPr="0074610B">
        <w:t>Data security and internet services: include the HKEX Guide Chapter 3.7 checklist. </w:t>
      </w:r>
    </w:p>
    <w:p w14:paraId="1FF14B2D" w14:textId="77777777" w:rsidR="0074610B" w:rsidRPr="0074610B" w:rsidRDefault="0074610B" w:rsidP="0074610B">
      <w:pPr>
        <w:pStyle w:val="a0"/>
        <w:numPr>
          <w:ilvl w:val="0"/>
          <w:numId w:val="18"/>
        </w:numPr>
      </w:pPr>
      <w:r w:rsidRPr="0074610B">
        <w:t xml:space="preserve">Avoid “top performing globally” type claims unless benchmarked, scoped, and sourced; this is directly relevant given </w:t>
      </w:r>
      <w:proofErr w:type="spellStart"/>
      <w:r w:rsidRPr="0074610B">
        <w:t>MiniMax</w:t>
      </w:r>
      <w:proofErr w:type="spellEnd"/>
      <w:r w:rsidRPr="0074610B">
        <w:t xml:space="preserve"> Summary uses such language (p.13/716). </w:t>
      </w:r>
    </w:p>
    <w:p w14:paraId="06DDB120" w14:textId="77777777" w:rsidR="0074610B" w:rsidRPr="0074610B" w:rsidRDefault="0074610B" w:rsidP="0074610B">
      <w:pPr>
        <w:pStyle w:val="a0"/>
      </w:pPr>
      <w:r w:rsidRPr="0074610B">
        <w:rPr>
          <w:b/>
          <w:bCs/>
        </w:rPr>
        <w:t>Enhanced sample paragraph:</w:t>
      </w:r>
      <w:r w:rsidRPr="0074610B">
        <w:br/>
        <w:t>“This section explains the material components of our business operations, including our product and service offerings, key technology and know</w:t>
      </w:r>
      <w:r w:rsidRPr="0074610B">
        <w:noBreakHyphen/>
        <w:t xml:space="preserve">how, principal revenue streams and </w:t>
      </w:r>
      <w:proofErr w:type="spellStart"/>
      <w:r w:rsidRPr="0074610B">
        <w:t>monetisation</w:t>
      </w:r>
      <w:proofErr w:type="spellEnd"/>
      <w:r w:rsidRPr="0074610B">
        <w:t xml:space="preserve"> methods, and our key operational metrics. We describe our research and development activities, including how R&amp;D contributes to our products and competitive position, and disclose material terms of cooperation arrangements with third parties where relevant (including intellectual property ownership and enforceability). Where our operations involve internet information services and the processing of personal data, we disclose the regulatory framework, the types of personal data involved, our data protection measures across the data lifecycle, our compliance status in relevant jurisdictions, and any incidents of material data leakage (if any). [[</w:t>
      </w:r>
      <w:proofErr w:type="spellStart"/>
      <w:r w:rsidRPr="0074610B">
        <w:t>AI:XREF|to</w:t>
      </w:r>
      <w:proofErr w:type="spellEnd"/>
      <w:r w:rsidRPr="0074610B">
        <w:t>=Regulatory Overview]] [[</w:t>
      </w:r>
      <w:proofErr w:type="spellStart"/>
      <w:r w:rsidRPr="0074610B">
        <w:t>AI:XREF|to</w:t>
      </w:r>
      <w:proofErr w:type="spellEnd"/>
      <w:r w:rsidRPr="0074610B">
        <w:t>=Risk Factors]] [[</w:t>
      </w:r>
      <w:proofErr w:type="spellStart"/>
      <w:r w:rsidRPr="0074610B">
        <w:t>AI:VERIFY|evidence</w:t>
      </w:r>
      <w:proofErr w:type="spellEnd"/>
      <w:r w:rsidRPr="0074610B">
        <w:t>=R&amp;D org charts, key agreements, privacy policies, incident logs]]” </w:t>
      </w:r>
    </w:p>
    <w:p w14:paraId="01E0DFD0" w14:textId="77777777" w:rsidR="0074610B" w:rsidRPr="0074610B" w:rsidRDefault="0074610B" w:rsidP="0074610B">
      <w:pPr>
        <w:pStyle w:val="a0"/>
        <w:rPr>
          <w:b/>
          <w:bCs/>
          <w:i/>
          <w:iCs/>
          <w:sz w:val="28"/>
          <w:szCs w:val="28"/>
        </w:rPr>
      </w:pPr>
      <w:r w:rsidRPr="0074610B">
        <w:rPr>
          <w:b/>
          <w:bCs/>
          <w:i/>
          <w:iCs/>
          <w:sz w:val="28"/>
          <w:szCs w:val="28"/>
        </w:rPr>
        <w:t>Contractual Arrangements (Variable Interest Entities)</w:t>
      </w:r>
    </w:p>
    <w:p w14:paraId="7D814BCA" w14:textId="77777777" w:rsidR="00905D9E" w:rsidRPr="00905D9E" w:rsidRDefault="00905D9E" w:rsidP="00905D9E">
      <w:pPr>
        <w:pStyle w:val="a0"/>
        <w:numPr>
          <w:ilvl w:val="0"/>
          <w:numId w:val="19"/>
        </w:numPr>
      </w:pPr>
      <w:r w:rsidRPr="00905D9E">
        <w:rPr>
          <w:b/>
          <w:bCs/>
        </w:rPr>
        <w:t>When this section appears</w:t>
      </w:r>
    </w:p>
    <w:p w14:paraId="644589E7" w14:textId="77777777" w:rsidR="00905D9E" w:rsidRPr="00905D9E" w:rsidRDefault="00905D9E" w:rsidP="00905D9E">
      <w:pPr>
        <w:pStyle w:val="a0"/>
        <w:numPr>
          <w:ilvl w:val="0"/>
          <w:numId w:val="19"/>
        </w:numPr>
      </w:pPr>
      <w:r w:rsidRPr="00905D9E">
        <w:t>If the company operates through a Variable Interest Entity (VIE) structure due to foreign investment restrictions (common for Chinese issuers in restricted sectors), this dedicated section explains those arrangements.</w:t>
      </w:r>
    </w:p>
    <w:p w14:paraId="5AC85721" w14:textId="77777777" w:rsidR="00905D9E" w:rsidRPr="00905D9E" w:rsidRDefault="00905D9E" w:rsidP="00905D9E">
      <w:pPr>
        <w:pStyle w:val="a0"/>
        <w:numPr>
          <w:ilvl w:val="0"/>
          <w:numId w:val="19"/>
        </w:numPr>
      </w:pPr>
      <w:r w:rsidRPr="00905D9E">
        <w:rPr>
          <w:b/>
          <w:bCs/>
        </w:rPr>
        <w:t>Opening explanation</w:t>
      </w:r>
    </w:p>
    <w:p w14:paraId="52C382A0" w14:textId="77777777" w:rsidR="00905D9E" w:rsidRPr="00905D9E" w:rsidRDefault="00905D9E" w:rsidP="00905D9E">
      <w:pPr>
        <w:pStyle w:val="a0"/>
        <w:numPr>
          <w:ilvl w:val="0"/>
          <w:numId w:val="19"/>
        </w:numPr>
      </w:pPr>
      <w:r w:rsidRPr="00905D9E">
        <w:t>The AI should begin by stating why contractual arrangements are needed: which part of the business cannot be directly owned by the listing entity due to regulations.</w:t>
      </w:r>
    </w:p>
    <w:p w14:paraId="317714B5" w14:textId="77777777" w:rsidR="00905D9E" w:rsidRPr="00905D9E" w:rsidRDefault="00905D9E" w:rsidP="00905D9E">
      <w:pPr>
        <w:pStyle w:val="a0"/>
        <w:numPr>
          <w:ilvl w:val="0"/>
          <w:numId w:val="19"/>
        </w:numPr>
      </w:pPr>
      <w:r w:rsidRPr="00905D9E">
        <w:t xml:space="preserve">For example, “We launched </w:t>
      </w:r>
      <w:proofErr w:type="spellStart"/>
      <w:r w:rsidRPr="00905D9E">
        <w:t>Paqu</w:t>
      </w:r>
      <w:proofErr w:type="spellEnd"/>
      <w:r w:rsidRPr="00905D9E">
        <w:t xml:space="preserve"> </w:t>
      </w:r>
      <w:proofErr w:type="spellStart"/>
      <w:r w:rsidRPr="00905D9E">
        <w:t>Huyu</w:t>
      </w:r>
      <w:proofErr w:type="spellEnd"/>
      <w:r w:rsidRPr="00905D9E">
        <w:t xml:space="preserve">, our online platform for pop toy culture services, which is subject to PRC laws restricting foreign ownership </w:t>
      </w:r>
      <w:r w:rsidRPr="00905D9E">
        <w:lastRenderedPageBreak/>
        <w:t>of internet content service providers. As a result, we conduct that portion of our business through contractual arrangements with a domestic entity”.</w:t>
      </w:r>
    </w:p>
    <w:p w14:paraId="406242C3" w14:textId="77777777" w:rsidR="00905D9E" w:rsidRPr="00905D9E" w:rsidRDefault="00905D9E" w:rsidP="00905D9E">
      <w:pPr>
        <w:pStyle w:val="a0"/>
        <w:numPr>
          <w:ilvl w:val="0"/>
          <w:numId w:val="19"/>
        </w:numPr>
      </w:pPr>
      <w:r w:rsidRPr="00905D9E">
        <w:rPr>
          <w:b/>
          <w:bCs/>
        </w:rPr>
        <w:t>Structure description</w:t>
      </w:r>
    </w:p>
    <w:p w14:paraId="14A818F8" w14:textId="77777777" w:rsidR="00905D9E" w:rsidRPr="00905D9E" w:rsidRDefault="00905D9E" w:rsidP="00905D9E">
      <w:pPr>
        <w:pStyle w:val="a0"/>
        <w:numPr>
          <w:ilvl w:val="0"/>
          <w:numId w:val="19"/>
        </w:numPr>
      </w:pPr>
      <w:r w:rsidRPr="00905D9E">
        <w:t>It should then describe the structure: name the wholly foreign-owned enterprise (WFOE) that the company owns, the operating company (VIE) held by PRC nationals (often founders or designees), and state that a series of contracts between them confer control and economic benefits of the VIE to the listed group.</w:t>
      </w:r>
    </w:p>
    <w:p w14:paraId="0FD2ABAD" w14:textId="77777777" w:rsidR="00905D9E" w:rsidRPr="00905D9E" w:rsidRDefault="00905D9E" w:rsidP="00905D9E">
      <w:pPr>
        <w:pStyle w:val="a0"/>
        <w:numPr>
          <w:ilvl w:val="0"/>
          <w:numId w:val="19"/>
        </w:numPr>
      </w:pPr>
      <w:r w:rsidRPr="00905D9E">
        <w:rPr>
          <w:b/>
          <w:bCs/>
        </w:rPr>
        <w:t>Agreements that must be covered</w:t>
      </w:r>
    </w:p>
    <w:p w14:paraId="2010CD90" w14:textId="77777777" w:rsidR="00905D9E" w:rsidRPr="00905D9E" w:rsidRDefault="00905D9E" w:rsidP="00905D9E">
      <w:pPr>
        <w:pStyle w:val="a0"/>
        <w:numPr>
          <w:ilvl w:val="0"/>
          <w:numId w:val="19"/>
        </w:numPr>
      </w:pPr>
      <w:r w:rsidRPr="00905D9E">
        <w:t>The information framework must detail each major agreement in the VIE structure: typically, (</w:t>
      </w:r>
      <w:proofErr w:type="spellStart"/>
      <w:r w:rsidRPr="00905D9E">
        <w:t>i</w:t>
      </w:r>
      <w:proofErr w:type="spellEnd"/>
      <w:r w:rsidRPr="00905D9E">
        <w:t>) Exclusive Business Cooperation/Service Agreement (for transferring fees), (ii) Equity Pledge Agreement (securing the VIE owners’ shares to the WFOE), (iii) Exclusive Option Agreement (WFOE’s right to acquire the VIE equity), (iv) Powers of Attorney or Shareholders’ Voting Proxy (authorizing WFOE/its designee to exercise voting rights of the VIE’s shareholders).</w:t>
      </w:r>
    </w:p>
    <w:p w14:paraId="3FAACC41" w14:textId="77777777" w:rsidR="00905D9E" w:rsidRPr="00905D9E" w:rsidRDefault="00905D9E" w:rsidP="00905D9E">
      <w:pPr>
        <w:pStyle w:val="a0"/>
        <w:numPr>
          <w:ilvl w:val="0"/>
          <w:numId w:val="19"/>
        </w:numPr>
      </w:pPr>
      <w:r w:rsidRPr="00905D9E">
        <w:t>The AI should summarize what each of these contracts does.</w:t>
      </w:r>
    </w:p>
    <w:p w14:paraId="166AA345" w14:textId="77777777" w:rsidR="00905D9E" w:rsidRPr="00905D9E" w:rsidRDefault="00905D9E" w:rsidP="00905D9E">
      <w:pPr>
        <w:pStyle w:val="a0"/>
        <w:numPr>
          <w:ilvl w:val="0"/>
          <w:numId w:val="19"/>
        </w:numPr>
      </w:pPr>
      <w:r w:rsidRPr="00905D9E">
        <w:rPr>
          <w:b/>
          <w:bCs/>
        </w:rPr>
        <w:t>Illustrative explanation</w:t>
      </w:r>
    </w:p>
    <w:p w14:paraId="140656C0" w14:textId="77777777" w:rsidR="00905D9E" w:rsidRPr="00905D9E" w:rsidRDefault="00905D9E" w:rsidP="00905D9E">
      <w:pPr>
        <w:pStyle w:val="a0"/>
        <w:numPr>
          <w:ilvl w:val="0"/>
          <w:numId w:val="19"/>
        </w:numPr>
      </w:pPr>
      <w:r w:rsidRPr="00905D9E">
        <w:t>For instance: “Under the Exclusive Option Agreement, the WFOE has the right to purchase all or part of the equity interests in the VIE at a nominal price, when permitted by Chinese law.”</w:t>
      </w:r>
    </w:p>
    <w:p w14:paraId="523ABE91" w14:textId="77777777" w:rsidR="00905D9E" w:rsidRPr="00905D9E" w:rsidRDefault="00905D9E" w:rsidP="00905D9E">
      <w:pPr>
        <w:pStyle w:val="a0"/>
        <w:numPr>
          <w:ilvl w:val="0"/>
          <w:numId w:val="19"/>
        </w:numPr>
      </w:pPr>
      <w:r w:rsidRPr="00905D9E">
        <w:rPr>
          <w:b/>
          <w:bCs/>
        </w:rPr>
        <w:t>Consolidation and diagrams</w:t>
      </w:r>
    </w:p>
    <w:p w14:paraId="32ADB112" w14:textId="77777777" w:rsidR="00905D9E" w:rsidRPr="00905D9E" w:rsidRDefault="00905D9E" w:rsidP="00905D9E">
      <w:pPr>
        <w:pStyle w:val="a0"/>
        <w:numPr>
          <w:ilvl w:val="0"/>
          <w:numId w:val="19"/>
        </w:numPr>
      </w:pPr>
      <w:r w:rsidRPr="00905D9E">
        <w:t>It should also mention that through these contracts, the company is able to consolidate the VIE’s results in its financial statements as if it were a subsidiary.</w:t>
      </w:r>
    </w:p>
    <w:p w14:paraId="4C6EC4B3" w14:textId="77777777" w:rsidR="00905D9E" w:rsidRPr="00905D9E" w:rsidRDefault="00905D9E" w:rsidP="00905D9E">
      <w:pPr>
        <w:pStyle w:val="a0"/>
        <w:numPr>
          <w:ilvl w:val="0"/>
          <w:numId w:val="19"/>
        </w:numPr>
      </w:pPr>
      <w:r w:rsidRPr="00905D9E">
        <w:t xml:space="preserve">A diagram is often used in the prospectus; the AI can describe it textually, e.g., “(See diagram illustrating the flow of control: our WFOE, Beijing Pop Mart, has contracts with </w:t>
      </w:r>
      <w:proofErr w:type="spellStart"/>
      <w:r w:rsidRPr="00905D9E">
        <w:t>Paqu</w:t>
      </w:r>
      <w:proofErr w:type="spellEnd"/>
      <w:r w:rsidRPr="00905D9E">
        <w:t xml:space="preserve"> </w:t>
      </w:r>
      <w:proofErr w:type="spellStart"/>
      <w:r w:rsidRPr="00905D9E">
        <w:t>Huyu</w:t>
      </w:r>
      <w:proofErr w:type="spellEnd"/>
      <w:r w:rsidRPr="00905D9E">
        <w:t xml:space="preserve"> and its shareholders that give us effective control and allow transfer of profits to our Group.)”</w:t>
      </w:r>
    </w:p>
    <w:p w14:paraId="507CD39A" w14:textId="77777777" w:rsidR="00905D9E" w:rsidRPr="00905D9E" w:rsidRDefault="00905D9E" w:rsidP="00905D9E">
      <w:pPr>
        <w:pStyle w:val="a0"/>
        <w:numPr>
          <w:ilvl w:val="0"/>
          <w:numId w:val="19"/>
        </w:numPr>
      </w:pPr>
      <w:r w:rsidRPr="00905D9E">
        <w:rPr>
          <w:b/>
          <w:bCs/>
        </w:rPr>
        <w:t>Risk acknowledgment</w:t>
      </w:r>
    </w:p>
    <w:p w14:paraId="5FCEAD36" w14:textId="77777777" w:rsidR="00905D9E" w:rsidRPr="00905D9E" w:rsidRDefault="00905D9E" w:rsidP="00905D9E">
      <w:pPr>
        <w:pStyle w:val="a0"/>
        <w:numPr>
          <w:ilvl w:val="0"/>
          <w:numId w:val="19"/>
        </w:numPr>
      </w:pPr>
      <w:r w:rsidRPr="00905D9E">
        <w:t>The section must also candidly highlight the risks of this arrangement (though detailed risks appear in Risk Factors, here a brief mention is good): e.g., that the contracts may not be as effective as direct ownership and that if the VIE shareholders fail to perform their obligations or if PRC authorities found the setup illegal, the company’s business could be materially affected.</w:t>
      </w:r>
    </w:p>
    <w:p w14:paraId="16D7CA89" w14:textId="77777777" w:rsidR="00905D9E" w:rsidRPr="00905D9E" w:rsidRDefault="00905D9E" w:rsidP="00905D9E">
      <w:pPr>
        <w:pStyle w:val="a0"/>
        <w:numPr>
          <w:ilvl w:val="0"/>
          <w:numId w:val="19"/>
        </w:numPr>
      </w:pPr>
      <w:r w:rsidRPr="00905D9E">
        <w:lastRenderedPageBreak/>
        <w:t>It should reference that investors are buying shares of the Cayman entity which does not directly own the restricted business assets.</w:t>
      </w:r>
    </w:p>
    <w:p w14:paraId="6F819C0B" w14:textId="77777777" w:rsidR="00905D9E" w:rsidRPr="00905D9E" w:rsidRDefault="00905D9E" w:rsidP="00905D9E">
      <w:pPr>
        <w:pStyle w:val="a0"/>
        <w:numPr>
          <w:ilvl w:val="0"/>
          <w:numId w:val="19"/>
        </w:numPr>
      </w:pPr>
      <w:r w:rsidRPr="00905D9E">
        <w:rPr>
          <w:b/>
          <w:bCs/>
        </w:rPr>
        <w:t>Legal opinions</w:t>
      </w:r>
    </w:p>
    <w:p w14:paraId="5A4C4DA0" w14:textId="77777777" w:rsidR="00905D9E" w:rsidRPr="00905D9E" w:rsidRDefault="00905D9E" w:rsidP="00905D9E">
      <w:pPr>
        <w:pStyle w:val="a0"/>
        <w:numPr>
          <w:ilvl w:val="0"/>
          <w:numId w:val="19"/>
        </w:numPr>
      </w:pPr>
      <w:r w:rsidRPr="00905D9E">
        <w:t>Additionally, it should confirm whether the company’s PRC legal counsel has advised that these contracts are valid and enforceable under PRC law (this is usually stated, albeit with the caveat of uncertainties in enforcement).</w:t>
      </w:r>
    </w:p>
    <w:p w14:paraId="3C4AE83D" w14:textId="77777777" w:rsidR="00905D9E" w:rsidRPr="00905D9E" w:rsidRDefault="00905D9E" w:rsidP="00905D9E">
      <w:pPr>
        <w:pStyle w:val="a0"/>
        <w:numPr>
          <w:ilvl w:val="0"/>
          <w:numId w:val="19"/>
        </w:numPr>
      </w:pPr>
      <w:r w:rsidRPr="00905D9E">
        <w:rPr>
          <w:b/>
          <w:bCs/>
        </w:rPr>
        <w:t>Granularity requirements</w:t>
      </w:r>
    </w:p>
    <w:p w14:paraId="20BC4254" w14:textId="77777777" w:rsidR="00905D9E" w:rsidRPr="00905D9E" w:rsidRDefault="00905D9E" w:rsidP="00905D9E">
      <w:pPr>
        <w:pStyle w:val="a0"/>
        <w:numPr>
          <w:ilvl w:val="0"/>
          <w:numId w:val="19"/>
        </w:numPr>
      </w:pPr>
      <w:r w:rsidRPr="00905D9E">
        <w:t>Granularity is important: list the actual names of the entities involved (WFOE name, VIE name) and the specific contracts.</w:t>
      </w:r>
    </w:p>
    <w:p w14:paraId="71496602" w14:textId="77777777" w:rsidR="00905D9E" w:rsidRPr="00905D9E" w:rsidRDefault="00905D9E" w:rsidP="00905D9E">
      <w:pPr>
        <w:pStyle w:val="a0"/>
        <w:numPr>
          <w:ilvl w:val="0"/>
          <w:numId w:val="19"/>
        </w:numPr>
      </w:pPr>
      <w:r w:rsidRPr="00905D9E">
        <w:t>If there are any unique terms or arrangements (like arrangements to ensure the VIE’s profits get transferred as fees or loans), describe those.</w:t>
      </w:r>
    </w:p>
    <w:p w14:paraId="27DB3E3C" w14:textId="77777777" w:rsidR="00905D9E" w:rsidRPr="00905D9E" w:rsidRDefault="00905D9E" w:rsidP="00905D9E">
      <w:pPr>
        <w:pStyle w:val="a0"/>
        <w:numPr>
          <w:ilvl w:val="0"/>
          <w:numId w:val="19"/>
        </w:numPr>
      </w:pPr>
      <w:r w:rsidRPr="00905D9E">
        <w:t>Also, mention any regulatory approval or filing of these agreements if applicable.</w:t>
      </w:r>
    </w:p>
    <w:p w14:paraId="20EF3FAB" w14:textId="77777777" w:rsidR="00905D9E" w:rsidRPr="00905D9E" w:rsidRDefault="00905D9E" w:rsidP="00905D9E">
      <w:pPr>
        <w:pStyle w:val="a0"/>
        <w:numPr>
          <w:ilvl w:val="0"/>
          <w:numId w:val="19"/>
        </w:numPr>
      </w:pPr>
      <w:r w:rsidRPr="00905D9E">
        <w:rPr>
          <w:b/>
          <w:bCs/>
        </w:rPr>
        <w:t>Clarity for non-specialist investors</w:t>
      </w:r>
    </w:p>
    <w:p w14:paraId="156A3B9F" w14:textId="77777777" w:rsidR="00905D9E" w:rsidRPr="00905D9E" w:rsidRDefault="00905D9E" w:rsidP="00905D9E">
      <w:pPr>
        <w:pStyle w:val="a0"/>
        <w:numPr>
          <w:ilvl w:val="0"/>
          <w:numId w:val="19"/>
        </w:numPr>
      </w:pPr>
      <w:r w:rsidRPr="00905D9E">
        <w:t>The AI should ensure the explanation remains clear to an investor who may not be familiar with VIE structures – essentially conveying that “although we don’t legally own part of our business, we control it via contracts”.</w:t>
      </w:r>
    </w:p>
    <w:p w14:paraId="277DF497" w14:textId="77777777" w:rsidR="00905D9E" w:rsidRPr="00905D9E" w:rsidRDefault="00905D9E" w:rsidP="00905D9E">
      <w:pPr>
        <w:pStyle w:val="a0"/>
        <w:numPr>
          <w:ilvl w:val="0"/>
          <w:numId w:val="19"/>
        </w:numPr>
      </w:pPr>
      <w:r w:rsidRPr="00905D9E">
        <w:rPr>
          <w:b/>
          <w:bCs/>
        </w:rPr>
        <w:t>Tone and compliance</w:t>
      </w:r>
    </w:p>
    <w:p w14:paraId="59C0C889" w14:textId="46C9A0A9" w:rsidR="0074610B" w:rsidRPr="0074610B" w:rsidRDefault="00905D9E" w:rsidP="00905D9E">
      <w:pPr>
        <w:pStyle w:val="a0"/>
        <w:numPr>
          <w:ilvl w:val="0"/>
          <w:numId w:val="19"/>
        </w:numPr>
      </w:pPr>
      <w:r w:rsidRPr="00905D9E">
        <w:t>This section is crucial for compliance and transparency due to the complex nature of VIEs, and the AI’s output should reflect the formal, cautious tone, emphasizing that this is common practice in restricted sectors in China and that the company has taken steps to mitigate associated risks.</w:t>
      </w:r>
    </w:p>
    <w:p w14:paraId="53DA0470" w14:textId="77777777" w:rsidR="0074610B" w:rsidRPr="0074610B" w:rsidRDefault="0074610B" w:rsidP="0074610B">
      <w:pPr>
        <w:pStyle w:val="a0"/>
      </w:pPr>
      <w:r w:rsidRPr="0074610B">
        <w:rPr>
          <w:b/>
          <w:bCs/>
        </w:rPr>
        <w:t>Sponsor Counsel Enhancements:</w:t>
      </w:r>
    </w:p>
    <w:p w14:paraId="6DE92044" w14:textId="77777777" w:rsidR="0074610B" w:rsidRPr="0074610B" w:rsidRDefault="0074610B" w:rsidP="0074610B">
      <w:pPr>
        <w:pStyle w:val="a0"/>
        <w:numPr>
          <w:ilvl w:val="0"/>
          <w:numId w:val="20"/>
        </w:numPr>
      </w:pPr>
      <w:r w:rsidRPr="0074610B">
        <w:t>Add a mandatory “risk mapping” instruction: every contractual arrangement risk must appear in Risk Factors and be consistent with Regulatory Overview (foreign investment restrictions). </w:t>
      </w:r>
    </w:p>
    <w:p w14:paraId="2387B9E8" w14:textId="77777777" w:rsidR="0074610B" w:rsidRPr="0074610B" w:rsidRDefault="0074610B" w:rsidP="0074610B">
      <w:pPr>
        <w:pStyle w:val="a0"/>
        <w:numPr>
          <w:ilvl w:val="0"/>
          <w:numId w:val="20"/>
        </w:numPr>
      </w:pPr>
      <w:r w:rsidRPr="0074610B">
        <w:t>Add [[</w:t>
      </w:r>
      <w:proofErr w:type="spellStart"/>
      <w:r w:rsidRPr="0074610B">
        <w:t>AI:VERIFY|evidence</w:t>
      </w:r>
      <w:proofErr w:type="spellEnd"/>
      <w:r w:rsidRPr="0074610B">
        <w:t>=VIE contracts; PRC counsel opinion; regulatory filings]]. </w:t>
      </w:r>
    </w:p>
    <w:p w14:paraId="28F3ADA8" w14:textId="77777777" w:rsidR="0074610B" w:rsidRPr="0074610B" w:rsidRDefault="0074610B" w:rsidP="0074610B">
      <w:pPr>
        <w:pStyle w:val="a0"/>
      </w:pPr>
      <w:r w:rsidRPr="0074610B">
        <w:rPr>
          <w:b/>
          <w:bCs/>
        </w:rPr>
        <w:t>Enhanced sample paragraph:</w:t>
      </w:r>
      <w:r w:rsidRPr="0074610B">
        <w:br/>
        <w:t xml:space="preserve">“This section describes our contractual arrangements (if applicable), including the regulatory background giving rise to the arrangements (for example, foreign ownership restrictions applicable to certain internet information services), the principal parties to the arrangements, and the material terms of the key contracts. We explain how the contractual arrangements are intended to provide us with effective control and economic benefits of the relevant operating entities, and we </w:t>
      </w:r>
      <w:r w:rsidRPr="0074610B">
        <w:lastRenderedPageBreak/>
        <w:t>highlight the material risks and uncertainties associated with reliance on contractual arrangements, including enforceability risks, potential regulatory changes and sanctions, and risks of loss of control. [[</w:t>
      </w:r>
      <w:proofErr w:type="spellStart"/>
      <w:r w:rsidRPr="0074610B">
        <w:t>AI:XREF|to</w:t>
      </w:r>
      <w:proofErr w:type="spellEnd"/>
      <w:r w:rsidRPr="0074610B">
        <w:t>=Regulatory Overview]] [[</w:t>
      </w:r>
      <w:proofErr w:type="spellStart"/>
      <w:r w:rsidRPr="0074610B">
        <w:t>AI:XREF|to</w:t>
      </w:r>
      <w:proofErr w:type="spellEnd"/>
      <w:r w:rsidRPr="0074610B">
        <w:t>=Risk Factors]] [[</w:t>
      </w:r>
      <w:proofErr w:type="spellStart"/>
      <w:r w:rsidRPr="0074610B">
        <w:t>AI:VERIFY|evidence</w:t>
      </w:r>
      <w:proofErr w:type="spellEnd"/>
      <w:r w:rsidRPr="0074610B">
        <w:t>=contracts and PRC counsel opinions]]” </w:t>
      </w:r>
    </w:p>
    <w:p w14:paraId="2759DE99" w14:textId="77777777" w:rsidR="0074610B" w:rsidRPr="0074610B" w:rsidRDefault="0074610B" w:rsidP="0074610B">
      <w:pPr>
        <w:pStyle w:val="a0"/>
        <w:rPr>
          <w:b/>
          <w:bCs/>
          <w:i/>
          <w:iCs/>
          <w:sz w:val="28"/>
          <w:szCs w:val="28"/>
        </w:rPr>
      </w:pPr>
      <w:r w:rsidRPr="0074610B">
        <w:rPr>
          <w:b/>
          <w:bCs/>
          <w:i/>
          <w:iCs/>
          <w:sz w:val="28"/>
          <w:szCs w:val="28"/>
        </w:rPr>
        <w:t>Relationship with Our Controlling Shareholders</w:t>
      </w:r>
    </w:p>
    <w:p w14:paraId="63518701" w14:textId="77777777" w:rsidR="00905D9E" w:rsidRPr="00905D9E" w:rsidRDefault="00905D9E" w:rsidP="00905D9E">
      <w:pPr>
        <w:pStyle w:val="a0"/>
        <w:numPr>
          <w:ilvl w:val="0"/>
          <w:numId w:val="21"/>
        </w:numPr>
      </w:pPr>
      <w:r w:rsidRPr="00905D9E">
        <w:rPr>
          <w:b/>
          <w:bCs/>
        </w:rPr>
        <w:t>Purpose</w:t>
      </w:r>
    </w:p>
    <w:p w14:paraId="49B51FE2" w14:textId="77777777" w:rsidR="00905D9E" w:rsidRPr="00905D9E" w:rsidRDefault="00905D9E" w:rsidP="00905D9E">
      <w:pPr>
        <w:pStyle w:val="a0"/>
        <w:numPr>
          <w:ilvl w:val="0"/>
          <w:numId w:val="21"/>
        </w:numPr>
      </w:pPr>
      <w:r w:rsidRPr="00905D9E">
        <w:t>In this section, the prospectus discloses details about shareholders who will retain control after the offering and addresses any potential conflicts of interest.</w:t>
      </w:r>
    </w:p>
    <w:p w14:paraId="4494F7DE" w14:textId="77777777" w:rsidR="00905D9E" w:rsidRPr="00905D9E" w:rsidRDefault="00905D9E" w:rsidP="00905D9E">
      <w:pPr>
        <w:pStyle w:val="a0"/>
        <w:numPr>
          <w:ilvl w:val="0"/>
          <w:numId w:val="21"/>
        </w:numPr>
      </w:pPr>
      <w:r w:rsidRPr="00905D9E">
        <w:rPr>
          <w:b/>
          <w:bCs/>
        </w:rPr>
        <w:t>Identification &amp; control statement</w:t>
      </w:r>
    </w:p>
    <w:p w14:paraId="21F5E687" w14:textId="77777777" w:rsidR="00905D9E" w:rsidRPr="00905D9E" w:rsidRDefault="00905D9E" w:rsidP="00905D9E">
      <w:pPr>
        <w:pStyle w:val="a0"/>
        <w:numPr>
          <w:ilvl w:val="0"/>
          <w:numId w:val="21"/>
        </w:numPr>
      </w:pPr>
      <w:r w:rsidRPr="00905D9E">
        <w:t>The AI should identify the controlling shareholder(s) by name and stake.</w:t>
      </w:r>
    </w:p>
    <w:p w14:paraId="71998B94" w14:textId="77777777" w:rsidR="00905D9E" w:rsidRPr="00905D9E" w:rsidRDefault="00905D9E" w:rsidP="00905D9E">
      <w:pPr>
        <w:pStyle w:val="a0"/>
        <w:numPr>
          <w:ilvl w:val="0"/>
          <w:numId w:val="21"/>
        </w:numPr>
      </w:pPr>
      <w:r w:rsidRPr="00905D9E">
        <w:t>For example, “Mr. Wang Ning, our founder, Chairman and CEO, will be able to exercise approximately 43.58% of the voting rights in our Company immediately following the Global Offering, and thus will remain as our Controlling Shareholder.”</w:t>
      </w:r>
    </w:p>
    <w:p w14:paraId="2A8C91FF" w14:textId="77777777" w:rsidR="00905D9E" w:rsidRPr="00905D9E" w:rsidRDefault="00905D9E" w:rsidP="00905D9E">
      <w:pPr>
        <w:pStyle w:val="a0"/>
        <w:numPr>
          <w:ilvl w:val="0"/>
          <w:numId w:val="21"/>
        </w:numPr>
      </w:pPr>
      <w:r w:rsidRPr="00905D9E">
        <w:t>If control is held through a trust or a holding vehicle, those should be named as well (e.g., “Mr. X through ABC Holding Ltd. and the XYZ Family Trust”).</w:t>
      </w:r>
    </w:p>
    <w:p w14:paraId="6DC9A665" w14:textId="77777777" w:rsidR="00905D9E" w:rsidRPr="00905D9E" w:rsidRDefault="00905D9E" w:rsidP="00905D9E">
      <w:pPr>
        <w:pStyle w:val="a0"/>
        <w:numPr>
          <w:ilvl w:val="0"/>
          <w:numId w:val="21"/>
        </w:numPr>
      </w:pPr>
      <w:r w:rsidRPr="00905D9E">
        <w:t>The content needs to confirm these persons meet the definition of controlling shareholders under the listing rules (usually meaning 30%+ of voting power or significant influence).</w:t>
      </w:r>
    </w:p>
    <w:p w14:paraId="6C016AD2" w14:textId="77777777" w:rsidR="00905D9E" w:rsidRPr="00905D9E" w:rsidRDefault="00905D9E" w:rsidP="00905D9E">
      <w:pPr>
        <w:pStyle w:val="a0"/>
        <w:numPr>
          <w:ilvl w:val="0"/>
          <w:numId w:val="21"/>
        </w:numPr>
      </w:pPr>
      <w:r w:rsidRPr="00905D9E">
        <w:rPr>
          <w:b/>
          <w:bCs/>
        </w:rPr>
        <w:t>Independence safeguards</w:t>
      </w:r>
    </w:p>
    <w:p w14:paraId="0D6BFD7E" w14:textId="77777777" w:rsidR="00905D9E" w:rsidRPr="00905D9E" w:rsidRDefault="00905D9E" w:rsidP="00905D9E">
      <w:pPr>
        <w:pStyle w:val="a0"/>
        <w:numPr>
          <w:ilvl w:val="0"/>
          <w:numId w:val="21"/>
        </w:numPr>
      </w:pPr>
      <w:r w:rsidRPr="00905D9E">
        <w:t>Then, the AI should outline measures taken to manage conflicts of interest and ensure independence of the listed company from the controlling shareholders.</w:t>
      </w:r>
    </w:p>
    <w:p w14:paraId="02E8805A" w14:textId="77777777" w:rsidR="00905D9E" w:rsidRPr="00905D9E" w:rsidRDefault="00905D9E" w:rsidP="00905D9E">
      <w:pPr>
        <w:pStyle w:val="a0"/>
        <w:numPr>
          <w:ilvl w:val="0"/>
          <w:numId w:val="21"/>
        </w:numPr>
      </w:pPr>
      <w:r w:rsidRPr="00905D9E">
        <w:t>This typically includes sub-sections on Independence: covering management independence, operational independence, financial independence, and an absence of competition.</w:t>
      </w:r>
    </w:p>
    <w:p w14:paraId="2C90AB4D" w14:textId="77777777" w:rsidR="00905D9E" w:rsidRPr="00905D9E" w:rsidRDefault="00905D9E" w:rsidP="00905D9E">
      <w:pPr>
        <w:pStyle w:val="a0"/>
        <w:numPr>
          <w:ilvl w:val="0"/>
          <w:numId w:val="21"/>
        </w:numPr>
      </w:pPr>
      <w:r w:rsidRPr="00905D9E">
        <w:rPr>
          <w:b/>
          <w:bCs/>
        </w:rPr>
        <w:t>What “independence” should look like in text</w:t>
      </w:r>
    </w:p>
    <w:p w14:paraId="45088211" w14:textId="77777777" w:rsidR="00905D9E" w:rsidRPr="00905D9E" w:rsidRDefault="00905D9E" w:rsidP="00905D9E">
      <w:pPr>
        <w:pStyle w:val="a0"/>
        <w:numPr>
          <w:ilvl w:val="0"/>
          <w:numId w:val="21"/>
        </w:numPr>
      </w:pPr>
      <w:r w:rsidRPr="00905D9E">
        <w:t>For instance, the prospectus will assert that the company can operate independently of the controlling shareholder because it has its own separate business operations, separate management team, and no undue reliance on the controlling party.</w:t>
      </w:r>
    </w:p>
    <w:p w14:paraId="72728F87" w14:textId="77777777" w:rsidR="00905D9E" w:rsidRPr="00905D9E" w:rsidRDefault="00905D9E" w:rsidP="00905D9E">
      <w:pPr>
        <w:pStyle w:val="a0"/>
        <w:numPr>
          <w:ilvl w:val="0"/>
          <w:numId w:val="21"/>
        </w:numPr>
      </w:pPr>
      <w:r w:rsidRPr="00905D9E">
        <w:t xml:space="preserve">The AI should enumerate these points: e.g., “We have our own independent management and administrative capabilities, and all business decisions are </w:t>
      </w:r>
      <w:r w:rsidRPr="00905D9E">
        <w:lastRenderedPageBreak/>
        <w:t>made by our Board and senior management. Our Controlling Shareholder does not interfere with the day-to-day operations. We have sufficient operational resources (customers, suppliers, systems) to operate without reliance on the Controlling Shareholder.”</w:t>
      </w:r>
    </w:p>
    <w:p w14:paraId="2FF92794" w14:textId="77777777" w:rsidR="00905D9E" w:rsidRPr="00905D9E" w:rsidRDefault="00905D9E" w:rsidP="00905D9E">
      <w:pPr>
        <w:pStyle w:val="a0"/>
        <w:numPr>
          <w:ilvl w:val="0"/>
          <w:numId w:val="21"/>
        </w:numPr>
      </w:pPr>
      <w:r w:rsidRPr="00905D9E">
        <w:rPr>
          <w:b/>
          <w:bCs/>
        </w:rPr>
        <w:t>Non-competition undertakings</w:t>
      </w:r>
    </w:p>
    <w:p w14:paraId="04702439" w14:textId="77777777" w:rsidR="00905D9E" w:rsidRPr="00905D9E" w:rsidRDefault="00905D9E" w:rsidP="00905D9E">
      <w:pPr>
        <w:pStyle w:val="a0"/>
        <w:numPr>
          <w:ilvl w:val="0"/>
          <w:numId w:val="21"/>
        </w:numPr>
      </w:pPr>
      <w:r w:rsidRPr="00905D9E">
        <w:t>Another critical part is the Non-competition Undertaking: controlling shareholders typically provide an undertaking that they (and their other businesses) will not compete with the company’s business.</w:t>
      </w:r>
    </w:p>
    <w:p w14:paraId="5D2A4ECF" w14:textId="77777777" w:rsidR="00905D9E" w:rsidRPr="00905D9E" w:rsidRDefault="00905D9E" w:rsidP="00905D9E">
      <w:pPr>
        <w:pStyle w:val="a0"/>
        <w:numPr>
          <w:ilvl w:val="0"/>
          <w:numId w:val="21"/>
        </w:numPr>
      </w:pPr>
      <w:r w:rsidRPr="00905D9E">
        <w:t>The AI should mention that: “Our Controlling Shareholders have provided a written non-compete undertaking in favor of our Company, confirming that neither they nor their associates will engage in any business that competes with our Group’s business.”</w:t>
      </w:r>
    </w:p>
    <w:p w14:paraId="3B1E4C91" w14:textId="77777777" w:rsidR="00905D9E" w:rsidRPr="00905D9E" w:rsidRDefault="00905D9E" w:rsidP="00905D9E">
      <w:pPr>
        <w:pStyle w:val="a0"/>
        <w:numPr>
          <w:ilvl w:val="0"/>
          <w:numId w:val="21"/>
        </w:numPr>
      </w:pPr>
      <w:r w:rsidRPr="00905D9E">
        <w:t>If the controlling shareholder does have other businesses in related fields, those should be disclosed along with why they are not in competition or how they are handled (maybe placed in a trust or carved out).</w:t>
      </w:r>
    </w:p>
    <w:p w14:paraId="146C29B3" w14:textId="77777777" w:rsidR="00905D9E" w:rsidRPr="00905D9E" w:rsidRDefault="00905D9E" w:rsidP="00905D9E">
      <w:pPr>
        <w:pStyle w:val="a0"/>
        <w:numPr>
          <w:ilvl w:val="0"/>
          <w:numId w:val="21"/>
        </w:numPr>
      </w:pPr>
      <w:r w:rsidRPr="00905D9E">
        <w:rPr>
          <w:b/>
          <w:bCs/>
        </w:rPr>
        <w:t>Connected transactions cross-reference</w:t>
      </w:r>
    </w:p>
    <w:p w14:paraId="14887566" w14:textId="77777777" w:rsidR="00905D9E" w:rsidRPr="00905D9E" w:rsidRDefault="00905D9E" w:rsidP="00905D9E">
      <w:pPr>
        <w:pStyle w:val="a0"/>
        <w:numPr>
          <w:ilvl w:val="0"/>
          <w:numId w:val="21"/>
        </w:numPr>
      </w:pPr>
      <w:r w:rsidRPr="00905D9E">
        <w:t>Additionally, any ongoing or past connected transactions with the controlling shareholders should be cross-referenced (though details are in Connected Transactions section) – for example, leases or shared services, and how they are on arm’s-length terms.</w:t>
      </w:r>
    </w:p>
    <w:p w14:paraId="520C7477" w14:textId="77777777" w:rsidR="00905D9E" w:rsidRPr="00905D9E" w:rsidRDefault="00905D9E" w:rsidP="00905D9E">
      <w:pPr>
        <w:pStyle w:val="a0"/>
        <w:numPr>
          <w:ilvl w:val="0"/>
          <w:numId w:val="21"/>
        </w:numPr>
      </w:pPr>
      <w:r w:rsidRPr="00905D9E">
        <w:rPr>
          <w:b/>
          <w:bCs/>
        </w:rPr>
        <w:t>Granularity</w:t>
      </w:r>
    </w:p>
    <w:p w14:paraId="42DCCBBA" w14:textId="77777777" w:rsidR="00905D9E" w:rsidRPr="00905D9E" w:rsidRDefault="00905D9E" w:rsidP="00905D9E">
      <w:pPr>
        <w:pStyle w:val="a0"/>
        <w:numPr>
          <w:ilvl w:val="0"/>
          <w:numId w:val="21"/>
        </w:numPr>
      </w:pPr>
      <w:r w:rsidRPr="00905D9E">
        <w:t>The granularity here requires naming specific entities and individuals and giving numeric shareholding percentages to show the extent of control.</w:t>
      </w:r>
    </w:p>
    <w:p w14:paraId="2B8077E3" w14:textId="77777777" w:rsidR="00905D9E" w:rsidRPr="00905D9E" w:rsidRDefault="00905D9E" w:rsidP="00905D9E">
      <w:pPr>
        <w:pStyle w:val="a0"/>
        <w:numPr>
          <w:ilvl w:val="0"/>
          <w:numId w:val="21"/>
        </w:numPr>
      </w:pPr>
      <w:r w:rsidRPr="00905D9E">
        <w:t>It should also clearly state the arrangements ensuring independence: e.g., any separate offices, no loan guarantees by controlling shareholder, independent access to financing, etc., as given in the prospectus narrative.</w:t>
      </w:r>
    </w:p>
    <w:p w14:paraId="7A8406B8" w14:textId="77777777" w:rsidR="00905D9E" w:rsidRPr="00905D9E" w:rsidRDefault="00905D9E" w:rsidP="00905D9E">
      <w:pPr>
        <w:pStyle w:val="a0"/>
        <w:numPr>
          <w:ilvl w:val="0"/>
          <w:numId w:val="21"/>
        </w:numPr>
      </w:pPr>
      <w:r w:rsidRPr="00905D9E">
        <w:t>The AI should replicate any formal confirmation language from directors like: “The Directors are satisfied that our Group is capable of carrying on its business independently of our Controlling Shareholders after listing.”</w:t>
      </w:r>
    </w:p>
    <w:p w14:paraId="3602B715" w14:textId="77777777" w:rsidR="00905D9E" w:rsidRPr="00905D9E" w:rsidRDefault="00905D9E" w:rsidP="00905D9E">
      <w:pPr>
        <w:pStyle w:val="a0"/>
        <w:numPr>
          <w:ilvl w:val="0"/>
          <w:numId w:val="21"/>
        </w:numPr>
      </w:pPr>
      <w:r w:rsidRPr="00905D9E">
        <w:rPr>
          <w:b/>
          <w:bCs/>
        </w:rPr>
        <w:t>Listing Rules reference</w:t>
      </w:r>
    </w:p>
    <w:p w14:paraId="21366C62" w14:textId="77777777" w:rsidR="00905D9E" w:rsidRPr="00905D9E" w:rsidRDefault="00905D9E" w:rsidP="00905D9E">
      <w:pPr>
        <w:pStyle w:val="a0"/>
        <w:numPr>
          <w:ilvl w:val="0"/>
          <w:numId w:val="21"/>
        </w:numPr>
      </w:pPr>
      <w:r w:rsidRPr="00905D9E">
        <w:t>Finally, mention compliance with Listing Rule 8.10 (which requires disclosure of competing interests): typically, “Our Controlling Shareholders have confirmed that they do not have any interest in a business that competes with ours, and if in the future there is a potential conflict, they will abstain from voting”.</w:t>
      </w:r>
    </w:p>
    <w:p w14:paraId="3FE8B794" w14:textId="77777777" w:rsidR="00905D9E" w:rsidRPr="00905D9E" w:rsidRDefault="00905D9E" w:rsidP="00905D9E">
      <w:pPr>
        <w:pStyle w:val="a0"/>
        <w:numPr>
          <w:ilvl w:val="0"/>
          <w:numId w:val="21"/>
        </w:numPr>
      </w:pPr>
      <w:r w:rsidRPr="00905D9E">
        <w:rPr>
          <w:b/>
          <w:bCs/>
        </w:rPr>
        <w:t>Tone</w:t>
      </w:r>
    </w:p>
    <w:p w14:paraId="5DD789A5" w14:textId="77777777" w:rsidR="00905D9E" w:rsidRPr="00905D9E" w:rsidRDefault="00905D9E" w:rsidP="00905D9E">
      <w:pPr>
        <w:pStyle w:val="a0"/>
        <w:numPr>
          <w:ilvl w:val="0"/>
          <w:numId w:val="21"/>
        </w:numPr>
      </w:pPr>
      <w:r w:rsidRPr="00905D9E">
        <w:lastRenderedPageBreak/>
        <w:t>The tone is formal and assuring, giving comfort to investors that although one party will have significant control, mechanisms are in place to protect minority shareholders and ensure the company’s decisions are made in its own best interest, not just the controlling party’s interest.</w:t>
      </w:r>
    </w:p>
    <w:p w14:paraId="2560EDD3" w14:textId="42ABED25" w:rsidR="0074610B" w:rsidRPr="0074610B" w:rsidRDefault="00905D9E" w:rsidP="00905D9E">
      <w:pPr>
        <w:pStyle w:val="a0"/>
        <w:numPr>
          <w:ilvl w:val="0"/>
          <w:numId w:val="21"/>
        </w:numPr>
      </w:pPr>
      <w:r w:rsidRPr="00905D9E">
        <w:t>This section is critical for governance transparency, and the AI must cover all points thoroughly, following the prospectus template closely.</w:t>
      </w:r>
    </w:p>
    <w:p w14:paraId="12907F83" w14:textId="77777777" w:rsidR="0074610B" w:rsidRPr="0074610B" w:rsidRDefault="0074610B" w:rsidP="0074610B">
      <w:pPr>
        <w:pStyle w:val="a0"/>
      </w:pPr>
      <w:r w:rsidRPr="0074610B">
        <w:rPr>
          <w:b/>
          <w:bCs/>
        </w:rPr>
        <w:t>Sponsor Counsel Enhancements:</w:t>
      </w:r>
    </w:p>
    <w:p w14:paraId="4C787F7C" w14:textId="77777777" w:rsidR="0074610B" w:rsidRPr="0074610B" w:rsidRDefault="0074610B" w:rsidP="0074610B">
      <w:pPr>
        <w:pStyle w:val="a0"/>
        <w:numPr>
          <w:ilvl w:val="0"/>
          <w:numId w:val="22"/>
        </w:numPr>
      </w:pPr>
      <w:r w:rsidRPr="0074610B">
        <w:t>If WVR applies, ensure this section does not undermine the WVR risk framing; include clear disclosure of how WVR beneficiary influence may diverge from ordinary shareholders. </w:t>
      </w:r>
    </w:p>
    <w:p w14:paraId="45BF890B" w14:textId="77777777" w:rsidR="0074610B" w:rsidRPr="0074610B" w:rsidRDefault="0074610B" w:rsidP="0074610B">
      <w:pPr>
        <w:pStyle w:val="a0"/>
        <w:numPr>
          <w:ilvl w:val="0"/>
          <w:numId w:val="22"/>
        </w:numPr>
      </w:pPr>
      <w:r w:rsidRPr="0074610B">
        <w:t>Add [[</w:t>
      </w:r>
      <w:proofErr w:type="spellStart"/>
      <w:r w:rsidRPr="0074610B">
        <w:t>AI:VERIFY|evidence</w:t>
      </w:r>
      <w:proofErr w:type="spellEnd"/>
      <w:r w:rsidRPr="0074610B">
        <w:t>=share register; shareholders agreements; non</w:t>
      </w:r>
      <w:r w:rsidRPr="0074610B">
        <w:noBreakHyphen/>
        <w:t>compete deeds]]. </w:t>
      </w:r>
    </w:p>
    <w:p w14:paraId="5FF95265" w14:textId="77777777" w:rsidR="0074610B" w:rsidRPr="0074610B" w:rsidRDefault="0074610B" w:rsidP="0074610B">
      <w:pPr>
        <w:pStyle w:val="a0"/>
      </w:pPr>
      <w:r w:rsidRPr="0074610B">
        <w:rPr>
          <w:b/>
          <w:bCs/>
        </w:rPr>
        <w:t>Enhanced sample paragraph:</w:t>
      </w:r>
      <w:r w:rsidRPr="0074610B">
        <w:br/>
        <w:t>“This section describes our controlling shareholders (if any), their shareholding interests and relationships with the Group, and the extent to which we maintain operational and managerial independence from them. We disclose any actual or potential conflicts of interest, measures adopted to address such conflicts (including corporate governance arrangements and non</w:t>
      </w:r>
      <w:r w:rsidRPr="0074610B">
        <w:noBreakHyphen/>
        <w:t>competition undertakings where applicable), and any material transactions or arrangements with controlling shareholders or their associates. Where we have a WVR structure, we highlight that the WVR beneficiary may exert significant influence over shareholder resolutions irrespective of how other shareholders vote, and we cross</w:t>
      </w:r>
      <w:r w:rsidRPr="0074610B">
        <w:noBreakHyphen/>
        <w:t>reference the associated risks. [[</w:t>
      </w:r>
      <w:proofErr w:type="spellStart"/>
      <w:r w:rsidRPr="0074610B">
        <w:t>AI:XREF|to</w:t>
      </w:r>
      <w:proofErr w:type="spellEnd"/>
      <w:r w:rsidRPr="0074610B">
        <w:t>=Risk Factors — WVR]] [[</w:t>
      </w:r>
      <w:proofErr w:type="spellStart"/>
      <w:r w:rsidRPr="0074610B">
        <w:t>AI:VERIFY|evidence</w:t>
      </w:r>
      <w:proofErr w:type="spellEnd"/>
      <w:r w:rsidRPr="0074610B">
        <w:t>=register of members, deed of non</w:t>
      </w:r>
      <w:r w:rsidRPr="0074610B">
        <w:noBreakHyphen/>
        <w:t>competition, governance policies]]” </w:t>
      </w:r>
    </w:p>
    <w:p w14:paraId="7ADAE001" w14:textId="77777777" w:rsidR="0074610B" w:rsidRPr="0074610B" w:rsidRDefault="0074610B" w:rsidP="0074610B">
      <w:pPr>
        <w:pStyle w:val="a0"/>
        <w:rPr>
          <w:b/>
          <w:bCs/>
          <w:i/>
          <w:iCs/>
          <w:sz w:val="28"/>
          <w:szCs w:val="28"/>
        </w:rPr>
      </w:pPr>
      <w:r w:rsidRPr="0074610B">
        <w:rPr>
          <w:b/>
          <w:bCs/>
          <w:i/>
          <w:iCs/>
          <w:sz w:val="28"/>
          <w:szCs w:val="28"/>
        </w:rPr>
        <w:t>Connected Transactions</w:t>
      </w:r>
    </w:p>
    <w:p w14:paraId="3EB47A4F" w14:textId="77777777" w:rsidR="00905D9E" w:rsidRPr="00905D9E" w:rsidRDefault="00905D9E" w:rsidP="00905D9E">
      <w:pPr>
        <w:pStyle w:val="a0"/>
      </w:pPr>
      <w:r w:rsidRPr="00905D9E">
        <w:rPr>
          <w:b/>
          <w:bCs/>
        </w:rPr>
        <w:t>Purpose</w:t>
      </w:r>
    </w:p>
    <w:p w14:paraId="2CC4FE32" w14:textId="77777777" w:rsidR="00905D9E" w:rsidRPr="00905D9E" w:rsidRDefault="00905D9E" w:rsidP="00905D9E">
      <w:pPr>
        <w:pStyle w:val="a0"/>
        <w:numPr>
          <w:ilvl w:val="0"/>
          <w:numId w:val="159"/>
        </w:numPr>
      </w:pPr>
      <w:r w:rsidRPr="00905D9E">
        <w:t>This section discloses any transactions the company has entered into with related parties (connected persons), which typically include the controlling shareholders, directors, or their associates.</w:t>
      </w:r>
    </w:p>
    <w:p w14:paraId="1C58814F" w14:textId="77777777" w:rsidR="00905D9E" w:rsidRPr="00905D9E" w:rsidRDefault="00905D9E" w:rsidP="00905D9E">
      <w:pPr>
        <w:pStyle w:val="a0"/>
      </w:pPr>
      <w:r w:rsidRPr="00905D9E">
        <w:rPr>
          <w:b/>
          <w:bCs/>
        </w:rPr>
        <w:t>Core requirements</w:t>
      </w:r>
    </w:p>
    <w:p w14:paraId="0A656F92" w14:textId="77777777" w:rsidR="00905D9E" w:rsidRPr="00905D9E" w:rsidRDefault="00905D9E" w:rsidP="00905D9E">
      <w:pPr>
        <w:pStyle w:val="a0"/>
        <w:numPr>
          <w:ilvl w:val="0"/>
          <w:numId w:val="160"/>
        </w:numPr>
      </w:pPr>
      <w:r w:rsidRPr="00905D9E">
        <w:t>The AI should identify each connected transaction and explain its nature, terms, and whether it will continue after listing.</w:t>
      </w:r>
    </w:p>
    <w:p w14:paraId="7075EC88" w14:textId="77777777" w:rsidR="00905D9E" w:rsidRPr="00905D9E" w:rsidRDefault="00905D9E" w:rsidP="00905D9E">
      <w:pPr>
        <w:pStyle w:val="a0"/>
      </w:pPr>
      <w:r w:rsidRPr="00905D9E">
        <w:rPr>
          <w:b/>
          <w:bCs/>
        </w:rPr>
        <w:t>Typical sub-categories</w:t>
      </w:r>
    </w:p>
    <w:p w14:paraId="77001BF5" w14:textId="77777777" w:rsidR="00905D9E" w:rsidRPr="00905D9E" w:rsidRDefault="00905D9E" w:rsidP="00905D9E">
      <w:pPr>
        <w:pStyle w:val="a0"/>
        <w:numPr>
          <w:ilvl w:val="0"/>
          <w:numId w:val="161"/>
        </w:numPr>
      </w:pPr>
      <w:r w:rsidRPr="00905D9E">
        <w:t xml:space="preserve">There are usually sub-categories: Continuing Connected Transactions (ongoing relationships like service agreements, leases, or in Pop Mart’s case </w:t>
      </w:r>
      <w:r w:rsidRPr="00905D9E">
        <w:lastRenderedPageBreak/>
        <w:t>the Contractual Arrangements with the VIE) and any One-off Connected Transactions (like a pre-IPO asset purchase from a connected person).</w:t>
      </w:r>
    </w:p>
    <w:p w14:paraId="5A3D7E43" w14:textId="77777777" w:rsidR="00905D9E" w:rsidRPr="00905D9E" w:rsidRDefault="00905D9E" w:rsidP="00905D9E">
      <w:pPr>
        <w:pStyle w:val="a0"/>
        <w:numPr>
          <w:ilvl w:val="0"/>
          <w:numId w:val="161"/>
        </w:numPr>
      </w:pPr>
      <w:r w:rsidRPr="00905D9E">
        <w:t>For each, the prospectus states why it falls under connected transaction rules and what approvals or waivers are in place.</w:t>
      </w:r>
    </w:p>
    <w:p w14:paraId="0421BEB7" w14:textId="77777777" w:rsidR="00905D9E" w:rsidRPr="00905D9E" w:rsidRDefault="00905D9E" w:rsidP="00905D9E">
      <w:pPr>
        <w:pStyle w:val="a0"/>
      </w:pPr>
      <w:r w:rsidRPr="00905D9E">
        <w:rPr>
          <w:b/>
          <w:bCs/>
        </w:rPr>
        <w:t>Connected persons list</w:t>
      </w:r>
    </w:p>
    <w:p w14:paraId="1D9E14F3" w14:textId="77777777" w:rsidR="00905D9E" w:rsidRPr="00905D9E" w:rsidRDefault="00905D9E" w:rsidP="00905D9E">
      <w:pPr>
        <w:pStyle w:val="a0"/>
        <w:numPr>
          <w:ilvl w:val="0"/>
          <w:numId w:val="162"/>
        </w:numPr>
      </w:pPr>
      <w:r w:rsidRPr="00905D9E">
        <w:t>The content range should include a listing of who the connected persons are.</w:t>
      </w:r>
    </w:p>
    <w:p w14:paraId="54967708" w14:textId="77777777" w:rsidR="00905D9E" w:rsidRPr="00905D9E" w:rsidRDefault="00905D9E" w:rsidP="00905D9E">
      <w:pPr>
        <w:pStyle w:val="a0"/>
        <w:numPr>
          <w:ilvl w:val="0"/>
          <w:numId w:val="162"/>
        </w:numPr>
      </w:pPr>
      <w:r w:rsidRPr="00905D9E">
        <w:t>For example, it might start by naming “Connected Persons” – often repeating the controlling shareholders and any other major related parties that have dealings with the company.</w:t>
      </w:r>
    </w:p>
    <w:p w14:paraId="2B61560F" w14:textId="77777777" w:rsidR="00905D9E" w:rsidRPr="00905D9E" w:rsidRDefault="00905D9E" w:rsidP="00905D9E">
      <w:pPr>
        <w:pStyle w:val="a0"/>
      </w:pPr>
      <w:r w:rsidRPr="00905D9E">
        <w:rPr>
          <w:b/>
          <w:bCs/>
        </w:rPr>
        <w:t>Per-transaction description</w:t>
      </w:r>
    </w:p>
    <w:p w14:paraId="502F435B" w14:textId="77777777" w:rsidR="00905D9E" w:rsidRPr="00905D9E" w:rsidRDefault="00905D9E" w:rsidP="00905D9E">
      <w:pPr>
        <w:pStyle w:val="a0"/>
        <w:numPr>
          <w:ilvl w:val="0"/>
          <w:numId w:val="163"/>
        </w:numPr>
      </w:pPr>
      <w:r w:rsidRPr="00905D9E">
        <w:t>Then, for each transaction or type of transaction, describe it: e.g., “We have leased office space from [Controlling Shareholder’s company] since 2018. This lease will constitute a continuing connected transaction upon listing.”</w:t>
      </w:r>
    </w:p>
    <w:p w14:paraId="4037E5F5" w14:textId="77777777" w:rsidR="00905D9E" w:rsidRPr="00905D9E" w:rsidRDefault="00905D9E" w:rsidP="00905D9E">
      <w:pPr>
        <w:pStyle w:val="a0"/>
        <w:numPr>
          <w:ilvl w:val="0"/>
          <w:numId w:val="163"/>
        </w:numPr>
      </w:pPr>
      <w:r w:rsidRPr="00905D9E">
        <w:t>The key terms (lease duration, rent, whether rent is market rate) should be mentioned.</w:t>
      </w:r>
    </w:p>
    <w:p w14:paraId="3B7DB10F" w14:textId="77777777" w:rsidR="00905D9E" w:rsidRPr="00905D9E" w:rsidRDefault="00905D9E" w:rsidP="00905D9E">
      <w:pPr>
        <w:pStyle w:val="a0"/>
      </w:pPr>
      <w:r w:rsidRPr="00905D9E">
        <w:rPr>
          <w:b/>
          <w:bCs/>
        </w:rPr>
        <w:t>VIE as connected transactions (example logic)</w:t>
      </w:r>
    </w:p>
    <w:p w14:paraId="5FFE6A1C" w14:textId="77777777" w:rsidR="00905D9E" w:rsidRPr="00905D9E" w:rsidRDefault="00905D9E" w:rsidP="00905D9E">
      <w:pPr>
        <w:pStyle w:val="a0"/>
        <w:numPr>
          <w:ilvl w:val="0"/>
          <w:numId w:val="164"/>
        </w:numPr>
      </w:pPr>
      <w:r w:rsidRPr="00905D9E">
        <w:t>A significant connected transaction in Pop Mart’s case is the Contractual Arrangements themselves, which are technically transactions with the VIE’s owners (who are directors and hence connected persons).</w:t>
      </w:r>
    </w:p>
    <w:p w14:paraId="3E398FF6" w14:textId="77777777" w:rsidR="00905D9E" w:rsidRPr="00905D9E" w:rsidRDefault="00905D9E" w:rsidP="00905D9E">
      <w:pPr>
        <w:pStyle w:val="a0"/>
        <w:numPr>
          <w:ilvl w:val="0"/>
          <w:numId w:val="164"/>
        </w:numPr>
      </w:pPr>
      <w:r w:rsidRPr="00905D9E">
        <w:t>The AI should note that: “The service fees paid under the Contractual Arrangements between our WFOE and the VIE are classified as continuing connected transactions under Chapter 14A of the Listing Rules. We have applied for, and the Stock Exchange has granted, a waiver from strict compliance with the announcement, circular and independent shareholders’ approval requirements for these transactions, on the basis that they are essential to our business and are on normal commercial terms.”</w:t>
      </w:r>
    </w:p>
    <w:p w14:paraId="41549766" w14:textId="77777777" w:rsidR="00905D9E" w:rsidRPr="00905D9E" w:rsidRDefault="00905D9E" w:rsidP="00905D9E">
      <w:pPr>
        <w:pStyle w:val="a0"/>
        <w:numPr>
          <w:ilvl w:val="0"/>
          <w:numId w:val="164"/>
        </w:numPr>
      </w:pPr>
      <w:r w:rsidRPr="00905D9E">
        <w:t>This highlights any waivers for connected transactions (which is common, because it’s impractical for VIE fees to require shareholder approval every year).</w:t>
      </w:r>
    </w:p>
    <w:p w14:paraId="65410562" w14:textId="77777777" w:rsidR="00905D9E" w:rsidRPr="00905D9E" w:rsidRDefault="00905D9E" w:rsidP="00905D9E">
      <w:pPr>
        <w:pStyle w:val="a0"/>
      </w:pPr>
      <w:r w:rsidRPr="00905D9E">
        <w:rPr>
          <w:b/>
          <w:bCs/>
        </w:rPr>
        <w:t>Annual caps and opinions</w:t>
      </w:r>
    </w:p>
    <w:p w14:paraId="0A787EEF" w14:textId="77777777" w:rsidR="00905D9E" w:rsidRPr="00905D9E" w:rsidRDefault="00905D9E" w:rsidP="00905D9E">
      <w:pPr>
        <w:pStyle w:val="a0"/>
        <w:numPr>
          <w:ilvl w:val="0"/>
          <w:numId w:val="165"/>
        </w:numPr>
      </w:pPr>
      <w:r w:rsidRPr="00905D9E">
        <w:t>For each continuing connected transaction, if the prospectus provides annual caps (projected maximum transaction amounts for the next three years) or terms, the AI should include those data points, explaining that these caps are set based on reasonable assumptions.</w:t>
      </w:r>
    </w:p>
    <w:p w14:paraId="4BAA53BE" w14:textId="77777777" w:rsidR="00905D9E" w:rsidRPr="00905D9E" w:rsidRDefault="00905D9E" w:rsidP="00905D9E">
      <w:pPr>
        <w:pStyle w:val="a0"/>
        <w:numPr>
          <w:ilvl w:val="0"/>
          <w:numId w:val="165"/>
        </w:numPr>
      </w:pPr>
      <w:r w:rsidRPr="00905D9E">
        <w:lastRenderedPageBreak/>
        <w:t>It should also mention if an independent financial adviser has opined on these transactions (sometimes included in the prospectus that they are fair and reasonable).</w:t>
      </w:r>
    </w:p>
    <w:p w14:paraId="605B6D59" w14:textId="77777777" w:rsidR="00905D9E" w:rsidRPr="00905D9E" w:rsidRDefault="00905D9E" w:rsidP="00905D9E">
      <w:pPr>
        <w:pStyle w:val="a0"/>
      </w:pPr>
      <w:r w:rsidRPr="00905D9E">
        <w:rPr>
          <w:b/>
          <w:bCs/>
        </w:rPr>
        <w:t>Ongoing compliance statements</w:t>
      </w:r>
    </w:p>
    <w:p w14:paraId="2E7EDA8E" w14:textId="77777777" w:rsidR="00905D9E" w:rsidRPr="00905D9E" w:rsidRDefault="00905D9E" w:rsidP="00905D9E">
      <w:pPr>
        <w:pStyle w:val="a0"/>
        <w:numPr>
          <w:ilvl w:val="0"/>
          <w:numId w:val="166"/>
        </w:numPr>
      </w:pPr>
      <w:r w:rsidRPr="00905D9E">
        <w:t>The section should reassure compliance: that the company will comply with applicable listing rules for connected transactions going forward – e.g., that the Audit Committee will review such transactions annually and the company will make proper disclosures.</w:t>
      </w:r>
    </w:p>
    <w:p w14:paraId="539350A7" w14:textId="77777777" w:rsidR="00905D9E" w:rsidRPr="00905D9E" w:rsidRDefault="00905D9E" w:rsidP="00905D9E">
      <w:pPr>
        <w:pStyle w:val="a0"/>
        <w:numPr>
          <w:ilvl w:val="0"/>
          <w:numId w:val="166"/>
        </w:numPr>
      </w:pPr>
      <w:r w:rsidRPr="00905D9E">
        <w:t>Indeed, prospectuses often contain undertakings: “Our independent non-executive Directors will review and our auditors will confirm the continuing connected transactions annually, in compliance with the Listing Rules”. The AI should echo such commitments to transparency and regulation.</w:t>
      </w:r>
    </w:p>
    <w:p w14:paraId="5589F30E" w14:textId="77777777" w:rsidR="00905D9E" w:rsidRPr="00905D9E" w:rsidRDefault="00905D9E" w:rsidP="00905D9E">
      <w:pPr>
        <w:pStyle w:val="a0"/>
      </w:pPr>
      <w:r w:rsidRPr="00905D9E">
        <w:rPr>
          <w:b/>
          <w:bCs/>
        </w:rPr>
        <w:t>Granularity</w:t>
      </w:r>
    </w:p>
    <w:p w14:paraId="283E3881" w14:textId="77777777" w:rsidR="00905D9E" w:rsidRPr="00905D9E" w:rsidRDefault="00905D9E" w:rsidP="00905D9E">
      <w:pPr>
        <w:pStyle w:val="a0"/>
        <w:numPr>
          <w:ilvl w:val="0"/>
          <w:numId w:val="167"/>
        </w:numPr>
      </w:pPr>
      <w:r w:rsidRPr="00905D9E">
        <w:t>Granularity: each connected transaction must be clearly described by naming the connected party and the transaction terms.</w:t>
      </w:r>
    </w:p>
    <w:p w14:paraId="760A6D39" w14:textId="77777777" w:rsidR="00905D9E" w:rsidRPr="00905D9E" w:rsidRDefault="00905D9E" w:rsidP="00905D9E">
      <w:pPr>
        <w:pStyle w:val="a0"/>
        <w:numPr>
          <w:ilvl w:val="0"/>
          <w:numId w:val="167"/>
        </w:numPr>
      </w:pPr>
      <w:r w:rsidRPr="00905D9E">
        <w:t>If the prospectus lists them in a table or bullet format, do similarly.</w:t>
      </w:r>
    </w:p>
    <w:p w14:paraId="090D2509" w14:textId="77777777" w:rsidR="00905D9E" w:rsidRPr="00905D9E" w:rsidRDefault="00905D9E" w:rsidP="00905D9E">
      <w:pPr>
        <w:pStyle w:val="a0"/>
        <w:numPr>
          <w:ilvl w:val="0"/>
          <w:numId w:val="167"/>
        </w:numPr>
      </w:pPr>
      <w:r w:rsidRPr="00905D9E">
        <w:t>Include monetary values or percentages if given (e.g., if a certain percent of an expense is paid to a related party).</w:t>
      </w:r>
    </w:p>
    <w:p w14:paraId="58529186" w14:textId="77777777" w:rsidR="00905D9E" w:rsidRPr="00905D9E" w:rsidRDefault="00905D9E" w:rsidP="00905D9E">
      <w:pPr>
        <w:pStyle w:val="a0"/>
        <w:numPr>
          <w:ilvl w:val="0"/>
          <w:numId w:val="167"/>
        </w:numPr>
      </w:pPr>
      <w:r w:rsidRPr="00905D9E">
        <w:t>Also mention if any of these will terminate upon listing or have been unwound as part of reorganization (sometimes, companies clean up certain connections pre-IPO). If none, that should be clear too.</w:t>
      </w:r>
    </w:p>
    <w:p w14:paraId="72A5B7EA" w14:textId="77777777" w:rsidR="00905D9E" w:rsidRPr="00905D9E" w:rsidRDefault="00905D9E" w:rsidP="00905D9E">
      <w:pPr>
        <w:pStyle w:val="a0"/>
      </w:pPr>
      <w:r w:rsidRPr="00905D9E">
        <w:rPr>
          <w:b/>
          <w:bCs/>
        </w:rPr>
        <w:t>Tone &amp; typical phrasing</w:t>
      </w:r>
    </w:p>
    <w:p w14:paraId="5A8D7DF9" w14:textId="77777777" w:rsidR="00905D9E" w:rsidRPr="00905D9E" w:rsidRDefault="00905D9E" w:rsidP="00905D9E">
      <w:pPr>
        <w:pStyle w:val="a0"/>
        <w:numPr>
          <w:ilvl w:val="0"/>
          <w:numId w:val="168"/>
        </w:numPr>
      </w:pPr>
      <w:r w:rsidRPr="00905D9E">
        <w:t>The tone is factual and compliance-oriented.</w:t>
      </w:r>
    </w:p>
    <w:p w14:paraId="01269DF1" w14:textId="77777777" w:rsidR="00905D9E" w:rsidRPr="00905D9E" w:rsidRDefault="00905D9E" w:rsidP="00905D9E">
      <w:pPr>
        <w:pStyle w:val="a0"/>
        <w:numPr>
          <w:ilvl w:val="0"/>
          <w:numId w:val="168"/>
        </w:numPr>
      </w:pPr>
      <w:r w:rsidRPr="00905D9E">
        <w:t>The AI should avoid any suggestion that connected transactions are advantageous; instead, they are disclosed for investor awareness and typically stated to be conducted on “arm’s length” or normal commercial terms.</w:t>
      </w:r>
    </w:p>
    <w:p w14:paraId="4185C9EB" w14:textId="77777777" w:rsidR="00905D9E" w:rsidRPr="00905D9E" w:rsidRDefault="00905D9E" w:rsidP="00905D9E">
      <w:pPr>
        <w:pStyle w:val="a0"/>
        <w:numPr>
          <w:ilvl w:val="0"/>
          <w:numId w:val="168"/>
        </w:numPr>
      </w:pPr>
      <w:r w:rsidRPr="00905D9E">
        <w:t>Phrases like “unduly burdensome and impracticable” might appear if explaining why a waiver from strict compliance was needed – if so, including that language provides authenticity.</w:t>
      </w:r>
    </w:p>
    <w:p w14:paraId="44A00C05" w14:textId="77777777" w:rsidR="00905D9E" w:rsidRPr="00905D9E" w:rsidRDefault="00905D9E" w:rsidP="00905D9E">
      <w:pPr>
        <w:pStyle w:val="a0"/>
        <w:numPr>
          <w:ilvl w:val="0"/>
          <w:numId w:val="168"/>
        </w:numPr>
      </w:pPr>
      <w:r w:rsidRPr="00905D9E">
        <w:t>By comprehensively listing and explaining these transactions, this section helps ensure all related-party dealings are transparent to investors.</w:t>
      </w:r>
    </w:p>
    <w:p w14:paraId="0B05A0F1" w14:textId="77777777" w:rsidR="0074610B" w:rsidRPr="0074610B" w:rsidRDefault="0074610B" w:rsidP="0074610B">
      <w:pPr>
        <w:pStyle w:val="a0"/>
      </w:pPr>
      <w:r w:rsidRPr="0074610B">
        <w:rPr>
          <w:b/>
          <w:bCs/>
        </w:rPr>
        <w:t>Sponsor Counsel Enhancements:</w:t>
      </w:r>
    </w:p>
    <w:p w14:paraId="71FBF8F7" w14:textId="77777777" w:rsidR="0074610B" w:rsidRPr="0074610B" w:rsidRDefault="0074610B" w:rsidP="0074610B">
      <w:pPr>
        <w:pStyle w:val="a0"/>
        <w:numPr>
          <w:ilvl w:val="0"/>
          <w:numId w:val="24"/>
        </w:numPr>
      </w:pPr>
      <w:r w:rsidRPr="0074610B">
        <w:t>Add AI checks for: (</w:t>
      </w:r>
      <w:proofErr w:type="spellStart"/>
      <w:r w:rsidRPr="0074610B">
        <w:t>i</w:t>
      </w:r>
      <w:proofErr w:type="spellEnd"/>
      <w:r w:rsidRPr="0074610B">
        <w:t xml:space="preserve">) correct identification of connected persons; (ii) annual cap numeric format; (iii) internal control statements supported by evidence; </w:t>
      </w:r>
      <w:r w:rsidRPr="0074610B">
        <w:lastRenderedPageBreak/>
        <w:t>and (iv) cross</w:t>
      </w:r>
      <w:r w:rsidRPr="0074610B">
        <w:noBreakHyphen/>
        <w:t>reference to Financial Information where turnover days or credit policy suggests hidden connected reliance (GL86</w:t>
      </w:r>
      <w:r w:rsidRPr="0074610B">
        <w:noBreakHyphen/>
        <w:t>16 consistency concept). </w:t>
      </w:r>
    </w:p>
    <w:p w14:paraId="6A8B1D81" w14:textId="77777777" w:rsidR="0074610B" w:rsidRPr="0074610B" w:rsidRDefault="0074610B" w:rsidP="0074610B">
      <w:pPr>
        <w:pStyle w:val="a0"/>
        <w:numPr>
          <w:ilvl w:val="0"/>
          <w:numId w:val="24"/>
        </w:numPr>
      </w:pPr>
      <w:r w:rsidRPr="0074610B">
        <w:t>Add [[</w:t>
      </w:r>
      <w:proofErr w:type="spellStart"/>
      <w:r w:rsidRPr="0074610B">
        <w:t>AI:VERIFY|evidence</w:t>
      </w:r>
      <w:proofErr w:type="spellEnd"/>
      <w:r w:rsidRPr="0074610B">
        <w:t>=contracts; board approvals; internal control matrices]]. </w:t>
      </w:r>
    </w:p>
    <w:p w14:paraId="75F7CEC7" w14:textId="77777777" w:rsidR="0074610B" w:rsidRPr="0074610B" w:rsidRDefault="0074610B" w:rsidP="0074610B">
      <w:pPr>
        <w:pStyle w:val="a0"/>
      </w:pPr>
      <w:r w:rsidRPr="0074610B">
        <w:rPr>
          <w:b/>
          <w:bCs/>
        </w:rPr>
        <w:t>Enhanced sample paragraph:</w:t>
      </w:r>
      <w:r w:rsidRPr="0074610B">
        <w:br/>
        <w:t xml:space="preserve">“This section describes our connected transactions (where applicable) in accordance with the Listing Rules, including identification of connected persons, the nature of each transaction, historical transaction amounts (if any), proposed continuing connected transactions, basis for determining annual caps, applicable exemptions or waivers, and the internal control procedures adopted to ensure compliance. We also describe how the transactions are conducted on normal commercial terms (where applicable) and how we monitor </w:t>
      </w:r>
      <w:proofErr w:type="spellStart"/>
      <w:r w:rsidRPr="0074610B">
        <w:t>utilisation</w:t>
      </w:r>
      <w:proofErr w:type="spellEnd"/>
      <w:r w:rsidRPr="0074610B">
        <w:t xml:space="preserve"> against annual caps. [[</w:t>
      </w:r>
      <w:proofErr w:type="spellStart"/>
      <w:r w:rsidRPr="0074610B">
        <w:t>AI:VERIFY|evidence</w:t>
      </w:r>
      <w:proofErr w:type="spellEnd"/>
      <w:r w:rsidRPr="0074610B">
        <w:t>=contracts, pricing support, board/committee approvals, internal controls documentation]] [[</w:t>
      </w:r>
      <w:proofErr w:type="spellStart"/>
      <w:r w:rsidRPr="0074610B">
        <w:t>AI:XREF|to</w:t>
      </w:r>
      <w:proofErr w:type="spellEnd"/>
      <w:r w:rsidRPr="0074610B">
        <w:t>=Financial Information]]” </w:t>
      </w:r>
    </w:p>
    <w:p w14:paraId="3EC49E3B" w14:textId="77777777" w:rsidR="0074610B" w:rsidRPr="0074610B" w:rsidRDefault="0074610B" w:rsidP="0074610B">
      <w:pPr>
        <w:pStyle w:val="a0"/>
        <w:rPr>
          <w:b/>
          <w:bCs/>
          <w:i/>
          <w:iCs/>
          <w:sz w:val="28"/>
          <w:szCs w:val="28"/>
        </w:rPr>
      </w:pPr>
      <w:r w:rsidRPr="0074610B">
        <w:rPr>
          <w:b/>
          <w:bCs/>
          <w:i/>
          <w:iCs/>
          <w:sz w:val="28"/>
          <w:szCs w:val="28"/>
        </w:rPr>
        <w:t>Directors and Senior Management</w:t>
      </w:r>
    </w:p>
    <w:p w14:paraId="29FC39E5" w14:textId="77777777" w:rsidR="00905D9E" w:rsidRPr="00905D9E" w:rsidRDefault="00905D9E" w:rsidP="00905D9E">
      <w:pPr>
        <w:pStyle w:val="a0"/>
      </w:pPr>
      <w:r w:rsidRPr="00905D9E">
        <w:rPr>
          <w:b/>
          <w:bCs/>
        </w:rPr>
        <w:t>Purpose</w:t>
      </w:r>
    </w:p>
    <w:p w14:paraId="4C45C940" w14:textId="77777777" w:rsidR="00905D9E" w:rsidRPr="00905D9E" w:rsidRDefault="00905D9E" w:rsidP="00905D9E">
      <w:pPr>
        <w:pStyle w:val="a0"/>
        <w:numPr>
          <w:ilvl w:val="0"/>
          <w:numId w:val="169"/>
        </w:numPr>
      </w:pPr>
      <w:r w:rsidRPr="00905D9E">
        <w:t>In this section, the prospectus provides biographical and relevant information about the directors and senior management team.</w:t>
      </w:r>
    </w:p>
    <w:p w14:paraId="2C468BE5" w14:textId="77777777" w:rsidR="00905D9E" w:rsidRPr="00905D9E" w:rsidRDefault="00905D9E" w:rsidP="00905D9E">
      <w:pPr>
        <w:pStyle w:val="a0"/>
      </w:pPr>
      <w:r w:rsidRPr="00905D9E">
        <w:rPr>
          <w:b/>
          <w:bCs/>
        </w:rPr>
        <w:t>Organization</w:t>
      </w:r>
    </w:p>
    <w:p w14:paraId="29719C65" w14:textId="77777777" w:rsidR="00905D9E" w:rsidRPr="00905D9E" w:rsidRDefault="00905D9E" w:rsidP="00905D9E">
      <w:pPr>
        <w:pStyle w:val="a0"/>
        <w:numPr>
          <w:ilvl w:val="0"/>
          <w:numId w:val="170"/>
        </w:numPr>
      </w:pPr>
      <w:r w:rsidRPr="00905D9E">
        <w:t>The AI should structure this by grouping individuals into categories: Board of Directors (further split into Executive Directors, Non-executive Directors if any, and Independent Non-executive Directors), and Senior Management (which could overlap with executive directors if they hold management roles, plus other key executives).</w:t>
      </w:r>
    </w:p>
    <w:p w14:paraId="06899E1F" w14:textId="77777777" w:rsidR="00905D9E" w:rsidRPr="00905D9E" w:rsidRDefault="00905D9E" w:rsidP="00905D9E">
      <w:pPr>
        <w:pStyle w:val="a0"/>
      </w:pPr>
      <w:r w:rsidRPr="00905D9E">
        <w:rPr>
          <w:b/>
          <w:bCs/>
        </w:rPr>
        <w:t>Per-person profile</w:t>
      </w:r>
    </w:p>
    <w:p w14:paraId="6883AD0D" w14:textId="77777777" w:rsidR="00905D9E" w:rsidRPr="00905D9E" w:rsidRDefault="00905D9E" w:rsidP="00905D9E">
      <w:pPr>
        <w:pStyle w:val="a0"/>
        <w:numPr>
          <w:ilvl w:val="0"/>
          <w:numId w:val="171"/>
        </w:numPr>
      </w:pPr>
      <w:r w:rsidRPr="00905D9E">
        <w:t>Each person’s profile should be a paragraph or two summarizing their age, current positions, experience, and qualifications.</w:t>
      </w:r>
    </w:p>
    <w:p w14:paraId="1E92C8DB" w14:textId="77777777" w:rsidR="00905D9E" w:rsidRPr="00905D9E" w:rsidRDefault="00905D9E" w:rsidP="00905D9E">
      <w:pPr>
        <w:pStyle w:val="a0"/>
        <w:numPr>
          <w:ilvl w:val="0"/>
          <w:numId w:val="171"/>
        </w:numPr>
      </w:pPr>
      <w:r w:rsidRPr="00905D9E">
        <w:t>For example: “Mr. Wang Ning, aged 33, is our executive Director, Chairman of the Board and Chief Executive Officer. Mr. Wang founded our Group in 2010 and is responsible for overall strategic direction and management. He has over X years of experience in the pop culture toy industry. Under his leadership, our Company has grown to be a market leader in China.”</w:t>
      </w:r>
    </w:p>
    <w:p w14:paraId="00303A13" w14:textId="77777777" w:rsidR="00905D9E" w:rsidRPr="00905D9E" w:rsidRDefault="00905D9E" w:rsidP="00905D9E">
      <w:pPr>
        <w:pStyle w:val="a0"/>
      </w:pPr>
      <w:r w:rsidRPr="00905D9E">
        <w:rPr>
          <w:b/>
          <w:bCs/>
        </w:rPr>
        <w:t>Content elements that must be included if present</w:t>
      </w:r>
    </w:p>
    <w:p w14:paraId="5530AD70" w14:textId="77777777" w:rsidR="00905D9E" w:rsidRPr="00905D9E" w:rsidRDefault="00905D9E" w:rsidP="00905D9E">
      <w:pPr>
        <w:pStyle w:val="a0"/>
        <w:numPr>
          <w:ilvl w:val="0"/>
          <w:numId w:val="172"/>
        </w:numPr>
      </w:pPr>
      <w:r w:rsidRPr="00905D9E">
        <w:t>This covers current role and contribution.</w:t>
      </w:r>
    </w:p>
    <w:p w14:paraId="477A86EB" w14:textId="77777777" w:rsidR="00905D9E" w:rsidRPr="00905D9E" w:rsidRDefault="00905D9E" w:rsidP="00905D9E">
      <w:pPr>
        <w:pStyle w:val="a0"/>
        <w:numPr>
          <w:ilvl w:val="0"/>
          <w:numId w:val="172"/>
        </w:numPr>
      </w:pPr>
      <w:r w:rsidRPr="00905D9E">
        <w:lastRenderedPageBreak/>
        <w:t>It should then mention past experience: e.g., “Prior to founding our Company, Mr. Wang graduated from [University] with a degree in [field] and worked at [relevant previous job]” (if the prospectus provides that detail).</w:t>
      </w:r>
    </w:p>
    <w:p w14:paraId="4296B672" w14:textId="77777777" w:rsidR="00905D9E" w:rsidRPr="00905D9E" w:rsidRDefault="00905D9E" w:rsidP="00905D9E">
      <w:pPr>
        <w:pStyle w:val="a0"/>
        <w:numPr>
          <w:ilvl w:val="0"/>
          <w:numId w:val="172"/>
        </w:numPr>
      </w:pPr>
      <w:r w:rsidRPr="00905D9E">
        <w:t>Similar treatments should be given to other executive directors (COO, CFO, etc.) stating their primary responsibilities and backgrounds.</w:t>
      </w:r>
    </w:p>
    <w:p w14:paraId="2AE1FB6C" w14:textId="77777777" w:rsidR="00905D9E" w:rsidRPr="00905D9E" w:rsidRDefault="00905D9E" w:rsidP="00905D9E">
      <w:pPr>
        <w:pStyle w:val="a0"/>
      </w:pPr>
      <w:r w:rsidRPr="00905D9E">
        <w:rPr>
          <w:b/>
          <w:bCs/>
        </w:rPr>
        <w:t>INEDs and oversight</w:t>
      </w:r>
    </w:p>
    <w:p w14:paraId="3A772711" w14:textId="77777777" w:rsidR="00905D9E" w:rsidRPr="00905D9E" w:rsidRDefault="00905D9E" w:rsidP="00905D9E">
      <w:pPr>
        <w:pStyle w:val="a0"/>
        <w:numPr>
          <w:ilvl w:val="0"/>
          <w:numId w:val="173"/>
        </w:numPr>
      </w:pPr>
      <w:r w:rsidRPr="00905D9E">
        <w:t>For independent non-executive directors (INEDs), describe their background: e.g., “Mr. X, aged Y, is an independent non-executive Director. He has 20 years of experience in finance and is currently a professor/served as CFO in [industry]. He provides independent oversight and chairs the audit committee.”</w:t>
      </w:r>
    </w:p>
    <w:p w14:paraId="08227FEF" w14:textId="77777777" w:rsidR="00905D9E" w:rsidRPr="00905D9E" w:rsidRDefault="00905D9E" w:rsidP="00905D9E">
      <w:pPr>
        <w:pStyle w:val="a0"/>
        <w:numPr>
          <w:ilvl w:val="0"/>
          <w:numId w:val="173"/>
        </w:numPr>
      </w:pPr>
      <w:r w:rsidRPr="00905D9E">
        <w:t>Include any notable positions or honors if relevant.</w:t>
      </w:r>
    </w:p>
    <w:p w14:paraId="2E92B59D" w14:textId="77777777" w:rsidR="00905D9E" w:rsidRPr="00905D9E" w:rsidRDefault="00905D9E" w:rsidP="00905D9E">
      <w:pPr>
        <w:pStyle w:val="a0"/>
      </w:pPr>
      <w:r w:rsidRPr="00905D9E">
        <w:rPr>
          <w:b/>
          <w:bCs/>
        </w:rPr>
        <w:t>Other executives</w:t>
      </w:r>
    </w:p>
    <w:p w14:paraId="4D4E0DF1" w14:textId="77777777" w:rsidR="00905D9E" w:rsidRPr="00905D9E" w:rsidRDefault="00905D9E" w:rsidP="00905D9E">
      <w:pPr>
        <w:pStyle w:val="a0"/>
        <w:numPr>
          <w:ilvl w:val="0"/>
          <w:numId w:val="174"/>
        </w:numPr>
      </w:pPr>
      <w:r w:rsidRPr="00905D9E">
        <w:t>For senior management who are not directors (like vice presidents, general managers of divisions), provide their role and experience in a similar manner.</w:t>
      </w:r>
    </w:p>
    <w:p w14:paraId="4679C273" w14:textId="77777777" w:rsidR="00905D9E" w:rsidRPr="00905D9E" w:rsidRDefault="00905D9E" w:rsidP="00905D9E">
      <w:pPr>
        <w:pStyle w:val="a0"/>
      </w:pPr>
      <w:r w:rsidRPr="00905D9E">
        <w:rPr>
          <w:b/>
          <w:bCs/>
        </w:rPr>
        <w:t>Relationships and other appointments</w:t>
      </w:r>
    </w:p>
    <w:p w14:paraId="48257ED5" w14:textId="77777777" w:rsidR="00905D9E" w:rsidRPr="00905D9E" w:rsidRDefault="00905D9E" w:rsidP="00905D9E">
      <w:pPr>
        <w:pStyle w:val="a0"/>
        <w:numPr>
          <w:ilvl w:val="0"/>
          <w:numId w:val="175"/>
        </w:numPr>
      </w:pPr>
      <w:r w:rsidRPr="00905D9E">
        <w:t>Additionally, disclose any relationships among directors (if a director is related to a substantial shareholder or has family ties within management, etc., it should be stated to maintain transparency).</w:t>
      </w:r>
    </w:p>
    <w:p w14:paraId="617F8F0A" w14:textId="77777777" w:rsidR="00905D9E" w:rsidRPr="00905D9E" w:rsidRDefault="00905D9E" w:rsidP="00905D9E">
      <w:pPr>
        <w:pStyle w:val="a0"/>
        <w:numPr>
          <w:ilvl w:val="0"/>
          <w:numId w:val="175"/>
        </w:numPr>
      </w:pPr>
      <w:r w:rsidRPr="00905D9E">
        <w:t>Also mention if any directors hold positions in other companies or organizations that are relevant (especially if they are INEDs of other listed companies).</w:t>
      </w:r>
    </w:p>
    <w:p w14:paraId="759F4E6B" w14:textId="77777777" w:rsidR="00905D9E" w:rsidRPr="00905D9E" w:rsidRDefault="00905D9E" w:rsidP="00905D9E">
      <w:pPr>
        <w:pStyle w:val="a0"/>
      </w:pPr>
      <w:r w:rsidRPr="00905D9E">
        <w:rPr>
          <w:b/>
          <w:bCs/>
        </w:rPr>
        <w:t>Board capability</w:t>
      </w:r>
    </w:p>
    <w:p w14:paraId="7B904C43" w14:textId="77777777" w:rsidR="00905D9E" w:rsidRPr="00905D9E" w:rsidRDefault="00905D9E" w:rsidP="00905D9E">
      <w:pPr>
        <w:pStyle w:val="a0"/>
        <w:numPr>
          <w:ilvl w:val="0"/>
          <w:numId w:val="176"/>
        </w:numPr>
      </w:pPr>
      <w:r w:rsidRPr="00905D9E">
        <w:t>The section should confirm that all directors have sufficient experience and there’s a diversity of expertise on the board (often this is implicit but can be emphasized by listing various professional qualifications: e.g., someone might be a CPA for audit committee, another an attorney, etc.).</w:t>
      </w:r>
    </w:p>
    <w:p w14:paraId="69CAAE08" w14:textId="77777777" w:rsidR="00905D9E" w:rsidRPr="00905D9E" w:rsidRDefault="00905D9E" w:rsidP="00905D9E">
      <w:pPr>
        <w:pStyle w:val="a0"/>
      </w:pPr>
      <w:r w:rsidRPr="00905D9E">
        <w:rPr>
          <w:b/>
          <w:bCs/>
        </w:rPr>
        <w:t>Service contracts / rotation</w:t>
      </w:r>
    </w:p>
    <w:p w14:paraId="1F836750" w14:textId="77777777" w:rsidR="00905D9E" w:rsidRPr="00905D9E" w:rsidRDefault="00905D9E" w:rsidP="00905D9E">
      <w:pPr>
        <w:pStyle w:val="a0"/>
        <w:numPr>
          <w:ilvl w:val="0"/>
          <w:numId w:val="177"/>
        </w:numPr>
      </w:pPr>
      <w:r w:rsidRPr="00905D9E">
        <w:t>The prospectus often includes a statement that each director has a service contract and is subject to retirement by rotation according to the Articles of Association – which can be briefly noted (though details may also be in an appendix).</w:t>
      </w:r>
    </w:p>
    <w:p w14:paraId="0F1F2BF3" w14:textId="77777777" w:rsidR="00905D9E" w:rsidRPr="00905D9E" w:rsidRDefault="00905D9E" w:rsidP="00905D9E">
      <w:pPr>
        <w:pStyle w:val="a0"/>
      </w:pPr>
      <w:r w:rsidRPr="00905D9E">
        <w:rPr>
          <w:b/>
          <w:bCs/>
        </w:rPr>
        <w:t>Granularity</w:t>
      </w:r>
    </w:p>
    <w:p w14:paraId="39E5D27C" w14:textId="77777777" w:rsidR="00905D9E" w:rsidRPr="00905D9E" w:rsidRDefault="00905D9E" w:rsidP="00905D9E">
      <w:pPr>
        <w:pStyle w:val="a0"/>
        <w:numPr>
          <w:ilvl w:val="0"/>
          <w:numId w:val="178"/>
        </w:numPr>
      </w:pPr>
      <w:r w:rsidRPr="00905D9E">
        <w:lastRenderedPageBreak/>
        <w:t>The granularity is moderate: it must include each person’s key personal details (full name and age), their titles, and a digest of their career highlights, but not an exhaustive CV.</w:t>
      </w:r>
    </w:p>
    <w:p w14:paraId="40C8A448" w14:textId="77777777" w:rsidR="00905D9E" w:rsidRPr="00905D9E" w:rsidRDefault="00905D9E" w:rsidP="00905D9E">
      <w:pPr>
        <w:pStyle w:val="a0"/>
        <w:numPr>
          <w:ilvl w:val="0"/>
          <w:numId w:val="178"/>
        </w:numPr>
      </w:pPr>
      <w:r w:rsidRPr="00905D9E">
        <w:t>Education (like highest degrees and institutions) is often mentioned for credibility, especially if from prestigious universities or relevant to their job (e.g., CFO with an MBA or CPA qualification).</w:t>
      </w:r>
    </w:p>
    <w:p w14:paraId="6C5331B3" w14:textId="77777777" w:rsidR="00905D9E" w:rsidRPr="00905D9E" w:rsidRDefault="00905D9E" w:rsidP="00905D9E">
      <w:pPr>
        <w:pStyle w:val="a0"/>
        <w:numPr>
          <w:ilvl w:val="0"/>
          <w:numId w:val="178"/>
        </w:numPr>
      </w:pPr>
      <w:r w:rsidRPr="00905D9E">
        <w:t>Any professional qualifications (CPA, CFA, etc.) or industry awards can be noted.</w:t>
      </w:r>
    </w:p>
    <w:p w14:paraId="4EA68E2C" w14:textId="77777777" w:rsidR="00905D9E" w:rsidRPr="00905D9E" w:rsidRDefault="00905D9E" w:rsidP="00905D9E">
      <w:pPr>
        <w:pStyle w:val="a0"/>
      </w:pPr>
      <w:r w:rsidRPr="00905D9E">
        <w:rPr>
          <w:b/>
          <w:bCs/>
        </w:rPr>
        <w:t>Compliance disclosures</w:t>
      </w:r>
    </w:p>
    <w:p w14:paraId="66A9086C" w14:textId="77777777" w:rsidR="00905D9E" w:rsidRPr="00905D9E" w:rsidRDefault="00905D9E" w:rsidP="00905D9E">
      <w:pPr>
        <w:pStyle w:val="a0"/>
        <w:numPr>
          <w:ilvl w:val="0"/>
          <w:numId w:val="179"/>
        </w:numPr>
      </w:pPr>
      <w:r w:rsidRPr="00905D9E">
        <w:t>For compliance, any past directorships in listed companies in the last 3 years are often listed, as well as any other major appointments.</w:t>
      </w:r>
    </w:p>
    <w:p w14:paraId="7DB4FA49" w14:textId="77777777" w:rsidR="00905D9E" w:rsidRPr="00905D9E" w:rsidRDefault="00905D9E" w:rsidP="00905D9E">
      <w:pPr>
        <w:pStyle w:val="a0"/>
        <w:numPr>
          <w:ilvl w:val="0"/>
          <w:numId w:val="179"/>
        </w:numPr>
      </w:pPr>
      <w:r w:rsidRPr="00905D9E">
        <w:t>If a director has something to disclose like past bankruptcies or convictions (in most cases not, but if yes, must be disclosed), the AI should include exactly as the prospectus says.</w:t>
      </w:r>
    </w:p>
    <w:p w14:paraId="22F2C7AB" w14:textId="77777777" w:rsidR="00905D9E" w:rsidRPr="00905D9E" w:rsidRDefault="00905D9E" w:rsidP="00905D9E">
      <w:pPr>
        <w:pStyle w:val="a0"/>
      </w:pPr>
      <w:r w:rsidRPr="00905D9E">
        <w:rPr>
          <w:b/>
          <w:bCs/>
        </w:rPr>
        <w:t>Tone</w:t>
      </w:r>
    </w:p>
    <w:p w14:paraId="56E2BC6B" w14:textId="77777777" w:rsidR="00905D9E" w:rsidRPr="00905D9E" w:rsidRDefault="00905D9E" w:rsidP="00905D9E">
      <w:pPr>
        <w:pStyle w:val="a0"/>
        <w:numPr>
          <w:ilvl w:val="0"/>
          <w:numId w:val="180"/>
        </w:numPr>
      </w:pPr>
      <w:r w:rsidRPr="00905D9E">
        <w:t>The tone is positive and factual, highlighting experience.</w:t>
      </w:r>
    </w:p>
    <w:p w14:paraId="536331C8" w14:textId="77777777" w:rsidR="00905D9E" w:rsidRPr="00905D9E" w:rsidRDefault="00905D9E" w:rsidP="00905D9E">
      <w:pPr>
        <w:pStyle w:val="a0"/>
        <w:numPr>
          <w:ilvl w:val="0"/>
          <w:numId w:val="180"/>
        </w:numPr>
      </w:pPr>
      <w:r w:rsidRPr="00905D9E">
        <w:t>It should implicitly give comfort that the company is led by qualified and experienced individuals.</w:t>
      </w:r>
    </w:p>
    <w:p w14:paraId="1F79A87D" w14:textId="77777777" w:rsidR="00905D9E" w:rsidRPr="00905D9E" w:rsidRDefault="00905D9E" w:rsidP="00905D9E">
      <w:pPr>
        <w:pStyle w:val="a0"/>
        <w:numPr>
          <w:ilvl w:val="0"/>
          <w:numId w:val="180"/>
        </w:numPr>
      </w:pPr>
      <w:r w:rsidRPr="00905D9E">
        <w:t>For example, using phrases like “extensive experience in [industry]” or “instrumental in developing our business”.</w:t>
      </w:r>
    </w:p>
    <w:p w14:paraId="19418D4B" w14:textId="77777777" w:rsidR="00905D9E" w:rsidRPr="00905D9E" w:rsidRDefault="00905D9E" w:rsidP="00905D9E">
      <w:pPr>
        <w:pStyle w:val="a0"/>
        <w:numPr>
          <w:ilvl w:val="0"/>
          <w:numId w:val="180"/>
        </w:numPr>
      </w:pPr>
      <w:r w:rsidRPr="00905D9E">
        <w:t>However, it should not exaggerate – stick to what the prospectus information provides.</w:t>
      </w:r>
    </w:p>
    <w:p w14:paraId="02D62D79" w14:textId="77777777" w:rsidR="00905D9E" w:rsidRPr="00905D9E" w:rsidRDefault="00905D9E" w:rsidP="00905D9E">
      <w:pPr>
        <w:pStyle w:val="a0"/>
        <w:numPr>
          <w:ilvl w:val="0"/>
          <w:numId w:val="180"/>
        </w:numPr>
      </w:pPr>
      <w:r w:rsidRPr="00905D9E">
        <w:t>In summary, this section should instill confidence in the management by outlining their background and competence.</w:t>
      </w:r>
    </w:p>
    <w:p w14:paraId="210AA616" w14:textId="77777777" w:rsidR="0074610B" w:rsidRPr="0074610B" w:rsidRDefault="0074610B" w:rsidP="0074610B">
      <w:pPr>
        <w:pStyle w:val="a0"/>
      </w:pPr>
      <w:r w:rsidRPr="0074610B">
        <w:rPr>
          <w:b/>
          <w:bCs/>
        </w:rPr>
        <w:t>Sponsor Counsel Enhancements:</w:t>
      </w:r>
    </w:p>
    <w:p w14:paraId="30925650" w14:textId="77777777" w:rsidR="0074610B" w:rsidRPr="0074610B" w:rsidRDefault="0074610B" w:rsidP="0074610B">
      <w:pPr>
        <w:pStyle w:val="a0"/>
        <w:numPr>
          <w:ilvl w:val="0"/>
          <w:numId w:val="26"/>
        </w:numPr>
      </w:pPr>
      <w:r w:rsidRPr="0074610B">
        <w:t>Include a “no hype” rule: biographies should be factual; avoid “visionary,” “best</w:t>
      </w:r>
      <w:r w:rsidRPr="0074610B">
        <w:noBreakHyphen/>
        <w:t>in</w:t>
      </w:r>
      <w:r w:rsidRPr="0074610B">
        <w:noBreakHyphen/>
        <w:t>class,” etc. Rule 2.13 still applies. </w:t>
      </w:r>
    </w:p>
    <w:p w14:paraId="7905F701" w14:textId="77777777" w:rsidR="0074610B" w:rsidRPr="0074610B" w:rsidRDefault="0074610B" w:rsidP="0074610B">
      <w:pPr>
        <w:pStyle w:val="a0"/>
        <w:numPr>
          <w:ilvl w:val="0"/>
          <w:numId w:val="26"/>
        </w:numPr>
      </w:pPr>
      <w:r w:rsidRPr="0074610B">
        <w:t>Add [[</w:t>
      </w:r>
      <w:proofErr w:type="spellStart"/>
      <w:r w:rsidRPr="0074610B">
        <w:t>AI:VERIFY|evidence</w:t>
      </w:r>
      <w:proofErr w:type="spellEnd"/>
      <w:r w:rsidRPr="0074610B">
        <w:t>=CVs; employment records; awards verification where referenced]]. </w:t>
      </w:r>
    </w:p>
    <w:p w14:paraId="74E1C730" w14:textId="77777777" w:rsidR="0074610B" w:rsidRPr="0074610B" w:rsidRDefault="0074610B" w:rsidP="0074610B">
      <w:pPr>
        <w:pStyle w:val="a0"/>
      </w:pPr>
      <w:r w:rsidRPr="0074610B">
        <w:rPr>
          <w:b/>
          <w:bCs/>
        </w:rPr>
        <w:t>Enhanced sample paragraph:</w:t>
      </w:r>
      <w:r w:rsidRPr="0074610B">
        <w:br/>
        <w:t xml:space="preserve">“This section sets out the profiles of our Directors and senior management, including their respective roles and responsibilities, relevant experience, and qualifications. The biographies are presented factually and are intended to assist investors in assessing the capability and continuity of management. Any statements regarding professional qualifications, appointments, awards or </w:t>
      </w:r>
      <w:r w:rsidRPr="0074610B">
        <w:lastRenderedPageBreak/>
        <w:t>achievements are supported by appropriate verification evidence. [[</w:t>
      </w:r>
      <w:proofErr w:type="spellStart"/>
      <w:r w:rsidRPr="0074610B">
        <w:t>AI:VERIFY|evidence</w:t>
      </w:r>
      <w:proofErr w:type="spellEnd"/>
      <w:r w:rsidRPr="0074610B">
        <w:t>=CVs, academic/professional certificates, appointment letters]]” </w:t>
      </w:r>
    </w:p>
    <w:p w14:paraId="14A376F3" w14:textId="77777777" w:rsidR="0074610B" w:rsidRPr="0074610B" w:rsidRDefault="0074610B" w:rsidP="0074610B">
      <w:pPr>
        <w:pStyle w:val="a0"/>
        <w:rPr>
          <w:b/>
          <w:bCs/>
          <w:i/>
          <w:iCs/>
          <w:sz w:val="28"/>
          <w:szCs w:val="28"/>
        </w:rPr>
      </w:pPr>
      <w:r w:rsidRPr="0074610B">
        <w:rPr>
          <w:b/>
          <w:bCs/>
          <w:i/>
          <w:iCs/>
          <w:sz w:val="28"/>
          <w:szCs w:val="28"/>
        </w:rPr>
        <w:t>Substantial Shareholders</w:t>
      </w:r>
    </w:p>
    <w:p w14:paraId="27FCBCA3" w14:textId="77777777" w:rsidR="00905D9E" w:rsidRPr="00905D9E" w:rsidRDefault="00905D9E" w:rsidP="00905D9E">
      <w:pPr>
        <w:pStyle w:val="a0"/>
      </w:pPr>
      <w:r w:rsidRPr="00905D9E">
        <w:rPr>
          <w:b/>
          <w:bCs/>
        </w:rPr>
        <w:t>Purpose</w:t>
      </w:r>
    </w:p>
    <w:p w14:paraId="25DD7A08" w14:textId="77777777" w:rsidR="00905D9E" w:rsidRPr="00905D9E" w:rsidRDefault="00905D9E" w:rsidP="00905D9E">
      <w:pPr>
        <w:pStyle w:val="a0"/>
        <w:numPr>
          <w:ilvl w:val="0"/>
          <w:numId w:val="181"/>
        </w:numPr>
      </w:pPr>
      <w:r w:rsidRPr="00905D9E">
        <w:t>The Substantial Shareholders section lists those shareholders who hold a significant portion of the company’s shares (typically defined as 5% or more of the issued share capital) prior to or after the IPO.</w:t>
      </w:r>
    </w:p>
    <w:p w14:paraId="3C9F3CF4" w14:textId="77777777" w:rsidR="00905D9E" w:rsidRPr="00905D9E" w:rsidRDefault="00905D9E" w:rsidP="00905D9E">
      <w:pPr>
        <w:pStyle w:val="a0"/>
      </w:pPr>
      <w:r w:rsidRPr="00905D9E">
        <w:rPr>
          <w:b/>
          <w:bCs/>
        </w:rPr>
        <w:t>Standard opening statement</w:t>
      </w:r>
    </w:p>
    <w:p w14:paraId="43F23162" w14:textId="77777777" w:rsidR="00905D9E" w:rsidRPr="00905D9E" w:rsidRDefault="00905D9E" w:rsidP="00905D9E">
      <w:pPr>
        <w:pStyle w:val="a0"/>
        <w:numPr>
          <w:ilvl w:val="0"/>
          <w:numId w:val="182"/>
        </w:numPr>
      </w:pPr>
      <w:r w:rsidRPr="00905D9E">
        <w:t>It usually begins with a statement: “So far as the Directors are aware, immediately following the completion of the Global Offering, the following persons will be entitled to exercise, or control the exercise of, 5% or more of the voting power at general meetings of our Company.”</w:t>
      </w:r>
    </w:p>
    <w:p w14:paraId="3D5D6726" w14:textId="77777777" w:rsidR="00905D9E" w:rsidRPr="00905D9E" w:rsidRDefault="00905D9E" w:rsidP="00905D9E">
      <w:pPr>
        <w:pStyle w:val="a0"/>
      </w:pPr>
      <w:r w:rsidRPr="00905D9E">
        <w:rPr>
          <w:b/>
          <w:bCs/>
        </w:rPr>
        <w:t>What must be listed</w:t>
      </w:r>
    </w:p>
    <w:p w14:paraId="434B01E2" w14:textId="77777777" w:rsidR="00905D9E" w:rsidRPr="00905D9E" w:rsidRDefault="00905D9E" w:rsidP="00905D9E">
      <w:pPr>
        <w:pStyle w:val="a0"/>
        <w:numPr>
          <w:ilvl w:val="0"/>
          <w:numId w:val="183"/>
        </w:numPr>
      </w:pPr>
      <w:r w:rsidRPr="00905D9E">
        <w:t>Then list the names of the substantial shareholders, and their shareholding percentages before and after the offering.</w:t>
      </w:r>
    </w:p>
    <w:p w14:paraId="2F941637" w14:textId="77777777" w:rsidR="00905D9E" w:rsidRPr="00905D9E" w:rsidRDefault="00905D9E" w:rsidP="00905D9E">
      <w:pPr>
        <w:pStyle w:val="a0"/>
        <w:numPr>
          <w:ilvl w:val="0"/>
          <w:numId w:val="183"/>
        </w:numPr>
      </w:pPr>
      <w:r w:rsidRPr="00905D9E">
        <w:t xml:space="preserve">For example: “Mr. Wang Ning – approximately X% of our issued share capital immediately after Listing (through GWF Holding and Tianjin </w:t>
      </w:r>
      <w:proofErr w:type="spellStart"/>
      <w:r w:rsidRPr="00905D9E">
        <w:t>Paqu</w:t>
      </w:r>
      <w:proofErr w:type="spellEnd"/>
      <w:r w:rsidRPr="00905D9E">
        <w:t xml:space="preserve"> Holding Limited)”.</w:t>
      </w:r>
    </w:p>
    <w:p w14:paraId="5F251106" w14:textId="77777777" w:rsidR="00905D9E" w:rsidRPr="00905D9E" w:rsidRDefault="00905D9E" w:rsidP="00905D9E">
      <w:pPr>
        <w:pStyle w:val="a0"/>
      </w:pPr>
      <w:r w:rsidRPr="00905D9E">
        <w:rPr>
          <w:b/>
          <w:bCs/>
        </w:rPr>
        <w:t>Intermediary entities</w:t>
      </w:r>
    </w:p>
    <w:p w14:paraId="2C0AF33D" w14:textId="77777777" w:rsidR="00905D9E" w:rsidRPr="00905D9E" w:rsidRDefault="00905D9E" w:rsidP="00905D9E">
      <w:pPr>
        <w:pStyle w:val="a0"/>
        <w:numPr>
          <w:ilvl w:val="0"/>
          <w:numId w:val="184"/>
        </w:numPr>
      </w:pPr>
      <w:r w:rsidRPr="00905D9E">
        <w:t>If the shares are held through intermediary entities or trusts, those should be named and it should be explained that the individual is the ultimate owner.</w:t>
      </w:r>
    </w:p>
    <w:p w14:paraId="3B223FC1" w14:textId="77777777" w:rsidR="00905D9E" w:rsidRPr="00905D9E" w:rsidRDefault="00905D9E" w:rsidP="00905D9E">
      <w:pPr>
        <w:pStyle w:val="a0"/>
        <w:numPr>
          <w:ilvl w:val="0"/>
          <w:numId w:val="184"/>
        </w:numPr>
      </w:pPr>
      <w:r w:rsidRPr="00905D9E">
        <w:t>In Pop Mart’s case, Mr. Wang held shares via entities like GWF Holding, so the prospectus likely lists GWF Holding (BVI company) with the percentage and notes Mr. Wang is behind it.</w:t>
      </w:r>
    </w:p>
    <w:p w14:paraId="2BF4ABBA" w14:textId="77777777" w:rsidR="00905D9E" w:rsidRPr="00905D9E" w:rsidRDefault="00905D9E" w:rsidP="00905D9E">
      <w:pPr>
        <w:pStyle w:val="a0"/>
      </w:pPr>
      <w:r w:rsidRPr="00905D9E">
        <w:rPr>
          <w:b/>
          <w:bCs/>
        </w:rPr>
        <w:t>Other substantial holders</w:t>
      </w:r>
    </w:p>
    <w:p w14:paraId="646CC587" w14:textId="77777777" w:rsidR="00905D9E" w:rsidRPr="00905D9E" w:rsidRDefault="00905D9E" w:rsidP="00905D9E">
      <w:pPr>
        <w:pStyle w:val="a0"/>
        <w:numPr>
          <w:ilvl w:val="0"/>
          <w:numId w:val="185"/>
        </w:numPr>
      </w:pPr>
      <w:r w:rsidRPr="00905D9E">
        <w:t>The same goes for any co-founders or large investors.</w:t>
      </w:r>
    </w:p>
    <w:p w14:paraId="3BE2A668" w14:textId="77777777" w:rsidR="00905D9E" w:rsidRPr="00905D9E" w:rsidRDefault="00905D9E" w:rsidP="00905D9E">
      <w:pPr>
        <w:pStyle w:val="a0"/>
        <w:numPr>
          <w:ilvl w:val="0"/>
          <w:numId w:val="185"/>
        </w:numPr>
      </w:pPr>
      <w:r w:rsidRPr="00905D9E">
        <w:t>If there were pre-IPO investors whose holdings remain above 5%, list them too (e.g., venture capital funds or strategic partners). Provide the entity name and percentage.</w:t>
      </w:r>
    </w:p>
    <w:p w14:paraId="0116BFDF" w14:textId="77777777" w:rsidR="00905D9E" w:rsidRPr="00905D9E" w:rsidRDefault="00905D9E" w:rsidP="00905D9E">
      <w:pPr>
        <w:pStyle w:val="a0"/>
      </w:pPr>
      <w:r w:rsidRPr="00905D9E">
        <w:rPr>
          <w:b/>
          <w:bCs/>
        </w:rPr>
        <w:t>Relationships</w:t>
      </w:r>
    </w:p>
    <w:p w14:paraId="60CB8A8D" w14:textId="77777777" w:rsidR="00905D9E" w:rsidRPr="00905D9E" w:rsidRDefault="00905D9E" w:rsidP="00905D9E">
      <w:pPr>
        <w:pStyle w:val="a0"/>
        <w:numPr>
          <w:ilvl w:val="0"/>
          <w:numId w:val="186"/>
        </w:numPr>
      </w:pPr>
      <w:r w:rsidRPr="00905D9E">
        <w:t>If any of these are also directors or connected persons, mention that relationship (though it might have been earlier, it can be cross-referenced).</w:t>
      </w:r>
    </w:p>
    <w:p w14:paraId="7B8F3A6E" w14:textId="77777777" w:rsidR="00905D9E" w:rsidRPr="00905D9E" w:rsidRDefault="00905D9E" w:rsidP="00905D9E">
      <w:pPr>
        <w:pStyle w:val="a0"/>
      </w:pPr>
      <w:r w:rsidRPr="00905D9E">
        <w:rPr>
          <w:b/>
          <w:bCs/>
        </w:rPr>
        <w:lastRenderedPageBreak/>
        <w:t>Typical presentation format</w:t>
      </w:r>
    </w:p>
    <w:p w14:paraId="40C19941" w14:textId="77777777" w:rsidR="00905D9E" w:rsidRPr="00905D9E" w:rsidRDefault="00905D9E" w:rsidP="00905D9E">
      <w:pPr>
        <w:pStyle w:val="a0"/>
        <w:numPr>
          <w:ilvl w:val="0"/>
          <w:numId w:val="187"/>
        </w:numPr>
      </w:pPr>
      <w:r w:rsidRPr="00905D9E">
        <w:t>The section might be formatted as a table with columns: Name of Shareholder, Number of Shares, % before, % after.</w:t>
      </w:r>
    </w:p>
    <w:p w14:paraId="5E211FDD" w14:textId="77777777" w:rsidR="00905D9E" w:rsidRPr="00905D9E" w:rsidRDefault="00905D9E" w:rsidP="00905D9E">
      <w:pPr>
        <w:pStyle w:val="a0"/>
        <w:numPr>
          <w:ilvl w:val="0"/>
          <w:numId w:val="187"/>
        </w:numPr>
      </w:pPr>
      <w:r w:rsidRPr="00905D9E">
        <w:t>The AI can describe or list in text with percentages.</w:t>
      </w:r>
    </w:p>
    <w:p w14:paraId="37D0458A" w14:textId="77777777" w:rsidR="00905D9E" w:rsidRPr="00905D9E" w:rsidRDefault="00905D9E" w:rsidP="00905D9E">
      <w:pPr>
        <w:pStyle w:val="a0"/>
      </w:pPr>
      <w:r w:rsidRPr="00905D9E">
        <w:rPr>
          <w:b/>
          <w:bCs/>
        </w:rPr>
        <w:t>Relationship to controlling shareholder</w:t>
      </w:r>
    </w:p>
    <w:p w14:paraId="4C089A52" w14:textId="77777777" w:rsidR="00905D9E" w:rsidRPr="00905D9E" w:rsidRDefault="00905D9E" w:rsidP="00905D9E">
      <w:pPr>
        <w:pStyle w:val="a0"/>
        <w:numPr>
          <w:ilvl w:val="0"/>
          <w:numId w:val="188"/>
        </w:numPr>
      </w:pPr>
      <w:r w:rsidRPr="00905D9E">
        <w:t>Often, the controlling shareholders are part of this list; their stakes have been discussed in the controlling shareholder section, but here it’s formalized with exact numbers.</w:t>
      </w:r>
    </w:p>
    <w:p w14:paraId="011517CE" w14:textId="77777777" w:rsidR="00905D9E" w:rsidRPr="00905D9E" w:rsidRDefault="00905D9E" w:rsidP="00905D9E">
      <w:pPr>
        <w:pStyle w:val="a0"/>
        <w:numPr>
          <w:ilvl w:val="0"/>
          <w:numId w:val="188"/>
        </w:numPr>
      </w:pPr>
      <w:r w:rsidRPr="00905D9E">
        <w:t>It might also clarify if any substantial shareholders are part of a concert party (acting together).</w:t>
      </w:r>
    </w:p>
    <w:p w14:paraId="213EEF69" w14:textId="77777777" w:rsidR="00905D9E" w:rsidRPr="00905D9E" w:rsidRDefault="00905D9E" w:rsidP="00905D9E">
      <w:pPr>
        <w:pStyle w:val="a0"/>
      </w:pPr>
      <w:r w:rsidRPr="00905D9E">
        <w:rPr>
          <w:b/>
          <w:bCs/>
        </w:rPr>
        <w:t>Public float note</w:t>
      </w:r>
    </w:p>
    <w:p w14:paraId="0673641E" w14:textId="77777777" w:rsidR="00905D9E" w:rsidRPr="00905D9E" w:rsidRDefault="00905D9E" w:rsidP="00905D9E">
      <w:pPr>
        <w:pStyle w:val="a0"/>
        <w:numPr>
          <w:ilvl w:val="0"/>
          <w:numId w:val="189"/>
        </w:numPr>
      </w:pPr>
      <w:r w:rsidRPr="00905D9E">
        <w:t>The content should also mention if the public float (shares not owned by these substantial holders or directors) will be at least the required minimum (usually 25%).</w:t>
      </w:r>
    </w:p>
    <w:p w14:paraId="13D49121" w14:textId="77777777" w:rsidR="00905D9E" w:rsidRPr="00905D9E" w:rsidRDefault="00905D9E" w:rsidP="00905D9E">
      <w:pPr>
        <w:pStyle w:val="a0"/>
        <w:numPr>
          <w:ilvl w:val="0"/>
          <w:numId w:val="189"/>
        </w:numPr>
      </w:pPr>
      <w:r w:rsidRPr="00905D9E">
        <w:t>Usually not explicitly written here, but indirectly obvious from percentages given.</w:t>
      </w:r>
    </w:p>
    <w:p w14:paraId="5CD05FFD" w14:textId="77777777" w:rsidR="00905D9E" w:rsidRPr="00905D9E" w:rsidRDefault="00905D9E" w:rsidP="00905D9E">
      <w:pPr>
        <w:pStyle w:val="a0"/>
      </w:pPr>
      <w:r w:rsidRPr="00905D9E">
        <w:rPr>
          <w:b/>
          <w:bCs/>
        </w:rPr>
        <w:t>Granularity</w:t>
      </w:r>
    </w:p>
    <w:p w14:paraId="40FF498F" w14:textId="77777777" w:rsidR="00905D9E" w:rsidRPr="00905D9E" w:rsidRDefault="00905D9E" w:rsidP="00905D9E">
      <w:pPr>
        <w:pStyle w:val="a0"/>
        <w:numPr>
          <w:ilvl w:val="0"/>
          <w:numId w:val="190"/>
        </w:numPr>
      </w:pPr>
      <w:r w:rsidRPr="00905D9E">
        <w:t>Granularity requires precise percentage figures (rounded to two decimal places typically) and the names as registered (if a trust, its name; if a company, full name).</w:t>
      </w:r>
    </w:p>
    <w:p w14:paraId="1CB5D09D" w14:textId="77777777" w:rsidR="00905D9E" w:rsidRPr="00905D9E" w:rsidRDefault="00905D9E" w:rsidP="00905D9E">
      <w:pPr>
        <w:pStyle w:val="a0"/>
        <w:numPr>
          <w:ilvl w:val="0"/>
          <w:numId w:val="190"/>
        </w:numPr>
      </w:pPr>
      <w:r w:rsidRPr="00905D9E">
        <w:t>If any substantial shareholder is an entity, sometimes a brief description like “a company incorporated in [jurisdiction]” is added.</w:t>
      </w:r>
    </w:p>
    <w:p w14:paraId="0610CC77" w14:textId="77777777" w:rsidR="00905D9E" w:rsidRPr="00905D9E" w:rsidRDefault="00905D9E" w:rsidP="00905D9E">
      <w:pPr>
        <w:pStyle w:val="a0"/>
      </w:pPr>
      <w:r w:rsidRPr="00905D9E">
        <w:rPr>
          <w:b/>
          <w:bCs/>
        </w:rPr>
        <w:t>Lock-up (if relevant)</w:t>
      </w:r>
    </w:p>
    <w:p w14:paraId="4D8091E6" w14:textId="77777777" w:rsidR="00905D9E" w:rsidRPr="00905D9E" w:rsidRDefault="00905D9E" w:rsidP="00905D9E">
      <w:pPr>
        <w:pStyle w:val="a0"/>
        <w:numPr>
          <w:ilvl w:val="0"/>
          <w:numId w:val="191"/>
        </w:numPr>
      </w:pPr>
      <w:r w:rsidRPr="00905D9E">
        <w:t>Additionally, this section or an adjacent one often mentions any lock-up arrangements (e.g., controlling shareholders undertaking not to dispose of shares for a certain period post-IPO).</w:t>
      </w:r>
    </w:p>
    <w:p w14:paraId="586A05E3" w14:textId="77777777" w:rsidR="00905D9E" w:rsidRPr="00905D9E" w:rsidRDefault="00905D9E" w:rsidP="00905D9E">
      <w:pPr>
        <w:pStyle w:val="a0"/>
        <w:numPr>
          <w:ilvl w:val="0"/>
          <w:numId w:val="191"/>
        </w:numPr>
      </w:pPr>
      <w:r w:rsidRPr="00905D9E">
        <w:t>If relevant, the AI should include: “Our Controlling Shareholder(s) will be subject to a lock-up of X months from the Listing Date, during which they will not dispose of any Shares” (these details might be also in Underwriting section, but summarizing here is useful).</w:t>
      </w:r>
    </w:p>
    <w:p w14:paraId="7670AD6D" w14:textId="77777777" w:rsidR="00905D9E" w:rsidRPr="00905D9E" w:rsidRDefault="00905D9E" w:rsidP="00905D9E">
      <w:pPr>
        <w:pStyle w:val="a0"/>
      </w:pPr>
      <w:r w:rsidRPr="00905D9E">
        <w:rPr>
          <w:b/>
          <w:bCs/>
        </w:rPr>
        <w:t>Ultimate control transparency</w:t>
      </w:r>
    </w:p>
    <w:p w14:paraId="5BBA383D" w14:textId="77777777" w:rsidR="00905D9E" w:rsidRPr="00905D9E" w:rsidRDefault="00905D9E" w:rsidP="00905D9E">
      <w:pPr>
        <w:pStyle w:val="a0"/>
        <w:numPr>
          <w:ilvl w:val="0"/>
          <w:numId w:val="192"/>
        </w:numPr>
      </w:pPr>
      <w:r w:rsidRPr="00905D9E">
        <w:t>Finally, it may note if any substantial shareholder is a corporate entity that is ultimately controlled by someone (for transparency).</w:t>
      </w:r>
    </w:p>
    <w:p w14:paraId="120C6FED" w14:textId="77777777" w:rsidR="00905D9E" w:rsidRPr="00905D9E" w:rsidRDefault="00905D9E" w:rsidP="00905D9E">
      <w:pPr>
        <w:pStyle w:val="a0"/>
        <w:numPr>
          <w:ilvl w:val="0"/>
          <w:numId w:val="192"/>
        </w:numPr>
      </w:pPr>
      <w:r w:rsidRPr="00905D9E">
        <w:lastRenderedPageBreak/>
        <w:t>For instance, “ABC Fund holds 6%, and its general partner is XYZ Capital, which is managed by Mr. John Doe.”</w:t>
      </w:r>
    </w:p>
    <w:p w14:paraId="022EA2EE" w14:textId="77777777" w:rsidR="00905D9E" w:rsidRPr="00905D9E" w:rsidRDefault="00905D9E" w:rsidP="00905D9E">
      <w:pPr>
        <w:pStyle w:val="a0"/>
      </w:pPr>
      <w:r w:rsidRPr="00905D9E">
        <w:rPr>
          <w:b/>
          <w:bCs/>
        </w:rPr>
        <w:t>Tone &amp; outcome</w:t>
      </w:r>
    </w:p>
    <w:p w14:paraId="522D310B" w14:textId="77777777" w:rsidR="00905D9E" w:rsidRPr="00905D9E" w:rsidRDefault="00905D9E" w:rsidP="00905D9E">
      <w:pPr>
        <w:pStyle w:val="a0"/>
        <w:numPr>
          <w:ilvl w:val="0"/>
          <w:numId w:val="193"/>
        </w:numPr>
      </w:pPr>
      <w:r w:rsidRPr="00905D9E">
        <w:t>The tone is straightforward and factual.</w:t>
      </w:r>
    </w:p>
    <w:p w14:paraId="2ABF4FC3" w14:textId="77777777" w:rsidR="00905D9E" w:rsidRPr="00905D9E" w:rsidRDefault="00905D9E" w:rsidP="00905D9E">
      <w:pPr>
        <w:pStyle w:val="a0"/>
        <w:numPr>
          <w:ilvl w:val="0"/>
          <w:numId w:val="193"/>
        </w:numPr>
      </w:pPr>
      <w:r w:rsidRPr="00905D9E">
        <w:t>It essentially informs new investors who the major owners of the company are, which is important for understanding control and potential influence.</w:t>
      </w:r>
    </w:p>
    <w:p w14:paraId="0863B161" w14:textId="77777777" w:rsidR="00905D9E" w:rsidRPr="00905D9E" w:rsidRDefault="00905D9E" w:rsidP="00905D9E">
      <w:pPr>
        <w:pStyle w:val="a0"/>
        <w:numPr>
          <w:ilvl w:val="0"/>
          <w:numId w:val="193"/>
        </w:numPr>
      </w:pPr>
      <w:r w:rsidRPr="00905D9E">
        <w:t>By listing these, along with their stakes, investors can gauge the concentration of ownership post-IPO.</w:t>
      </w:r>
    </w:p>
    <w:p w14:paraId="55896548" w14:textId="77777777" w:rsidR="0074610B" w:rsidRPr="0074610B" w:rsidRDefault="0074610B" w:rsidP="0074610B">
      <w:pPr>
        <w:pStyle w:val="a0"/>
      </w:pPr>
      <w:r w:rsidRPr="0074610B">
        <w:rPr>
          <w:b/>
          <w:bCs/>
        </w:rPr>
        <w:t>Sponsor Counsel Enhancements:</w:t>
      </w:r>
    </w:p>
    <w:p w14:paraId="12FF6CC0" w14:textId="77777777" w:rsidR="0074610B" w:rsidRPr="0074610B" w:rsidRDefault="0074610B" w:rsidP="0074610B">
      <w:pPr>
        <w:pStyle w:val="a0"/>
        <w:numPr>
          <w:ilvl w:val="0"/>
          <w:numId w:val="28"/>
        </w:numPr>
      </w:pPr>
      <w:r w:rsidRPr="0074610B">
        <w:t>Apply [[AI:LPD]] to all shareholding tables; require reconciliation to Share Capital and to any cornerstone allocations.</w:t>
      </w:r>
    </w:p>
    <w:p w14:paraId="6BFBC34F" w14:textId="77777777" w:rsidR="0074610B" w:rsidRPr="0074610B" w:rsidRDefault="0074610B" w:rsidP="0074610B">
      <w:pPr>
        <w:pStyle w:val="a0"/>
        <w:numPr>
          <w:ilvl w:val="0"/>
          <w:numId w:val="28"/>
        </w:numPr>
      </w:pPr>
      <w:r w:rsidRPr="0074610B">
        <w:t>Add [[</w:t>
      </w:r>
      <w:proofErr w:type="spellStart"/>
      <w:r w:rsidRPr="0074610B">
        <w:t>AI:VERIFY|evidence</w:t>
      </w:r>
      <w:proofErr w:type="spellEnd"/>
      <w:r w:rsidRPr="0074610B">
        <w:t>=register of members; legal ownership structure charts]]. </w:t>
      </w:r>
    </w:p>
    <w:p w14:paraId="3480AB6E" w14:textId="77777777" w:rsidR="0074610B" w:rsidRPr="0074610B" w:rsidRDefault="0074610B" w:rsidP="0074610B">
      <w:pPr>
        <w:pStyle w:val="a0"/>
      </w:pPr>
      <w:r w:rsidRPr="0074610B">
        <w:rPr>
          <w:b/>
          <w:bCs/>
        </w:rPr>
        <w:t>Enhanced sample paragraph:</w:t>
      </w:r>
      <w:r w:rsidRPr="0074610B">
        <w:br/>
        <w:t>“This section identifies our substantial shareholders and sets out their respective shareholdings as of the Latest Practicable Date (and, where relevant, immediately following completion of the Global Offering), based on our register of members and other verifiable ownership information. The shareholding information is presented in a clear tabular format and is reconciled to the ‘Share Capital’ section. [[</w:t>
      </w:r>
      <w:proofErr w:type="spellStart"/>
      <w:r w:rsidRPr="0074610B">
        <w:t>AI:LPD|refresh</w:t>
      </w:r>
      <w:proofErr w:type="spellEnd"/>
      <w:r w:rsidRPr="0074610B">
        <w:t>=shareholding table]] [[</w:t>
      </w:r>
      <w:proofErr w:type="spellStart"/>
      <w:r w:rsidRPr="0074610B">
        <w:t>AI:VERIFY|evidence</w:t>
      </w:r>
      <w:proofErr w:type="spellEnd"/>
      <w:r w:rsidRPr="0074610B">
        <w:t>=register of members and ownership confirmations]] [[</w:t>
      </w:r>
      <w:proofErr w:type="spellStart"/>
      <w:r w:rsidRPr="0074610B">
        <w:t>AI:XREF|to</w:t>
      </w:r>
      <w:proofErr w:type="spellEnd"/>
      <w:r w:rsidRPr="0074610B">
        <w:t>=Share Capital]]”</w:t>
      </w:r>
    </w:p>
    <w:p w14:paraId="473D6D02" w14:textId="77777777" w:rsidR="0074610B" w:rsidRPr="0074610B" w:rsidRDefault="0074610B" w:rsidP="0074610B">
      <w:pPr>
        <w:pStyle w:val="a0"/>
        <w:rPr>
          <w:b/>
          <w:bCs/>
          <w:i/>
          <w:iCs/>
          <w:sz w:val="28"/>
          <w:szCs w:val="28"/>
        </w:rPr>
      </w:pPr>
      <w:r w:rsidRPr="0074610B">
        <w:rPr>
          <w:b/>
          <w:bCs/>
          <w:i/>
          <w:iCs/>
          <w:sz w:val="28"/>
          <w:szCs w:val="28"/>
        </w:rPr>
        <w:t>Share Capital</w:t>
      </w:r>
    </w:p>
    <w:p w14:paraId="75619DB9" w14:textId="77777777" w:rsidR="00905D9E" w:rsidRPr="00905D9E" w:rsidRDefault="00905D9E" w:rsidP="00905D9E">
      <w:pPr>
        <w:pStyle w:val="a0"/>
        <w:rPr>
          <w:b/>
          <w:bCs/>
        </w:rPr>
      </w:pPr>
      <w:r w:rsidRPr="00905D9E">
        <w:rPr>
          <w:b/>
          <w:bCs/>
        </w:rPr>
        <w:t>Purpose</w:t>
      </w:r>
    </w:p>
    <w:p w14:paraId="3CECBCB7" w14:textId="77777777" w:rsidR="00905D9E" w:rsidRPr="00905D9E" w:rsidRDefault="00905D9E" w:rsidP="00905D9E">
      <w:pPr>
        <w:pStyle w:val="a0"/>
        <w:numPr>
          <w:ilvl w:val="0"/>
          <w:numId w:val="194"/>
        </w:numPr>
        <w:rPr>
          <w:b/>
          <w:bCs/>
        </w:rPr>
      </w:pPr>
      <w:r w:rsidRPr="00905D9E">
        <w:rPr>
          <w:b/>
          <w:bCs/>
        </w:rPr>
        <w:t>The Share Capital section describes the company’s capital structure and the changes to it through the offering.</w:t>
      </w:r>
    </w:p>
    <w:p w14:paraId="611091B8" w14:textId="77777777" w:rsidR="00905D9E" w:rsidRPr="00905D9E" w:rsidRDefault="00905D9E" w:rsidP="00905D9E">
      <w:pPr>
        <w:pStyle w:val="a0"/>
        <w:rPr>
          <w:b/>
          <w:bCs/>
        </w:rPr>
      </w:pPr>
      <w:r w:rsidRPr="00905D9E">
        <w:rPr>
          <w:b/>
          <w:bCs/>
        </w:rPr>
        <w:t>Core disclosures</w:t>
      </w:r>
    </w:p>
    <w:p w14:paraId="53B3267F" w14:textId="77777777" w:rsidR="00905D9E" w:rsidRPr="00905D9E" w:rsidRDefault="00905D9E" w:rsidP="00905D9E">
      <w:pPr>
        <w:pStyle w:val="a0"/>
        <w:numPr>
          <w:ilvl w:val="0"/>
          <w:numId w:val="195"/>
        </w:numPr>
        <w:rPr>
          <w:b/>
          <w:bCs/>
        </w:rPr>
      </w:pPr>
      <w:r w:rsidRPr="00905D9E">
        <w:rPr>
          <w:b/>
          <w:bCs/>
        </w:rPr>
        <w:t>The AI should begin with a statement of the authorized share capital and the issued share capital before the IPO, and then detail the changes after the IPO.</w:t>
      </w:r>
    </w:p>
    <w:p w14:paraId="1AD8AA22" w14:textId="77777777" w:rsidR="00905D9E" w:rsidRPr="00905D9E" w:rsidRDefault="00905D9E" w:rsidP="00905D9E">
      <w:pPr>
        <w:pStyle w:val="a0"/>
        <w:numPr>
          <w:ilvl w:val="0"/>
          <w:numId w:val="195"/>
        </w:numPr>
        <w:rPr>
          <w:b/>
          <w:bCs/>
        </w:rPr>
      </w:pPr>
      <w:r w:rsidRPr="00905D9E">
        <w:rPr>
          <w:b/>
          <w:bCs/>
        </w:rPr>
        <w:t>For instance, it will say something like: “Our authorized share capital is US$500,000 divided into 5,000,000,000 Shares of US$0.0001 each. Prior to the Global Offering, we had 124,586,515 Shares in issue. Immediately following the completion of the Capitalization Issue and the Global Offering, we will have 1,381,580,350 Shares in issue.”</w:t>
      </w:r>
    </w:p>
    <w:p w14:paraId="0503A595" w14:textId="77777777" w:rsidR="00905D9E" w:rsidRPr="00905D9E" w:rsidRDefault="00905D9E" w:rsidP="00905D9E">
      <w:pPr>
        <w:pStyle w:val="a0"/>
        <w:rPr>
          <w:b/>
          <w:bCs/>
        </w:rPr>
      </w:pPr>
      <w:r w:rsidRPr="00905D9E">
        <w:rPr>
          <w:b/>
          <w:bCs/>
        </w:rPr>
        <w:lastRenderedPageBreak/>
        <w:t>How to present</w:t>
      </w:r>
    </w:p>
    <w:p w14:paraId="77F406B0" w14:textId="77777777" w:rsidR="00905D9E" w:rsidRPr="00905D9E" w:rsidRDefault="00905D9E" w:rsidP="00905D9E">
      <w:pPr>
        <w:pStyle w:val="a0"/>
        <w:numPr>
          <w:ilvl w:val="0"/>
          <w:numId w:val="196"/>
        </w:numPr>
        <w:rPr>
          <w:b/>
          <w:bCs/>
        </w:rPr>
      </w:pPr>
      <w:r w:rsidRPr="00905D9E">
        <w:rPr>
          <w:b/>
          <w:bCs/>
        </w:rPr>
        <w:t>The AI should present these figures, usually as a mini-table or neatly in text, to show the stepwise changes (as seen in the prospectus example where they list shares in issue before, the new shares from capitalization, new shares from the offering, and total after).</w:t>
      </w:r>
    </w:p>
    <w:p w14:paraId="67B18BAA" w14:textId="77777777" w:rsidR="00905D9E" w:rsidRPr="00905D9E" w:rsidRDefault="00905D9E" w:rsidP="00905D9E">
      <w:pPr>
        <w:pStyle w:val="a0"/>
        <w:rPr>
          <w:b/>
          <w:bCs/>
        </w:rPr>
      </w:pPr>
      <w:r w:rsidRPr="00905D9E">
        <w:rPr>
          <w:b/>
          <w:bCs/>
        </w:rPr>
        <w:t>Capitalization Issue explanation</w:t>
      </w:r>
    </w:p>
    <w:p w14:paraId="2147F12B" w14:textId="77777777" w:rsidR="00905D9E" w:rsidRPr="00905D9E" w:rsidRDefault="00905D9E" w:rsidP="00905D9E">
      <w:pPr>
        <w:pStyle w:val="a0"/>
        <w:numPr>
          <w:ilvl w:val="0"/>
          <w:numId w:val="197"/>
        </w:numPr>
        <w:rPr>
          <w:b/>
          <w:bCs/>
        </w:rPr>
      </w:pPr>
      <w:r w:rsidRPr="00905D9E">
        <w:rPr>
          <w:b/>
          <w:bCs/>
        </w:rPr>
        <w:t xml:space="preserve">The “Capitalization Issue” (or </w:t>
      </w:r>
      <w:proofErr w:type="spellStart"/>
      <w:r w:rsidRPr="00905D9E">
        <w:rPr>
          <w:b/>
          <w:bCs/>
        </w:rPr>
        <w:t>capitalisation</w:t>
      </w:r>
      <w:proofErr w:type="spellEnd"/>
      <w:r w:rsidRPr="00905D9E">
        <w:rPr>
          <w:b/>
          <w:bCs/>
        </w:rPr>
        <w:t xml:space="preserve"> of reserves, also known as a bonus issue or stock split allotted to existing shareholders) is a common step, and the AI must describe it: basically the company issuing a large number of new shares for free to existing shareholders to increase the share count (often to a round number) by converting share premium into share capital.</w:t>
      </w:r>
    </w:p>
    <w:p w14:paraId="5FFBD47D" w14:textId="77777777" w:rsidR="00905D9E" w:rsidRPr="00905D9E" w:rsidRDefault="00905D9E" w:rsidP="00905D9E">
      <w:pPr>
        <w:pStyle w:val="a0"/>
        <w:numPr>
          <w:ilvl w:val="0"/>
          <w:numId w:val="197"/>
        </w:numPr>
        <w:rPr>
          <w:b/>
          <w:bCs/>
        </w:rPr>
      </w:pPr>
      <w:r w:rsidRPr="00905D9E">
        <w:rPr>
          <w:b/>
          <w:bCs/>
        </w:rPr>
        <w:t>E.g., “conditional on the share premium account being credited with the IPO proceeds, X number of shares will be issued and allotted as fully paid to the existing shareholders on the register as of [date] by way of capitalization of HK$Y from the share premium account”.</w:t>
      </w:r>
    </w:p>
    <w:p w14:paraId="5B139F64" w14:textId="77777777" w:rsidR="00905D9E" w:rsidRPr="00905D9E" w:rsidRDefault="00905D9E" w:rsidP="00905D9E">
      <w:pPr>
        <w:pStyle w:val="a0"/>
        <w:rPr>
          <w:b/>
          <w:bCs/>
        </w:rPr>
      </w:pPr>
      <w:r w:rsidRPr="00905D9E">
        <w:rPr>
          <w:b/>
          <w:bCs/>
        </w:rPr>
        <w:t>Share rights</w:t>
      </w:r>
    </w:p>
    <w:p w14:paraId="1AD6B352" w14:textId="77777777" w:rsidR="00905D9E" w:rsidRPr="00905D9E" w:rsidRDefault="00905D9E" w:rsidP="00905D9E">
      <w:pPr>
        <w:pStyle w:val="a0"/>
        <w:numPr>
          <w:ilvl w:val="0"/>
          <w:numId w:val="198"/>
        </w:numPr>
        <w:rPr>
          <w:b/>
          <w:bCs/>
        </w:rPr>
      </w:pPr>
      <w:r w:rsidRPr="00905D9E">
        <w:rPr>
          <w:b/>
          <w:bCs/>
        </w:rPr>
        <w:t>The section should also clarify the par value of shares and that the Offer Shares (new shares being sold) will rank pari passu with existing shares in all respects (i.e., same rights to dividends, etc.).</w:t>
      </w:r>
    </w:p>
    <w:p w14:paraId="39AA0B29" w14:textId="77777777" w:rsidR="00905D9E" w:rsidRPr="00905D9E" w:rsidRDefault="00905D9E" w:rsidP="00905D9E">
      <w:pPr>
        <w:pStyle w:val="a0"/>
        <w:rPr>
          <w:b/>
          <w:bCs/>
        </w:rPr>
      </w:pPr>
      <w:r w:rsidRPr="00905D9E">
        <w:rPr>
          <w:b/>
          <w:bCs/>
        </w:rPr>
        <w:t>Multiple classes / WVR</w:t>
      </w:r>
    </w:p>
    <w:p w14:paraId="4B7AEA7A" w14:textId="77777777" w:rsidR="00905D9E" w:rsidRPr="00905D9E" w:rsidRDefault="00905D9E" w:rsidP="00905D9E">
      <w:pPr>
        <w:pStyle w:val="a0"/>
        <w:numPr>
          <w:ilvl w:val="0"/>
          <w:numId w:val="199"/>
        </w:numPr>
        <w:rPr>
          <w:b/>
          <w:bCs/>
        </w:rPr>
      </w:pPr>
      <w:r w:rsidRPr="00905D9E">
        <w:rPr>
          <w:b/>
          <w:bCs/>
        </w:rPr>
        <w:t>Additionally, if the company has any other classes of shares or special share structures (like dual-class stock, preferred shares, etc.), they should be described.</w:t>
      </w:r>
    </w:p>
    <w:p w14:paraId="45822835" w14:textId="77777777" w:rsidR="00905D9E" w:rsidRPr="00905D9E" w:rsidRDefault="00905D9E" w:rsidP="00905D9E">
      <w:pPr>
        <w:pStyle w:val="a0"/>
        <w:numPr>
          <w:ilvl w:val="0"/>
          <w:numId w:val="199"/>
        </w:numPr>
        <w:rPr>
          <w:b/>
          <w:bCs/>
        </w:rPr>
      </w:pPr>
      <w:r w:rsidRPr="00905D9E">
        <w:rPr>
          <w:b/>
          <w:bCs/>
        </w:rPr>
        <w:t>In our context, both Pop Mart and Li Auto were ordinary shares (Li Auto had WVR structure possibly, but as a HK listing with WVR, that might involve Class A and Class B shares – if so, describe the differences in voting rights and how many of each class).</w:t>
      </w:r>
    </w:p>
    <w:p w14:paraId="2D4D4396" w14:textId="77777777" w:rsidR="00905D9E" w:rsidRPr="00905D9E" w:rsidRDefault="00905D9E" w:rsidP="00905D9E">
      <w:pPr>
        <w:pStyle w:val="a0"/>
        <w:numPr>
          <w:ilvl w:val="0"/>
          <w:numId w:val="199"/>
        </w:numPr>
        <w:rPr>
          <w:b/>
          <w:bCs/>
        </w:rPr>
      </w:pPr>
      <w:r w:rsidRPr="00905D9E">
        <w:rPr>
          <w:b/>
          <w:bCs/>
        </w:rPr>
        <w:t>The question specifically references Pop Mart and Li Auto, and Li Auto was a WVR company in HK (with class B shares to the founder).</w:t>
      </w:r>
    </w:p>
    <w:p w14:paraId="08268C2A" w14:textId="77777777" w:rsidR="00905D9E" w:rsidRPr="00905D9E" w:rsidRDefault="00905D9E" w:rsidP="00905D9E">
      <w:pPr>
        <w:pStyle w:val="a0"/>
        <w:numPr>
          <w:ilvl w:val="0"/>
          <w:numId w:val="199"/>
        </w:numPr>
        <w:rPr>
          <w:b/>
          <w:bCs/>
        </w:rPr>
      </w:pPr>
      <w:r w:rsidRPr="00905D9E">
        <w:rPr>
          <w:b/>
          <w:bCs/>
        </w:rPr>
        <w:t>So, if applicable, the AI should describe that: e.g., “Our share capital comprises Class A ordinary shares (each entitling one vote) and Class B ordinary shares (each entitling 10 votes) held by the Controlling Shareholder, to reflect a weighted voting rights structure.” And mention the numbers of each class pre- and post-IPO.</w:t>
      </w:r>
    </w:p>
    <w:p w14:paraId="49DBE35A" w14:textId="77777777" w:rsidR="00905D9E" w:rsidRPr="00905D9E" w:rsidRDefault="00905D9E" w:rsidP="00905D9E">
      <w:pPr>
        <w:pStyle w:val="a0"/>
        <w:rPr>
          <w:b/>
          <w:bCs/>
        </w:rPr>
      </w:pPr>
      <w:r w:rsidRPr="00905D9E">
        <w:rPr>
          <w:b/>
          <w:bCs/>
        </w:rPr>
        <w:t>Other securities and mandates</w:t>
      </w:r>
    </w:p>
    <w:p w14:paraId="13ADC119" w14:textId="77777777" w:rsidR="00905D9E" w:rsidRPr="00905D9E" w:rsidRDefault="00905D9E" w:rsidP="00905D9E">
      <w:pPr>
        <w:pStyle w:val="a0"/>
        <w:numPr>
          <w:ilvl w:val="0"/>
          <w:numId w:val="200"/>
        </w:numPr>
        <w:rPr>
          <w:b/>
          <w:bCs/>
        </w:rPr>
      </w:pPr>
      <w:r w:rsidRPr="00905D9E">
        <w:rPr>
          <w:b/>
          <w:bCs/>
        </w:rPr>
        <w:lastRenderedPageBreak/>
        <w:t>This section should also mention other securities: any options, RSUs, or convertible instruments outstanding.</w:t>
      </w:r>
    </w:p>
    <w:p w14:paraId="0BD5A7EA" w14:textId="77777777" w:rsidR="00905D9E" w:rsidRPr="00905D9E" w:rsidRDefault="00905D9E" w:rsidP="00905D9E">
      <w:pPr>
        <w:pStyle w:val="a0"/>
        <w:numPr>
          <w:ilvl w:val="0"/>
          <w:numId w:val="200"/>
        </w:numPr>
        <w:rPr>
          <w:b/>
          <w:bCs/>
        </w:rPr>
      </w:pPr>
      <w:r w:rsidRPr="00905D9E">
        <w:rPr>
          <w:b/>
          <w:bCs/>
        </w:rPr>
        <w:t>For example, number of share options granted under any pre-IPO scheme, and if there’s an ESOP (employee share option pool) reserved.</w:t>
      </w:r>
    </w:p>
    <w:p w14:paraId="1E976898" w14:textId="77777777" w:rsidR="00905D9E" w:rsidRPr="00905D9E" w:rsidRDefault="00905D9E" w:rsidP="00905D9E">
      <w:pPr>
        <w:pStyle w:val="a0"/>
        <w:numPr>
          <w:ilvl w:val="0"/>
          <w:numId w:val="200"/>
        </w:numPr>
        <w:rPr>
          <w:b/>
          <w:bCs/>
        </w:rPr>
      </w:pPr>
      <w:r w:rsidRPr="00905D9E">
        <w:rPr>
          <w:b/>
          <w:bCs/>
        </w:rPr>
        <w:t>The prospectus often lists the general mandates that will be sought from shareholders (e.g., a general mandate to issue shares not exceeding 20% of issued capital, and a mandate to repurchase up to 10%).</w:t>
      </w:r>
    </w:p>
    <w:p w14:paraId="3194459E" w14:textId="77777777" w:rsidR="00905D9E" w:rsidRPr="00905D9E" w:rsidRDefault="00905D9E" w:rsidP="00905D9E">
      <w:pPr>
        <w:pStyle w:val="a0"/>
        <w:numPr>
          <w:ilvl w:val="0"/>
          <w:numId w:val="200"/>
        </w:numPr>
        <w:rPr>
          <w:b/>
          <w:bCs/>
        </w:rPr>
      </w:pPr>
      <w:r w:rsidRPr="00905D9E">
        <w:rPr>
          <w:b/>
          <w:bCs/>
        </w:rPr>
        <w:t>The AI can mention that in brief: “At the annual general meeting, our Directors will have a general mandate to allot and issue new shares up to 20% of our then-issued share capital, and a mandate to repurchase shares up to 10%.”</w:t>
      </w:r>
    </w:p>
    <w:p w14:paraId="203F934B" w14:textId="77777777" w:rsidR="00905D9E" w:rsidRPr="00905D9E" w:rsidRDefault="00905D9E" w:rsidP="00905D9E">
      <w:pPr>
        <w:pStyle w:val="a0"/>
        <w:rPr>
          <w:b/>
          <w:bCs/>
        </w:rPr>
      </w:pPr>
      <w:r w:rsidRPr="00905D9E">
        <w:rPr>
          <w:b/>
          <w:bCs/>
        </w:rPr>
        <w:t>Granularity and assumptions</w:t>
      </w:r>
    </w:p>
    <w:p w14:paraId="4202765E" w14:textId="77777777" w:rsidR="00905D9E" w:rsidRPr="00905D9E" w:rsidRDefault="00905D9E" w:rsidP="00905D9E">
      <w:pPr>
        <w:pStyle w:val="a0"/>
        <w:numPr>
          <w:ilvl w:val="0"/>
          <w:numId w:val="201"/>
        </w:numPr>
        <w:rPr>
          <w:b/>
          <w:bCs/>
        </w:rPr>
      </w:pPr>
      <w:r w:rsidRPr="00905D9E">
        <w:rPr>
          <w:b/>
          <w:bCs/>
        </w:rPr>
        <w:t>Granularity needed: exact numbers of shares and currency amounts (par value, total authorized capital).</w:t>
      </w:r>
    </w:p>
    <w:p w14:paraId="7383D0FB" w14:textId="77777777" w:rsidR="00905D9E" w:rsidRPr="00905D9E" w:rsidRDefault="00905D9E" w:rsidP="00905D9E">
      <w:pPr>
        <w:pStyle w:val="a0"/>
        <w:numPr>
          <w:ilvl w:val="0"/>
          <w:numId w:val="201"/>
        </w:numPr>
        <w:rPr>
          <w:b/>
          <w:bCs/>
        </w:rPr>
      </w:pPr>
      <w:r w:rsidRPr="00905D9E">
        <w:rPr>
          <w:b/>
          <w:bCs/>
        </w:rPr>
        <w:t>These numbers are typically given to several decimal places or as exact figures, which the AI should mirror as seen.</w:t>
      </w:r>
    </w:p>
    <w:p w14:paraId="22F52F69" w14:textId="77777777" w:rsidR="00905D9E" w:rsidRPr="00905D9E" w:rsidRDefault="00905D9E" w:rsidP="00905D9E">
      <w:pPr>
        <w:pStyle w:val="a0"/>
        <w:numPr>
          <w:ilvl w:val="0"/>
          <w:numId w:val="201"/>
        </w:numPr>
        <w:rPr>
          <w:b/>
          <w:bCs/>
        </w:rPr>
      </w:pPr>
      <w:r w:rsidRPr="00905D9E">
        <w:rPr>
          <w:b/>
          <w:bCs/>
        </w:rPr>
        <w:t>If a currency conversion is used for par (e.g., US$0.0001 per share, which is common for par in a Cayman company), include that.</w:t>
      </w:r>
    </w:p>
    <w:p w14:paraId="33289D4C" w14:textId="77777777" w:rsidR="00905D9E" w:rsidRPr="00905D9E" w:rsidRDefault="00905D9E" w:rsidP="00905D9E">
      <w:pPr>
        <w:pStyle w:val="a0"/>
        <w:numPr>
          <w:ilvl w:val="0"/>
          <w:numId w:val="201"/>
        </w:numPr>
        <w:rPr>
          <w:b/>
          <w:bCs/>
        </w:rPr>
      </w:pPr>
      <w:r w:rsidRPr="00905D9E">
        <w:rPr>
          <w:b/>
          <w:bCs/>
        </w:rPr>
        <w:t>Also, any changes between prospectus date and listing (like if an over-allotment option could further increase the issued shares) should be noted: prospectus often says “assuming the Over-allotment Option is not exercised” in the calculations, and then states what happens if it is (maybe in a footnote or narrative).</w:t>
      </w:r>
    </w:p>
    <w:p w14:paraId="38273165" w14:textId="77777777" w:rsidR="00905D9E" w:rsidRPr="00905D9E" w:rsidRDefault="00905D9E" w:rsidP="00905D9E">
      <w:pPr>
        <w:pStyle w:val="a0"/>
        <w:numPr>
          <w:ilvl w:val="0"/>
          <w:numId w:val="201"/>
        </w:numPr>
        <w:rPr>
          <w:b/>
          <w:bCs/>
        </w:rPr>
      </w:pPr>
      <w:r w:rsidRPr="00905D9E">
        <w:rPr>
          <w:b/>
          <w:bCs/>
        </w:rPr>
        <w:t>The AI should incorporate that assumption language for completeness.</w:t>
      </w:r>
    </w:p>
    <w:p w14:paraId="529EBFCA" w14:textId="77777777" w:rsidR="00905D9E" w:rsidRPr="00905D9E" w:rsidRDefault="00905D9E" w:rsidP="00905D9E">
      <w:pPr>
        <w:pStyle w:val="a0"/>
        <w:rPr>
          <w:b/>
          <w:bCs/>
        </w:rPr>
      </w:pPr>
      <w:r w:rsidRPr="00905D9E">
        <w:rPr>
          <w:b/>
          <w:bCs/>
        </w:rPr>
        <w:t>Tone &amp; investor value</w:t>
      </w:r>
    </w:p>
    <w:p w14:paraId="2F3088E4" w14:textId="77777777" w:rsidR="00905D9E" w:rsidRPr="00905D9E" w:rsidRDefault="00905D9E" w:rsidP="00905D9E">
      <w:pPr>
        <w:pStyle w:val="a0"/>
        <w:numPr>
          <w:ilvl w:val="0"/>
          <w:numId w:val="202"/>
        </w:numPr>
        <w:rPr>
          <w:b/>
          <w:bCs/>
        </w:rPr>
      </w:pPr>
      <w:r w:rsidRPr="00905D9E">
        <w:rPr>
          <w:b/>
          <w:bCs/>
        </w:rPr>
        <w:t>The tone is formal and precise, with a lot of numerical information.</w:t>
      </w:r>
    </w:p>
    <w:p w14:paraId="74006ADE" w14:textId="77777777" w:rsidR="00905D9E" w:rsidRPr="00905D9E" w:rsidRDefault="00905D9E" w:rsidP="00905D9E">
      <w:pPr>
        <w:pStyle w:val="a0"/>
        <w:numPr>
          <w:ilvl w:val="0"/>
          <w:numId w:val="202"/>
        </w:numPr>
        <w:rPr>
          <w:b/>
          <w:bCs/>
        </w:rPr>
      </w:pPr>
      <w:r w:rsidRPr="00905D9E">
        <w:rPr>
          <w:b/>
          <w:bCs/>
        </w:rPr>
        <w:t>This section reads almost like a legal statement of capital facts.</w:t>
      </w:r>
    </w:p>
    <w:p w14:paraId="4F10B0E5" w14:textId="77777777" w:rsidR="00905D9E" w:rsidRPr="00905D9E" w:rsidRDefault="00905D9E" w:rsidP="00905D9E">
      <w:pPr>
        <w:pStyle w:val="a0"/>
        <w:numPr>
          <w:ilvl w:val="0"/>
          <w:numId w:val="202"/>
        </w:numPr>
        <w:rPr>
          <w:b/>
          <w:bCs/>
        </w:rPr>
      </w:pPr>
      <w:r w:rsidRPr="00905D9E">
        <w:rPr>
          <w:b/>
          <w:bCs/>
        </w:rPr>
        <w:t>It ensures investors know how many shares exist and will exist, and thus their ownership stakes if they buy shares.</w:t>
      </w:r>
    </w:p>
    <w:p w14:paraId="4E5F30E9" w14:textId="77777777" w:rsidR="00905D9E" w:rsidRPr="00905D9E" w:rsidRDefault="00905D9E" w:rsidP="00905D9E">
      <w:pPr>
        <w:pStyle w:val="a0"/>
        <w:numPr>
          <w:ilvl w:val="0"/>
          <w:numId w:val="202"/>
        </w:numPr>
        <w:rPr>
          <w:b/>
          <w:bCs/>
        </w:rPr>
      </w:pPr>
      <w:r w:rsidRPr="00905D9E">
        <w:rPr>
          <w:b/>
          <w:bCs/>
        </w:rPr>
        <w:t>By clearly outlining the share capital before and after the offering (and the mechanics like the capitalization issue), the AI’s output helps prevent any confusion about dilution or changes in capital structure.</w:t>
      </w:r>
    </w:p>
    <w:p w14:paraId="47971684" w14:textId="77777777" w:rsidR="0074610B" w:rsidRPr="0074610B" w:rsidRDefault="0074610B" w:rsidP="0074610B">
      <w:pPr>
        <w:pStyle w:val="a0"/>
      </w:pPr>
      <w:r w:rsidRPr="0074610B">
        <w:rPr>
          <w:b/>
          <w:bCs/>
        </w:rPr>
        <w:t>Sponsor Counsel Enhancements:</w:t>
      </w:r>
    </w:p>
    <w:p w14:paraId="0A47A6B0" w14:textId="77777777" w:rsidR="0074610B" w:rsidRPr="0074610B" w:rsidRDefault="0074610B" w:rsidP="0074610B">
      <w:pPr>
        <w:pStyle w:val="a0"/>
        <w:numPr>
          <w:ilvl w:val="0"/>
          <w:numId w:val="30"/>
        </w:numPr>
      </w:pPr>
      <w:r w:rsidRPr="0074610B">
        <w:lastRenderedPageBreak/>
        <w:t>For WVR issuers, require the disclosures set out in the WVR disclosure rules (beneficiaries, conversion impact, sunset circumstances) and keep prominent cross</w:t>
      </w:r>
      <w:r w:rsidRPr="0074610B">
        <w:noBreakHyphen/>
        <w:t>references. </w:t>
      </w:r>
    </w:p>
    <w:p w14:paraId="79D27484" w14:textId="77777777" w:rsidR="0074610B" w:rsidRPr="0074610B" w:rsidRDefault="0074610B" w:rsidP="0074610B">
      <w:pPr>
        <w:pStyle w:val="a0"/>
        <w:numPr>
          <w:ilvl w:val="0"/>
          <w:numId w:val="30"/>
        </w:numPr>
      </w:pPr>
      <w:r w:rsidRPr="0074610B">
        <w:t>Apply “math checks” (AI validation): totals reconcile across the document; percentages sum; no hidden dilution. </w:t>
      </w:r>
    </w:p>
    <w:p w14:paraId="19CCF034" w14:textId="77777777" w:rsidR="0074610B" w:rsidRPr="0074610B" w:rsidRDefault="0074610B" w:rsidP="0074610B">
      <w:pPr>
        <w:pStyle w:val="a0"/>
      </w:pPr>
      <w:r w:rsidRPr="0074610B">
        <w:rPr>
          <w:b/>
          <w:bCs/>
        </w:rPr>
        <w:t>Enhanced sample paragraph:</w:t>
      </w:r>
      <w:r w:rsidRPr="0074610B">
        <w:br/>
        <w:t xml:space="preserve">“This section </w:t>
      </w:r>
      <w:proofErr w:type="spellStart"/>
      <w:r w:rsidRPr="0074610B">
        <w:t>summarises</w:t>
      </w:r>
      <w:proofErr w:type="spellEnd"/>
      <w:r w:rsidRPr="0074610B">
        <w:t xml:space="preserve"> our share capital structure, including the classes of shares in issue, the rights attaching to each class, and the changes to our issued share capital as a result of the Global Offering (including any options or over</w:t>
      </w:r>
      <w:r w:rsidRPr="0074610B">
        <w:noBreakHyphen/>
        <w:t>allotment arrangements where applicable). Where we have a WVR structure, we disclose the WVR beneficiaries, the circumstances in which WVR will cease, and the impact of a potential conversion of WVR shares into ordinary shares on our share capital. [[</w:t>
      </w:r>
      <w:proofErr w:type="spellStart"/>
      <w:r w:rsidRPr="0074610B">
        <w:t>AI:XREF|to</w:t>
      </w:r>
      <w:proofErr w:type="spellEnd"/>
      <w:r w:rsidRPr="0074610B">
        <w:t>=WVR disclosures]] [[</w:t>
      </w:r>
      <w:proofErr w:type="spellStart"/>
      <w:r w:rsidRPr="0074610B">
        <w:t>AI:VERIFY|evidence</w:t>
      </w:r>
      <w:proofErr w:type="spellEnd"/>
      <w:r w:rsidRPr="0074610B">
        <w:t>=constitutional documents, registers, board approvals]]” </w:t>
      </w:r>
    </w:p>
    <w:p w14:paraId="6627C54B" w14:textId="77777777" w:rsidR="0074610B" w:rsidRPr="0074610B" w:rsidRDefault="0074610B" w:rsidP="0074610B">
      <w:pPr>
        <w:pStyle w:val="a0"/>
        <w:rPr>
          <w:b/>
          <w:bCs/>
          <w:i/>
          <w:iCs/>
          <w:sz w:val="28"/>
          <w:szCs w:val="28"/>
        </w:rPr>
      </w:pPr>
      <w:r w:rsidRPr="0074610B">
        <w:rPr>
          <w:b/>
          <w:bCs/>
          <w:i/>
          <w:iCs/>
          <w:sz w:val="28"/>
          <w:szCs w:val="28"/>
        </w:rPr>
        <w:t>Financial Information</w:t>
      </w:r>
    </w:p>
    <w:p w14:paraId="47E244B1" w14:textId="77777777" w:rsidR="00905D9E" w:rsidRPr="00905D9E" w:rsidRDefault="00905D9E" w:rsidP="00905D9E">
      <w:pPr>
        <w:pStyle w:val="a0"/>
      </w:pPr>
      <w:r w:rsidRPr="00905D9E">
        <w:rPr>
          <w:b/>
          <w:bCs/>
        </w:rPr>
        <w:t>Role</w:t>
      </w:r>
    </w:p>
    <w:p w14:paraId="4E7219C3" w14:textId="77777777" w:rsidR="00905D9E" w:rsidRPr="00905D9E" w:rsidRDefault="00905D9E" w:rsidP="00905D9E">
      <w:pPr>
        <w:pStyle w:val="a0"/>
        <w:numPr>
          <w:ilvl w:val="0"/>
          <w:numId w:val="203"/>
        </w:numPr>
      </w:pPr>
      <w:r w:rsidRPr="00905D9E">
        <w:t>The Financial Information section (often essentially the “Management’s Discussion and Analysis” or MD&amp;A) provides a narrative analysis of the company’s financial performance and condition over the track record period.</w:t>
      </w:r>
    </w:p>
    <w:p w14:paraId="0A53280F" w14:textId="77777777" w:rsidR="00905D9E" w:rsidRPr="00905D9E" w:rsidRDefault="00905D9E" w:rsidP="00905D9E">
      <w:pPr>
        <w:pStyle w:val="a0"/>
      </w:pPr>
      <w:r w:rsidRPr="00905D9E">
        <w:rPr>
          <w:b/>
          <w:bCs/>
        </w:rPr>
        <w:t>High-level structure</w:t>
      </w:r>
    </w:p>
    <w:p w14:paraId="33346F3D" w14:textId="77777777" w:rsidR="00905D9E" w:rsidRPr="00905D9E" w:rsidRDefault="00905D9E" w:rsidP="00905D9E">
      <w:pPr>
        <w:pStyle w:val="a0"/>
        <w:numPr>
          <w:ilvl w:val="0"/>
          <w:numId w:val="204"/>
        </w:numPr>
      </w:pPr>
      <w:r w:rsidRPr="00905D9E">
        <w:t>The AI should structure it with an overview followed by detailed discussions of income statement items, balance sheet items, liquidity, and other financial aspects.</w:t>
      </w:r>
    </w:p>
    <w:p w14:paraId="7D9C3BF1" w14:textId="77777777" w:rsidR="00905D9E" w:rsidRPr="00905D9E" w:rsidRDefault="00905D9E" w:rsidP="00905D9E">
      <w:pPr>
        <w:pStyle w:val="a0"/>
      </w:pPr>
      <w:r w:rsidRPr="00905D9E">
        <w:rPr>
          <w:b/>
          <w:bCs/>
        </w:rPr>
        <w:t>Standard opening / scope statement</w:t>
      </w:r>
    </w:p>
    <w:p w14:paraId="6DB48303" w14:textId="77777777" w:rsidR="00905D9E" w:rsidRPr="00905D9E" w:rsidRDefault="00905D9E" w:rsidP="00905D9E">
      <w:pPr>
        <w:pStyle w:val="a0"/>
        <w:numPr>
          <w:ilvl w:val="0"/>
          <w:numId w:val="205"/>
        </w:numPr>
      </w:pPr>
      <w:r w:rsidRPr="00905D9E">
        <w:t>It typically starts with a restatement of the scope: “The following discussion and analysis refer to our consolidated financial information for the years ended 2018, 2019, 2020 and the interim period of 2021, and should be read in conjunction with the Accountants’ Report in Appendix I” – such a preamble situates the reader.</w:t>
      </w:r>
    </w:p>
    <w:p w14:paraId="4112EAAC" w14:textId="77777777" w:rsidR="00905D9E" w:rsidRPr="00905D9E" w:rsidRDefault="00905D9E" w:rsidP="00905D9E">
      <w:pPr>
        <w:pStyle w:val="a0"/>
      </w:pPr>
      <w:r w:rsidRPr="00905D9E">
        <w:rPr>
          <w:b/>
          <w:bCs/>
        </w:rPr>
        <w:t>Overview of trends</w:t>
      </w:r>
    </w:p>
    <w:p w14:paraId="0DC1A792" w14:textId="77777777" w:rsidR="00905D9E" w:rsidRPr="00905D9E" w:rsidRDefault="00905D9E" w:rsidP="00905D9E">
      <w:pPr>
        <w:pStyle w:val="a0"/>
        <w:numPr>
          <w:ilvl w:val="0"/>
          <w:numId w:val="206"/>
        </w:numPr>
      </w:pPr>
      <w:r w:rsidRPr="00905D9E">
        <w:t>Overview: The AI should summarize the key financial trends – e.g., “We have experienced rapid growth in recent years. Our revenue increased from RMB X in 2018 to RMB Y in 2019, and further to RMB Z in 2020, representing a CAGR of __%. We turned profitable in 2019 with a net profit of RMB A, compared to a net loss in 2018, and our net profit expanded to RMB B in 2020.” (Using actual figures if available from the prospectus summary financials).</w:t>
      </w:r>
    </w:p>
    <w:p w14:paraId="594652C5" w14:textId="77777777" w:rsidR="00905D9E" w:rsidRPr="00905D9E" w:rsidRDefault="00905D9E" w:rsidP="00905D9E">
      <w:pPr>
        <w:pStyle w:val="a0"/>
        <w:numPr>
          <w:ilvl w:val="0"/>
          <w:numId w:val="206"/>
        </w:numPr>
      </w:pPr>
      <w:r w:rsidRPr="00905D9E">
        <w:lastRenderedPageBreak/>
        <w:t>It also might mention key factors driving the performance (like increase in number of stores or products launched, etc., if those are quantitatively significant).</w:t>
      </w:r>
    </w:p>
    <w:p w14:paraId="79E23B63" w14:textId="77777777" w:rsidR="00905D9E" w:rsidRPr="00905D9E" w:rsidRDefault="00905D9E" w:rsidP="00905D9E">
      <w:pPr>
        <w:pStyle w:val="a0"/>
      </w:pPr>
      <w:r w:rsidRPr="00905D9E">
        <w:rPr>
          <w:b/>
          <w:bCs/>
        </w:rPr>
        <w:t>Revenue breakdown</w:t>
      </w:r>
    </w:p>
    <w:p w14:paraId="770D2D69" w14:textId="77777777" w:rsidR="00905D9E" w:rsidRPr="00905D9E" w:rsidRDefault="00905D9E" w:rsidP="00905D9E">
      <w:pPr>
        <w:pStyle w:val="a0"/>
        <w:numPr>
          <w:ilvl w:val="0"/>
          <w:numId w:val="207"/>
        </w:numPr>
      </w:pPr>
      <w:r w:rsidRPr="00905D9E">
        <w:t>Then Revenue analysis: The AI should break down revenue by segments or categories if the company does so (for example, revenue from retail stores vs. online vs. wholesale, or by product category) and discuss the growth in each, supported by percentages or amounts.</w:t>
      </w:r>
    </w:p>
    <w:p w14:paraId="4F941D70" w14:textId="77777777" w:rsidR="00905D9E" w:rsidRPr="00905D9E" w:rsidRDefault="00905D9E" w:rsidP="00905D9E">
      <w:pPr>
        <w:pStyle w:val="a0"/>
        <w:numPr>
          <w:ilvl w:val="0"/>
          <w:numId w:val="207"/>
        </w:numPr>
      </w:pPr>
      <w:r w:rsidRPr="00905D9E">
        <w:t>“Our revenue growth was primarily driven by the success of our core character lines such as Molly, which alone contributed X% of revenue in 2019. The introduction of new IPs and expansion of our store network also boosted sales.”</w:t>
      </w:r>
    </w:p>
    <w:p w14:paraId="003A3B1E" w14:textId="77777777" w:rsidR="00905D9E" w:rsidRPr="00905D9E" w:rsidRDefault="00905D9E" w:rsidP="00905D9E">
      <w:pPr>
        <w:pStyle w:val="a0"/>
        <w:numPr>
          <w:ilvl w:val="0"/>
          <w:numId w:val="207"/>
        </w:numPr>
      </w:pPr>
      <w:r w:rsidRPr="00905D9E">
        <w:t>If there are any one-off factors (like a promotional event or COVID-19 impact), those should be described in context.</w:t>
      </w:r>
    </w:p>
    <w:p w14:paraId="54FA90D0" w14:textId="77777777" w:rsidR="00905D9E" w:rsidRPr="00905D9E" w:rsidRDefault="00905D9E" w:rsidP="00905D9E">
      <w:pPr>
        <w:pStyle w:val="a0"/>
      </w:pPr>
      <w:r w:rsidRPr="00905D9E">
        <w:rPr>
          <w:b/>
          <w:bCs/>
        </w:rPr>
        <w:t>Margins and costs</w:t>
      </w:r>
    </w:p>
    <w:p w14:paraId="2B926E22" w14:textId="77777777" w:rsidR="00905D9E" w:rsidRPr="00905D9E" w:rsidRDefault="00905D9E" w:rsidP="00905D9E">
      <w:pPr>
        <w:pStyle w:val="a0"/>
        <w:numPr>
          <w:ilvl w:val="0"/>
          <w:numId w:val="208"/>
        </w:numPr>
      </w:pPr>
      <w:r w:rsidRPr="00905D9E">
        <w:t>Cost of sales and gross profit: mention how cost of sales moved and gross profit margins.</w:t>
      </w:r>
    </w:p>
    <w:p w14:paraId="2B97C5CD" w14:textId="77777777" w:rsidR="00905D9E" w:rsidRPr="00905D9E" w:rsidRDefault="00905D9E" w:rsidP="00905D9E">
      <w:pPr>
        <w:pStyle w:val="a0"/>
        <w:numPr>
          <w:ilvl w:val="0"/>
          <w:numId w:val="208"/>
        </w:numPr>
      </w:pPr>
      <w:r w:rsidRPr="00905D9E">
        <w:t>E.g., “Gross profit margin improved from A% in 2018 to B% in 2020 due to economies of scale and improved product mix.”</w:t>
      </w:r>
    </w:p>
    <w:p w14:paraId="788C0CD4" w14:textId="77777777" w:rsidR="00905D9E" w:rsidRPr="00905D9E" w:rsidRDefault="00905D9E" w:rsidP="00905D9E">
      <w:pPr>
        <w:pStyle w:val="a0"/>
        <w:numPr>
          <w:ilvl w:val="0"/>
          <w:numId w:val="208"/>
        </w:numPr>
      </w:pPr>
      <w:r w:rsidRPr="00905D9E">
        <w:t>If raw material or supplier info is relevant, note it.</w:t>
      </w:r>
    </w:p>
    <w:p w14:paraId="2FD52C89" w14:textId="77777777" w:rsidR="00905D9E" w:rsidRPr="00905D9E" w:rsidRDefault="00905D9E" w:rsidP="00905D9E">
      <w:pPr>
        <w:pStyle w:val="a0"/>
      </w:pPr>
      <w:r w:rsidRPr="00905D9E">
        <w:rPr>
          <w:b/>
          <w:bCs/>
        </w:rPr>
        <w:t>Operating expenses and other items</w:t>
      </w:r>
    </w:p>
    <w:p w14:paraId="201A3FA4" w14:textId="77777777" w:rsidR="00905D9E" w:rsidRPr="00905D9E" w:rsidRDefault="00905D9E" w:rsidP="00905D9E">
      <w:pPr>
        <w:pStyle w:val="a0"/>
        <w:numPr>
          <w:ilvl w:val="0"/>
          <w:numId w:val="209"/>
        </w:numPr>
      </w:pPr>
      <w:r w:rsidRPr="00905D9E">
        <w:t>Other P&amp;L items: The AI should discuss major expenses – selling &amp; distribution costs, admin expenses, R&amp;D (if applicable).</w:t>
      </w:r>
    </w:p>
    <w:p w14:paraId="2A082F13" w14:textId="77777777" w:rsidR="00905D9E" w:rsidRPr="00905D9E" w:rsidRDefault="00905D9E" w:rsidP="00905D9E">
      <w:pPr>
        <w:pStyle w:val="a0"/>
        <w:numPr>
          <w:ilvl w:val="0"/>
          <w:numId w:val="209"/>
        </w:numPr>
      </w:pPr>
      <w:r w:rsidRPr="00905D9E">
        <w:t>If any expense item materially increased or decreased as a percentage of revenue, explain why (hiring more staff, marketing campaign, share-based payments, etc.).</w:t>
      </w:r>
    </w:p>
    <w:p w14:paraId="1702C419" w14:textId="77777777" w:rsidR="00905D9E" w:rsidRPr="00905D9E" w:rsidRDefault="00905D9E" w:rsidP="00905D9E">
      <w:pPr>
        <w:pStyle w:val="a0"/>
        <w:numPr>
          <w:ilvl w:val="0"/>
          <w:numId w:val="209"/>
        </w:numPr>
      </w:pPr>
      <w:r w:rsidRPr="00905D9E">
        <w:t>Also point out if the company had any significant other gains or losses (like fair value changes, government grants, etc.).</w:t>
      </w:r>
    </w:p>
    <w:p w14:paraId="60299E8A" w14:textId="77777777" w:rsidR="00905D9E" w:rsidRPr="00905D9E" w:rsidRDefault="00905D9E" w:rsidP="00905D9E">
      <w:pPr>
        <w:pStyle w:val="a0"/>
      </w:pPr>
      <w:r w:rsidRPr="00905D9E">
        <w:rPr>
          <w:b/>
          <w:bCs/>
        </w:rPr>
        <w:t>Profitability measures</w:t>
      </w:r>
    </w:p>
    <w:p w14:paraId="37B3FB76" w14:textId="77777777" w:rsidR="00905D9E" w:rsidRPr="00905D9E" w:rsidRDefault="00905D9E" w:rsidP="00905D9E">
      <w:pPr>
        <w:pStyle w:val="a0"/>
        <w:numPr>
          <w:ilvl w:val="0"/>
          <w:numId w:val="210"/>
        </w:numPr>
      </w:pPr>
      <w:r w:rsidRPr="00905D9E">
        <w:t>Profitability: If net profit or loss, and net profit margin, note those.</w:t>
      </w:r>
    </w:p>
    <w:p w14:paraId="0EC2A3DB" w14:textId="77777777" w:rsidR="00905D9E" w:rsidRPr="00905D9E" w:rsidRDefault="00905D9E" w:rsidP="00905D9E">
      <w:pPr>
        <w:pStyle w:val="a0"/>
        <w:numPr>
          <w:ilvl w:val="0"/>
          <w:numId w:val="210"/>
        </w:numPr>
      </w:pPr>
      <w:r w:rsidRPr="00905D9E">
        <w:t>Possibly mention EBITDA or adjusted profits if the company highlights those (some companies present a non-IFRS measure excluding certain expenses; if so, define it and provide the figure).</w:t>
      </w:r>
    </w:p>
    <w:p w14:paraId="5C14AEB2" w14:textId="77777777" w:rsidR="00905D9E" w:rsidRPr="00905D9E" w:rsidRDefault="00905D9E" w:rsidP="00905D9E">
      <w:pPr>
        <w:pStyle w:val="a0"/>
      </w:pPr>
      <w:r w:rsidRPr="00905D9E">
        <w:rPr>
          <w:b/>
          <w:bCs/>
        </w:rPr>
        <w:t>Balance sheet discussion</w:t>
      </w:r>
    </w:p>
    <w:p w14:paraId="207ECDF7" w14:textId="77777777" w:rsidR="00905D9E" w:rsidRPr="00905D9E" w:rsidRDefault="00905D9E" w:rsidP="00905D9E">
      <w:pPr>
        <w:pStyle w:val="a0"/>
        <w:numPr>
          <w:ilvl w:val="0"/>
          <w:numId w:val="211"/>
        </w:numPr>
      </w:pPr>
      <w:r w:rsidRPr="00905D9E">
        <w:lastRenderedPageBreak/>
        <w:t>Balance Sheet: The AI should comment on the company’s financial position – growth in assets like how cash and bank balances have changed, any major capital expenditures (increase in PPE), inventory levels and turnover, trade receivables (and any credit risk or bad debt allowances), etc.</w:t>
      </w:r>
    </w:p>
    <w:p w14:paraId="3BB03467" w14:textId="77777777" w:rsidR="00905D9E" w:rsidRPr="00905D9E" w:rsidRDefault="00905D9E" w:rsidP="00905D9E">
      <w:pPr>
        <w:pStyle w:val="a0"/>
        <w:numPr>
          <w:ilvl w:val="0"/>
          <w:numId w:val="211"/>
        </w:numPr>
      </w:pPr>
      <w:r w:rsidRPr="00905D9E">
        <w:t>If the company has debt, discuss the borrowings and gearing.</w:t>
      </w:r>
    </w:p>
    <w:p w14:paraId="71D72BAE" w14:textId="77777777" w:rsidR="00905D9E" w:rsidRPr="00905D9E" w:rsidRDefault="00905D9E" w:rsidP="00905D9E">
      <w:pPr>
        <w:pStyle w:val="a0"/>
        <w:numPr>
          <w:ilvl w:val="0"/>
          <w:numId w:val="211"/>
        </w:numPr>
      </w:pPr>
      <w:r w:rsidRPr="00905D9E">
        <w:t>If significant acquisitions happened, mention their effect on the balance sheet.</w:t>
      </w:r>
    </w:p>
    <w:p w14:paraId="66B3B15D" w14:textId="77777777" w:rsidR="00905D9E" w:rsidRPr="00905D9E" w:rsidRDefault="00905D9E" w:rsidP="00905D9E">
      <w:pPr>
        <w:pStyle w:val="a0"/>
      </w:pPr>
      <w:r w:rsidRPr="00905D9E">
        <w:rPr>
          <w:b/>
          <w:bCs/>
        </w:rPr>
        <w:t>Liquidity and working capital</w:t>
      </w:r>
    </w:p>
    <w:p w14:paraId="16A82011" w14:textId="77777777" w:rsidR="00905D9E" w:rsidRPr="00905D9E" w:rsidRDefault="00905D9E" w:rsidP="00905D9E">
      <w:pPr>
        <w:pStyle w:val="a0"/>
        <w:numPr>
          <w:ilvl w:val="0"/>
          <w:numId w:val="212"/>
        </w:numPr>
      </w:pPr>
      <w:r w:rsidRPr="00905D9E">
        <w:t>Liquidity and capital resources: Here, describe if operating cash flow is positive and sufficient, any major financing raised (like the proceeds of the IPO and how they will affect liquidity).</w:t>
      </w:r>
    </w:p>
    <w:p w14:paraId="4AE2F980" w14:textId="77777777" w:rsidR="00905D9E" w:rsidRPr="00905D9E" w:rsidRDefault="00905D9E" w:rsidP="00905D9E">
      <w:pPr>
        <w:pStyle w:val="a0"/>
        <w:numPr>
          <w:ilvl w:val="0"/>
          <w:numId w:val="212"/>
        </w:numPr>
      </w:pPr>
      <w:r w:rsidRPr="00905D9E">
        <w:t>Also mention the working capital sufficiency statement (in HK prospectus, usually “our directors are of the opinion that, taking into account the net proceeds from the IPO and our available facilities, we have sufficient working capital for at least the next 12 months”). If given, the AI should incorporate that assurance.</w:t>
      </w:r>
    </w:p>
    <w:p w14:paraId="008A8EBA" w14:textId="77777777" w:rsidR="00905D9E" w:rsidRPr="00905D9E" w:rsidRDefault="00905D9E" w:rsidP="00905D9E">
      <w:pPr>
        <w:pStyle w:val="a0"/>
      </w:pPr>
      <w:r w:rsidRPr="00905D9E">
        <w:rPr>
          <w:b/>
          <w:bCs/>
        </w:rPr>
        <w:t>Indebtedness</w:t>
      </w:r>
    </w:p>
    <w:p w14:paraId="5E922646" w14:textId="77777777" w:rsidR="00905D9E" w:rsidRPr="00905D9E" w:rsidRDefault="00905D9E" w:rsidP="00905D9E">
      <w:pPr>
        <w:pStyle w:val="a0"/>
        <w:numPr>
          <w:ilvl w:val="0"/>
          <w:numId w:val="213"/>
        </w:numPr>
      </w:pPr>
      <w:r w:rsidRPr="00905D9E">
        <w:t>Indebtedness: Possibly list any bank loans, and whether they’re secured or unsecured, and the maturity profile.</w:t>
      </w:r>
    </w:p>
    <w:p w14:paraId="27D327D2" w14:textId="77777777" w:rsidR="00905D9E" w:rsidRPr="00905D9E" w:rsidRDefault="00905D9E" w:rsidP="00905D9E">
      <w:pPr>
        <w:pStyle w:val="a0"/>
        <w:numPr>
          <w:ilvl w:val="0"/>
          <w:numId w:val="213"/>
        </w:numPr>
      </w:pPr>
      <w:r w:rsidRPr="00905D9E">
        <w:t>Confirm if gearing is low or high.</w:t>
      </w:r>
    </w:p>
    <w:p w14:paraId="6AAB60CE" w14:textId="77777777" w:rsidR="00905D9E" w:rsidRPr="00905D9E" w:rsidRDefault="00905D9E" w:rsidP="00905D9E">
      <w:pPr>
        <w:pStyle w:val="a0"/>
      </w:pPr>
      <w:r w:rsidRPr="00905D9E">
        <w:rPr>
          <w:b/>
          <w:bCs/>
        </w:rPr>
        <w:t>Accounting policies and judgments</w:t>
      </w:r>
    </w:p>
    <w:p w14:paraId="4BAD9D8B" w14:textId="77777777" w:rsidR="00905D9E" w:rsidRPr="00905D9E" w:rsidRDefault="00905D9E" w:rsidP="00905D9E">
      <w:pPr>
        <w:pStyle w:val="a0"/>
        <w:numPr>
          <w:ilvl w:val="0"/>
          <w:numId w:val="214"/>
        </w:numPr>
      </w:pPr>
      <w:r w:rsidRPr="00905D9E">
        <w:t>Significant financial policies: sometimes a subsection highlights critical accounting policies (like how revenue is recognized, how inventory is valued, impairment policy, etc.).</w:t>
      </w:r>
    </w:p>
    <w:p w14:paraId="5E81CE1D" w14:textId="77777777" w:rsidR="00905D9E" w:rsidRPr="00905D9E" w:rsidRDefault="00905D9E" w:rsidP="00905D9E">
      <w:pPr>
        <w:pStyle w:val="a0"/>
        <w:numPr>
          <w:ilvl w:val="0"/>
          <w:numId w:val="214"/>
        </w:numPr>
      </w:pPr>
      <w:r w:rsidRPr="00905D9E">
        <w:t>The AI can summarize: “The significant accounting policies are set out in the Accountants’ Report; key judgments include revenue recognition for blind box sales and valuation of inventory, given the need to write down slow-moving stock.”</w:t>
      </w:r>
    </w:p>
    <w:p w14:paraId="34CD089A" w14:textId="77777777" w:rsidR="00905D9E" w:rsidRPr="00905D9E" w:rsidRDefault="00905D9E" w:rsidP="00905D9E">
      <w:pPr>
        <w:pStyle w:val="a0"/>
        <w:numPr>
          <w:ilvl w:val="0"/>
          <w:numId w:val="214"/>
        </w:numPr>
      </w:pPr>
      <w:r w:rsidRPr="00905D9E">
        <w:t>If any changes in accounting or one-time adjustments (like conversion of preferred shares to equity) took place, mention those and their effects.</w:t>
      </w:r>
    </w:p>
    <w:p w14:paraId="38CFBC29" w14:textId="77777777" w:rsidR="00905D9E" w:rsidRPr="00905D9E" w:rsidRDefault="00905D9E" w:rsidP="00905D9E">
      <w:pPr>
        <w:pStyle w:val="a0"/>
      </w:pPr>
      <w:r w:rsidRPr="00905D9E">
        <w:rPr>
          <w:b/>
          <w:bCs/>
        </w:rPr>
        <w:t>Ratios and operational metrics</w:t>
      </w:r>
    </w:p>
    <w:p w14:paraId="14723DEC" w14:textId="77777777" w:rsidR="00905D9E" w:rsidRPr="00905D9E" w:rsidRDefault="00905D9E" w:rsidP="00905D9E">
      <w:pPr>
        <w:pStyle w:val="a0"/>
        <w:numPr>
          <w:ilvl w:val="0"/>
          <w:numId w:val="215"/>
        </w:numPr>
      </w:pPr>
      <w:r w:rsidRPr="00905D9E">
        <w:t>Quantitative analysis: The section might include certain financial ratios or metrics.</w:t>
      </w:r>
    </w:p>
    <w:p w14:paraId="7DBE5614" w14:textId="77777777" w:rsidR="00905D9E" w:rsidRPr="00905D9E" w:rsidRDefault="00905D9E" w:rsidP="00905D9E">
      <w:pPr>
        <w:pStyle w:val="a0"/>
        <w:numPr>
          <w:ilvl w:val="0"/>
          <w:numId w:val="215"/>
        </w:numPr>
      </w:pPr>
      <w:r w:rsidRPr="00905D9E">
        <w:t xml:space="preserve">If the prospectus explicitly discusses things like inventory turnover days, trade receivable days, etc., the AI should reflect those (e.g., “Our inventory </w:t>
      </w:r>
      <w:r w:rsidRPr="00905D9E">
        <w:lastRenderedPageBreak/>
        <w:t>turnover days were 120 in 2018, improving to 90 days in 2020 due to better stock management.”).</w:t>
      </w:r>
    </w:p>
    <w:p w14:paraId="09F94B2F" w14:textId="77777777" w:rsidR="00905D9E" w:rsidRPr="00905D9E" w:rsidRDefault="00905D9E" w:rsidP="00905D9E">
      <w:pPr>
        <w:pStyle w:val="a0"/>
      </w:pPr>
      <w:r w:rsidRPr="00905D9E">
        <w:rPr>
          <w:b/>
          <w:bCs/>
        </w:rPr>
        <w:t>Subsequent events / post-period trends</w:t>
      </w:r>
    </w:p>
    <w:p w14:paraId="3BC5FEC0" w14:textId="77777777" w:rsidR="00905D9E" w:rsidRPr="00905D9E" w:rsidRDefault="00905D9E" w:rsidP="00905D9E">
      <w:pPr>
        <w:pStyle w:val="a0"/>
        <w:numPr>
          <w:ilvl w:val="0"/>
          <w:numId w:val="216"/>
        </w:numPr>
      </w:pPr>
      <w:r w:rsidRPr="00905D9E">
        <w:t>Future outlook in financial terms: The company might mention subsequent events or known trends post-period.</w:t>
      </w:r>
    </w:p>
    <w:p w14:paraId="35CAD9D4" w14:textId="77777777" w:rsidR="00905D9E" w:rsidRPr="00905D9E" w:rsidRDefault="00905D9E" w:rsidP="00905D9E">
      <w:pPr>
        <w:pStyle w:val="a0"/>
        <w:numPr>
          <w:ilvl w:val="0"/>
          <w:numId w:val="216"/>
        </w:numPr>
      </w:pPr>
      <w:r w:rsidRPr="00905D9E">
        <w:t>E.g., Covid-19 impact on Q1 2021 sales (for a 2020-year prospectus) – mention how Q1 2021 performed vs Q1 2020 if they gave numbers or commentary.</w:t>
      </w:r>
    </w:p>
    <w:p w14:paraId="421357D5" w14:textId="77777777" w:rsidR="00905D9E" w:rsidRPr="00905D9E" w:rsidRDefault="00905D9E" w:rsidP="00905D9E">
      <w:pPr>
        <w:pStyle w:val="a0"/>
        <w:numPr>
          <w:ilvl w:val="0"/>
          <w:numId w:val="216"/>
        </w:numPr>
      </w:pPr>
      <w:r w:rsidRPr="00905D9E">
        <w:t>Or any material subsequent events like a new financing or a significant subsequent loss/profit in the interim.</w:t>
      </w:r>
    </w:p>
    <w:p w14:paraId="7B1D5A98" w14:textId="77777777" w:rsidR="00905D9E" w:rsidRPr="00905D9E" w:rsidRDefault="00905D9E" w:rsidP="00905D9E">
      <w:pPr>
        <w:pStyle w:val="a0"/>
      </w:pPr>
      <w:r w:rsidRPr="00905D9E">
        <w:rPr>
          <w:b/>
          <w:bCs/>
        </w:rPr>
        <w:t>Granularity and “story behind the numbers”</w:t>
      </w:r>
    </w:p>
    <w:p w14:paraId="30297FB7" w14:textId="77777777" w:rsidR="00905D9E" w:rsidRPr="00905D9E" w:rsidRDefault="00905D9E" w:rsidP="00905D9E">
      <w:pPr>
        <w:pStyle w:val="a0"/>
        <w:numPr>
          <w:ilvl w:val="0"/>
          <w:numId w:val="217"/>
        </w:numPr>
      </w:pPr>
      <w:r w:rsidRPr="00905D9E">
        <w:t>The granularity should be such that an investor reading it understands the story behind the numbers, not just the numbers themselves.</w:t>
      </w:r>
    </w:p>
    <w:p w14:paraId="43156B1E" w14:textId="77777777" w:rsidR="00905D9E" w:rsidRPr="00905D9E" w:rsidRDefault="00905D9E" w:rsidP="00905D9E">
      <w:pPr>
        <w:pStyle w:val="a0"/>
        <w:numPr>
          <w:ilvl w:val="0"/>
          <w:numId w:val="217"/>
        </w:numPr>
      </w:pPr>
      <w:r w:rsidRPr="00905D9E">
        <w:t>That means including percentage changes and reasons.</w:t>
      </w:r>
    </w:p>
    <w:p w14:paraId="27BB3D5C" w14:textId="77777777" w:rsidR="00905D9E" w:rsidRPr="00905D9E" w:rsidRDefault="00905D9E" w:rsidP="00905D9E">
      <w:pPr>
        <w:pStyle w:val="a0"/>
        <w:numPr>
          <w:ilvl w:val="0"/>
          <w:numId w:val="217"/>
        </w:numPr>
      </w:pPr>
      <w:r w:rsidRPr="00905D9E">
        <w:t>For example: “Selling and distribution expenses increased by 50% in 2019 due to the opening of 20 new retail stores and corresponding higher staff costs and rental expenses.”</w:t>
      </w:r>
    </w:p>
    <w:p w14:paraId="552DB5A2" w14:textId="77777777" w:rsidR="00905D9E" w:rsidRPr="00905D9E" w:rsidRDefault="00905D9E" w:rsidP="00905D9E">
      <w:pPr>
        <w:pStyle w:val="a0"/>
      </w:pPr>
      <w:r w:rsidRPr="00905D9E">
        <w:rPr>
          <w:b/>
          <w:bCs/>
        </w:rPr>
        <w:t>Exceptional items</w:t>
      </w:r>
    </w:p>
    <w:p w14:paraId="559DDF11" w14:textId="77777777" w:rsidR="00905D9E" w:rsidRPr="00905D9E" w:rsidRDefault="00905D9E" w:rsidP="00905D9E">
      <w:pPr>
        <w:pStyle w:val="a0"/>
        <w:numPr>
          <w:ilvl w:val="0"/>
          <w:numId w:val="218"/>
        </w:numPr>
      </w:pPr>
      <w:r w:rsidRPr="00905D9E">
        <w:t>If there are any exceptional items (maybe fair value change of preferred shares, which are usually significant in pre-IPO financials of tech companies), mention how they affected profit and that those won’t recur after listing if those preferred shares converted to equity (thus cleaning up losses).</w:t>
      </w:r>
    </w:p>
    <w:p w14:paraId="24837980" w14:textId="77777777" w:rsidR="00905D9E" w:rsidRPr="00905D9E" w:rsidRDefault="00905D9E" w:rsidP="00905D9E">
      <w:pPr>
        <w:pStyle w:val="a0"/>
        <w:numPr>
          <w:ilvl w:val="0"/>
          <w:numId w:val="218"/>
        </w:numPr>
      </w:pPr>
      <w:r w:rsidRPr="00905D9E">
        <w:t>Li Auto’s financials likely had such items – e.g., fair value changes of warrants or preferred shares; if Pop Mart had any fair value adjustments or share based payments, note those.</w:t>
      </w:r>
    </w:p>
    <w:p w14:paraId="62D8F3AC" w14:textId="77777777" w:rsidR="00905D9E" w:rsidRPr="00905D9E" w:rsidRDefault="00905D9E" w:rsidP="00905D9E">
      <w:pPr>
        <w:pStyle w:val="a0"/>
      </w:pPr>
      <w:r w:rsidRPr="00905D9E">
        <w:rPr>
          <w:b/>
          <w:bCs/>
        </w:rPr>
        <w:t>No fabrication + illustrative handling</w:t>
      </w:r>
    </w:p>
    <w:p w14:paraId="3808F4F6" w14:textId="77777777" w:rsidR="00905D9E" w:rsidRPr="00905D9E" w:rsidRDefault="00905D9E" w:rsidP="00905D9E">
      <w:pPr>
        <w:pStyle w:val="a0"/>
        <w:numPr>
          <w:ilvl w:val="0"/>
          <w:numId w:val="219"/>
        </w:numPr>
      </w:pPr>
      <w:r w:rsidRPr="00905D9E">
        <w:t>Everything should tie back to the actual figures that would be in the financial statements, citing them qualitatively.</w:t>
      </w:r>
    </w:p>
    <w:p w14:paraId="4AAA5549" w14:textId="77777777" w:rsidR="00905D9E" w:rsidRPr="00905D9E" w:rsidRDefault="00905D9E" w:rsidP="00905D9E">
      <w:pPr>
        <w:pStyle w:val="a0"/>
        <w:numPr>
          <w:ilvl w:val="0"/>
          <w:numId w:val="219"/>
        </w:numPr>
      </w:pPr>
      <w:r w:rsidRPr="00905D9E">
        <w:t>The AI should not invent numbers, but use relative descriptions or example figures if not provided explicitly.</w:t>
      </w:r>
    </w:p>
    <w:p w14:paraId="0396BC26" w14:textId="77777777" w:rsidR="00905D9E" w:rsidRPr="00905D9E" w:rsidRDefault="00905D9E" w:rsidP="00905D9E">
      <w:pPr>
        <w:pStyle w:val="a0"/>
        <w:numPr>
          <w:ilvl w:val="0"/>
          <w:numId w:val="219"/>
        </w:numPr>
      </w:pPr>
      <w:r w:rsidRPr="00905D9E">
        <w:t>Given Pop Mart’s summary gave actual numbers, we can use those for illustration (like net profit from RMB1.6m to RMB99.5m, which is a fact we can cite).</w:t>
      </w:r>
    </w:p>
    <w:p w14:paraId="48BC9D20" w14:textId="77777777" w:rsidR="00905D9E" w:rsidRPr="00905D9E" w:rsidRDefault="00905D9E" w:rsidP="00905D9E">
      <w:pPr>
        <w:pStyle w:val="a0"/>
      </w:pPr>
      <w:r w:rsidRPr="00905D9E">
        <w:rPr>
          <w:b/>
          <w:bCs/>
        </w:rPr>
        <w:lastRenderedPageBreak/>
        <w:t>Dividend policy</w:t>
      </w:r>
    </w:p>
    <w:p w14:paraId="06E4AB9F" w14:textId="77777777" w:rsidR="00905D9E" w:rsidRPr="00905D9E" w:rsidRDefault="00905D9E" w:rsidP="00905D9E">
      <w:pPr>
        <w:pStyle w:val="a0"/>
        <w:numPr>
          <w:ilvl w:val="0"/>
          <w:numId w:val="220"/>
        </w:numPr>
      </w:pPr>
      <w:r w:rsidRPr="00905D9E">
        <w:t>It’s also useful to mention any dividend policy if stated: some prospectuses say “we do not have a fixed dividend policy” or “we intend to distribute not less than X% of annual profit as dividend” – so include that if applicable.</w:t>
      </w:r>
    </w:p>
    <w:p w14:paraId="0D98A1D2" w14:textId="77777777" w:rsidR="00905D9E" w:rsidRPr="00905D9E" w:rsidRDefault="00905D9E" w:rsidP="00905D9E">
      <w:pPr>
        <w:pStyle w:val="a0"/>
      </w:pPr>
      <w:r w:rsidRPr="00905D9E">
        <w:rPr>
          <w:b/>
          <w:bCs/>
        </w:rPr>
        <w:t>Tone and credibility</w:t>
      </w:r>
    </w:p>
    <w:p w14:paraId="3384AB77" w14:textId="77777777" w:rsidR="00905D9E" w:rsidRPr="00905D9E" w:rsidRDefault="00905D9E" w:rsidP="00905D9E">
      <w:pPr>
        <w:pStyle w:val="a0"/>
        <w:numPr>
          <w:ilvl w:val="0"/>
          <w:numId w:val="221"/>
        </w:numPr>
      </w:pPr>
      <w:r w:rsidRPr="00905D9E">
        <w:t>The tone throughout is analytical and objective.</w:t>
      </w:r>
    </w:p>
    <w:p w14:paraId="03B2B439" w14:textId="77777777" w:rsidR="00905D9E" w:rsidRPr="00905D9E" w:rsidRDefault="00905D9E" w:rsidP="00905D9E">
      <w:pPr>
        <w:pStyle w:val="a0"/>
        <w:numPr>
          <w:ilvl w:val="0"/>
          <w:numId w:val="221"/>
        </w:numPr>
      </w:pPr>
      <w:r w:rsidRPr="00905D9E">
        <w:t>It should not be promotional; any improvements are stated with their factual cause, and any negative trends are also explained (e.g., “our net profit margin slightly decreased in the interim 2020 due to temporary logistics disruptions from COVID-19” – acknowledging downsides).</w:t>
      </w:r>
    </w:p>
    <w:p w14:paraId="79B8A6D3" w14:textId="77777777" w:rsidR="00905D9E" w:rsidRPr="00905D9E" w:rsidRDefault="00905D9E" w:rsidP="00905D9E">
      <w:pPr>
        <w:pStyle w:val="a0"/>
        <w:numPr>
          <w:ilvl w:val="0"/>
          <w:numId w:val="221"/>
        </w:numPr>
      </w:pPr>
      <w:r w:rsidRPr="00905D9E">
        <w:t>This builds trust that management is transparently discussing performance.</w:t>
      </w:r>
    </w:p>
    <w:p w14:paraId="3BE4EEBA" w14:textId="77777777" w:rsidR="00905D9E" w:rsidRPr="00905D9E" w:rsidRDefault="00905D9E" w:rsidP="00905D9E">
      <w:pPr>
        <w:pStyle w:val="a0"/>
      </w:pPr>
      <w:r w:rsidRPr="00905D9E">
        <w:rPr>
          <w:b/>
          <w:bCs/>
        </w:rPr>
        <w:t>Outcome</w:t>
      </w:r>
    </w:p>
    <w:p w14:paraId="58A73BFF" w14:textId="77777777" w:rsidR="00905D9E" w:rsidRPr="00905D9E" w:rsidRDefault="00905D9E" w:rsidP="00905D9E">
      <w:pPr>
        <w:pStyle w:val="a0"/>
        <w:numPr>
          <w:ilvl w:val="0"/>
          <w:numId w:val="222"/>
        </w:numPr>
      </w:pPr>
      <w:r w:rsidRPr="00905D9E">
        <w:t>By thoroughly covering revenue, expenses, profits, and cash flows with explanatory context, the Financial Information section enables investors to understand the company’s financial health and viability.</w:t>
      </w:r>
    </w:p>
    <w:p w14:paraId="22B58B17" w14:textId="77777777" w:rsidR="00905D9E" w:rsidRPr="00905D9E" w:rsidRDefault="00905D9E" w:rsidP="00905D9E">
      <w:pPr>
        <w:pStyle w:val="a0"/>
        <w:numPr>
          <w:ilvl w:val="0"/>
          <w:numId w:val="222"/>
        </w:numPr>
      </w:pPr>
      <w:r w:rsidRPr="00905D9E">
        <w:t>All discussions should align with the audited numbers in the appendices, and the AI should ensure consistency and clarity in this critical analytical narrative.</w:t>
      </w:r>
    </w:p>
    <w:p w14:paraId="65DEF17B" w14:textId="77777777" w:rsidR="0074610B" w:rsidRPr="0074610B" w:rsidRDefault="0074610B" w:rsidP="0074610B">
      <w:pPr>
        <w:pStyle w:val="a0"/>
      </w:pPr>
      <w:r w:rsidRPr="0074610B">
        <w:rPr>
          <w:b/>
          <w:bCs/>
        </w:rPr>
        <w:t>Sponsor Counsel Enhancements:</w:t>
      </w:r>
    </w:p>
    <w:p w14:paraId="34E2EA5B" w14:textId="77777777" w:rsidR="0074610B" w:rsidRPr="0074610B" w:rsidRDefault="0074610B" w:rsidP="0074610B">
      <w:pPr>
        <w:pStyle w:val="a0"/>
        <w:numPr>
          <w:ilvl w:val="0"/>
          <w:numId w:val="32"/>
        </w:numPr>
      </w:pPr>
      <w:r w:rsidRPr="0074610B">
        <w:t>Add hard rule: avoid future profit quantification unless a formal profit forecast is included and fully reported; Rule 11.16 is broad and includes implicit quantification. </w:t>
      </w:r>
    </w:p>
    <w:p w14:paraId="00456367" w14:textId="77777777" w:rsidR="0074610B" w:rsidRPr="0074610B" w:rsidRDefault="0074610B" w:rsidP="0074610B">
      <w:pPr>
        <w:pStyle w:val="a0"/>
        <w:numPr>
          <w:ilvl w:val="0"/>
          <w:numId w:val="32"/>
        </w:numPr>
      </w:pPr>
      <w:r w:rsidRPr="0074610B">
        <w:t>If issuer is Pre</w:t>
      </w:r>
      <w:r w:rsidRPr="0074610B">
        <w:noBreakHyphen/>
        <w:t>Commercial under 18C: require explicit working capital coverage statement and how IPO proceeds are included (18C.07). </w:t>
      </w:r>
    </w:p>
    <w:p w14:paraId="01031EB1" w14:textId="77777777" w:rsidR="0074610B" w:rsidRPr="0074610B" w:rsidRDefault="0074610B" w:rsidP="0074610B">
      <w:pPr>
        <w:pStyle w:val="a0"/>
        <w:numPr>
          <w:ilvl w:val="0"/>
          <w:numId w:val="32"/>
        </w:numPr>
      </w:pPr>
      <w:r w:rsidRPr="0074610B">
        <w:t>Add [[</w:t>
      </w:r>
      <w:proofErr w:type="spellStart"/>
      <w:r w:rsidRPr="0074610B">
        <w:t>AI:VERIFY|evidence</w:t>
      </w:r>
      <w:proofErr w:type="spellEnd"/>
      <w:r w:rsidRPr="0074610B">
        <w:t>=audited financials; accountants’ report; board budgets for working capital statement]]. </w:t>
      </w:r>
    </w:p>
    <w:p w14:paraId="6FBD2F96" w14:textId="77777777" w:rsidR="0074610B" w:rsidRPr="0074610B" w:rsidRDefault="0074610B" w:rsidP="0074610B">
      <w:pPr>
        <w:pStyle w:val="a0"/>
      </w:pPr>
      <w:r w:rsidRPr="0074610B">
        <w:rPr>
          <w:b/>
          <w:bCs/>
        </w:rPr>
        <w:t>Enhanced sample paragraph:</w:t>
      </w:r>
      <w:r w:rsidRPr="0074610B">
        <w:br/>
        <w:t>“This section provides management’s discussion and analysis of our historical financial performance and financial position during the track record period, including the key drivers of revenue and costs, significant period</w:t>
      </w:r>
      <w:r w:rsidRPr="0074610B">
        <w:noBreakHyphen/>
        <w:t>to</w:t>
      </w:r>
      <w:r w:rsidRPr="0074610B">
        <w:noBreakHyphen/>
        <w:t>period fluctuations, and our liquidity and capital resources. We explain material accounting policies and key judgements, and, where any non</w:t>
      </w:r>
      <w:r w:rsidRPr="0074610B">
        <w:noBreakHyphen/>
        <w:t xml:space="preserve">IFRS measures are presented, we provide clear definitions and reconciliations to the most directly comparable IFRS measures. We do not present projections of future profits or losses unless compliant with the formal profit forecast requirements. </w:t>
      </w:r>
      <w:r w:rsidRPr="0074610B">
        <w:lastRenderedPageBreak/>
        <w:t>[[</w:t>
      </w:r>
      <w:proofErr w:type="spellStart"/>
      <w:r w:rsidRPr="0074610B">
        <w:t>AI:VERIFY|evidence</w:t>
      </w:r>
      <w:proofErr w:type="spellEnd"/>
      <w:r w:rsidRPr="0074610B">
        <w:t>=audited financial statements, accountants’ report, working capital memorandum]] [[</w:t>
      </w:r>
      <w:proofErr w:type="spellStart"/>
      <w:r w:rsidRPr="0074610B">
        <w:t>AI:XREF|to</w:t>
      </w:r>
      <w:proofErr w:type="spellEnd"/>
      <w:r w:rsidRPr="0074610B">
        <w:t>=Use of Proceeds]]” </w:t>
      </w:r>
    </w:p>
    <w:p w14:paraId="47D77A0D" w14:textId="77777777" w:rsidR="0074610B" w:rsidRPr="0074610B" w:rsidRDefault="0074610B" w:rsidP="0074610B">
      <w:pPr>
        <w:pStyle w:val="a0"/>
        <w:rPr>
          <w:b/>
          <w:bCs/>
          <w:i/>
          <w:iCs/>
          <w:sz w:val="28"/>
          <w:szCs w:val="28"/>
        </w:rPr>
      </w:pPr>
      <w:r w:rsidRPr="0074610B">
        <w:rPr>
          <w:b/>
          <w:bCs/>
          <w:i/>
          <w:iCs/>
          <w:sz w:val="28"/>
          <w:szCs w:val="28"/>
        </w:rPr>
        <w:t>Future Plans and Use of Proceeds</w:t>
      </w:r>
    </w:p>
    <w:p w14:paraId="6E3B32E1" w14:textId="77777777" w:rsidR="00C10144" w:rsidRPr="00C10144" w:rsidRDefault="00C10144" w:rsidP="00C10144">
      <w:pPr>
        <w:pStyle w:val="a0"/>
      </w:pPr>
      <w:r w:rsidRPr="00C10144">
        <w:rPr>
          <w:b/>
          <w:bCs/>
        </w:rPr>
        <w:t>Purpose</w:t>
      </w:r>
      <w:r w:rsidRPr="00C10144">
        <w:br/>
        <w:t>This section explains how the net proceeds from the Global Offering will be applied and how such deployment supports the Company’s strategic development and operational priorities.</w:t>
      </w:r>
    </w:p>
    <w:p w14:paraId="701BC8C3" w14:textId="77777777" w:rsidR="00C10144" w:rsidRPr="00C10144" w:rsidRDefault="00C10144" w:rsidP="00C10144">
      <w:pPr>
        <w:pStyle w:val="a0"/>
      </w:pPr>
      <w:r w:rsidRPr="00C10144">
        <w:rPr>
          <w:b/>
          <w:bCs/>
        </w:rPr>
        <w:t>Format</w:t>
      </w:r>
      <w:r w:rsidRPr="00C10144">
        <w:br/>
        <w:t>The AI should present this section in a clear allocation-based structure, typically using bullet points or sub-headings for each use category. Percentages and/or indicative amounts should be provided for each use, and the language should be practical, specific, and consistent with disclosed strategy.</w:t>
      </w:r>
    </w:p>
    <w:p w14:paraId="74F1D7C0" w14:textId="77777777" w:rsidR="00C10144" w:rsidRPr="00C10144" w:rsidRDefault="00C10144" w:rsidP="00C10144">
      <w:pPr>
        <w:pStyle w:val="a0"/>
      </w:pPr>
      <w:r w:rsidRPr="00C10144">
        <w:rPr>
          <w:b/>
          <w:bCs/>
        </w:rPr>
        <w:t>Strategic context</w:t>
      </w:r>
      <w:r w:rsidRPr="00C10144">
        <w:br/>
        <w:t>The AI should begin with a short strategic overview explaining the overall purpose of fundraising (e.g., business expansion, R&amp;D enhancement, capacity improvement, market penetration, international growth), ensuring alignment with the Company’s stated strategy elsewhere in the prospectus.</w:t>
      </w:r>
    </w:p>
    <w:p w14:paraId="7CEEC4C7" w14:textId="77777777" w:rsidR="00C10144" w:rsidRPr="00C10144" w:rsidRDefault="00C10144" w:rsidP="00C10144">
      <w:pPr>
        <w:pStyle w:val="a0"/>
      </w:pPr>
      <w:r w:rsidRPr="00C10144">
        <w:rPr>
          <w:b/>
          <w:bCs/>
        </w:rPr>
        <w:t>Net proceeds baseline</w:t>
      </w:r>
    </w:p>
    <w:p w14:paraId="6EFFF303" w14:textId="77777777" w:rsidR="00C10144" w:rsidRPr="00C10144" w:rsidRDefault="00C10144" w:rsidP="00C10144">
      <w:pPr>
        <w:pStyle w:val="a0"/>
        <w:numPr>
          <w:ilvl w:val="0"/>
          <w:numId w:val="223"/>
        </w:numPr>
      </w:pPr>
      <w:r w:rsidRPr="00C10144">
        <w:t>The AI should state the expected gross proceeds and net proceeds (after deducting underwriting commissions and estimated offering expenses), typically referencing an assumed offer price (often the mid-point of the indicative price range) if that is the standard drafting approach.</w:t>
      </w:r>
    </w:p>
    <w:p w14:paraId="6C1AA981" w14:textId="77777777" w:rsidR="00C10144" w:rsidRPr="00C10144" w:rsidRDefault="00C10144" w:rsidP="00C10144">
      <w:pPr>
        <w:pStyle w:val="a0"/>
        <w:numPr>
          <w:ilvl w:val="0"/>
          <w:numId w:val="223"/>
        </w:numPr>
      </w:pPr>
      <w:r w:rsidRPr="00C10144">
        <w:t>This provides a consistent base for the allocation percentages and enables investors to understand the scale of planned deployment.</w:t>
      </w:r>
    </w:p>
    <w:p w14:paraId="55E5BDF6" w14:textId="77777777" w:rsidR="00C10144" w:rsidRPr="00C10144" w:rsidRDefault="00C10144" w:rsidP="00C10144">
      <w:pPr>
        <w:pStyle w:val="a0"/>
      </w:pPr>
      <w:r w:rsidRPr="00C10144">
        <w:rPr>
          <w:b/>
          <w:bCs/>
        </w:rPr>
        <w:t>Allocation categories and required specificity</w:t>
      </w:r>
    </w:p>
    <w:p w14:paraId="69B56932" w14:textId="77777777" w:rsidR="00C10144" w:rsidRPr="00C10144" w:rsidRDefault="00C10144" w:rsidP="00C10144">
      <w:pPr>
        <w:pStyle w:val="a0"/>
        <w:numPr>
          <w:ilvl w:val="0"/>
          <w:numId w:val="224"/>
        </w:numPr>
      </w:pPr>
      <w:r w:rsidRPr="00C10144">
        <w:t>The AI should list each planned use of proceeds as a separate item, and for each item provide: the percentage (and/or indicative amount) allocated, the specific implementation plan, and any basic timing or priority cues if disclosed.</w:t>
      </w:r>
    </w:p>
    <w:p w14:paraId="6F919367" w14:textId="77777777" w:rsidR="00C10144" w:rsidRPr="00C10144" w:rsidRDefault="00C10144" w:rsidP="00C10144">
      <w:pPr>
        <w:pStyle w:val="a0"/>
        <w:numPr>
          <w:ilvl w:val="0"/>
          <w:numId w:val="224"/>
        </w:numPr>
      </w:pPr>
      <w:r w:rsidRPr="00C10144">
        <w:t>Common allocation items include expansion of sales channels or store network, product development and R&amp;D investment, capacity expansion and equipment purchases, strategic investments and acquisitions, marketing and international expansion, and general working capital.</w:t>
      </w:r>
    </w:p>
    <w:p w14:paraId="3ED0DA5E" w14:textId="77777777" w:rsidR="00C10144" w:rsidRPr="00C10144" w:rsidRDefault="00C10144" w:rsidP="00C10144">
      <w:pPr>
        <w:pStyle w:val="a0"/>
        <w:numPr>
          <w:ilvl w:val="0"/>
          <w:numId w:val="224"/>
        </w:numPr>
      </w:pPr>
      <w:r w:rsidRPr="00C10144">
        <w:t>Where the Company discloses concrete targets (e.g., number of stores to open, number of R&amp;D hires, facility buildout milestones), the AI should include those targets in a factual manner to enhance specificity and credibility.</w:t>
      </w:r>
    </w:p>
    <w:p w14:paraId="6D561D0A" w14:textId="77777777" w:rsidR="00C10144" w:rsidRPr="00C10144" w:rsidRDefault="00C10144" w:rsidP="00C10144">
      <w:pPr>
        <w:pStyle w:val="a0"/>
      </w:pPr>
      <w:r w:rsidRPr="00C10144">
        <w:rPr>
          <w:b/>
          <w:bCs/>
        </w:rPr>
        <w:lastRenderedPageBreak/>
        <w:t>Implementation priorities and sequencing</w:t>
      </w:r>
      <w:r w:rsidRPr="00C10144">
        <w:br/>
        <w:t>The AI may include short descriptions of execution sequencing (e.g., near-term vs. medium-term initiatives), ensuring each category is “actionable” rather than generic. The output should avoid vague statements that do not link to identifiable activities.</w:t>
      </w:r>
    </w:p>
    <w:p w14:paraId="1BA5011F" w14:textId="77777777" w:rsidR="00C10144" w:rsidRPr="00C10144" w:rsidRDefault="00C10144" w:rsidP="00C10144">
      <w:pPr>
        <w:pStyle w:val="a0"/>
      </w:pPr>
      <w:r w:rsidRPr="00C10144">
        <w:rPr>
          <w:b/>
          <w:bCs/>
        </w:rPr>
        <w:t>Adjustment mechanism for proceeds variance</w:t>
      </w:r>
    </w:p>
    <w:p w14:paraId="2428B8BD" w14:textId="77777777" w:rsidR="00C10144" w:rsidRPr="00C10144" w:rsidRDefault="00C10144" w:rsidP="00C10144">
      <w:pPr>
        <w:pStyle w:val="a0"/>
        <w:numPr>
          <w:ilvl w:val="0"/>
          <w:numId w:val="225"/>
        </w:numPr>
      </w:pPr>
      <w:r w:rsidRPr="00C10144">
        <w:t>The AI should include a standard statement explaining how allocations may be adjusted if net proceeds are higher or lower than expected (e.g., due to pricing or exercise of the Over-allotment Option).</w:t>
      </w:r>
    </w:p>
    <w:p w14:paraId="4943E029" w14:textId="77777777" w:rsidR="00C10144" w:rsidRPr="00C10144" w:rsidRDefault="00C10144" w:rsidP="00C10144">
      <w:pPr>
        <w:pStyle w:val="a0"/>
        <w:numPr>
          <w:ilvl w:val="0"/>
          <w:numId w:val="225"/>
        </w:numPr>
      </w:pPr>
      <w:r w:rsidRPr="00C10144">
        <w:t>The disclosure should explain whether adjustments will be made proportionally or whether certain core priorities will be protected first, using cautious, governance-consistent language.</w:t>
      </w:r>
    </w:p>
    <w:p w14:paraId="4BFB52E5" w14:textId="77777777" w:rsidR="00C10144" w:rsidRPr="00C10144" w:rsidRDefault="00C10144" w:rsidP="00C10144">
      <w:pPr>
        <w:pStyle w:val="a0"/>
      </w:pPr>
      <w:r w:rsidRPr="00C10144">
        <w:rPr>
          <w:b/>
          <w:bCs/>
        </w:rPr>
        <w:t>Closing consistency statement</w:t>
      </w:r>
      <w:r w:rsidRPr="00C10144">
        <w:br/>
        <w:t>The AI should conclude with a statement that the proposed uses of proceeds are consistent with the Company’s long-term strategy and are intended to strengthen growth and competitiveness, while avoiding promotional exaggeration.</w:t>
      </w:r>
    </w:p>
    <w:p w14:paraId="33AE2D67" w14:textId="03A7F868" w:rsidR="0074610B" w:rsidRPr="0074610B" w:rsidRDefault="00C10144" w:rsidP="00C10144">
      <w:pPr>
        <w:pStyle w:val="a0"/>
      </w:pPr>
      <w:r w:rsidRPr="00C10144">
        <w:rPr>
          <w:b/>
          <w:bCs/>
        </w:rPr>
        <w:t>Investor value</w:t>
      </w:r>
      <w:r w:rsidRPr="00C10144">
        <w:br/>
        <w:t xml:space="preserve">By linking fundraising amounts to specific deployment plans with clear allocation logic, this section enables investors to evaluate capital efficiency, strategic realism, and how the IPO proceeds translate into measurable business </w:t>
      </w:r>
      <w:proofErr w:type="spellStart"/>
      <w:r w:rsidRPr="00C10144">
        <w:t>execution.</w:t>
      </w:r>
      <w:r w:rsidR="0074610B" w:rsidRPr="0074610B">
        <w:rPr>
          <w:b/>
          <w:bCs/>
        </w:rPr>
        <w:t>Sponsor</w:t>
      </w:r>
      <w:proofErr w:type="spellEnd"/>
      <w:r w:rsidR="0074610B" w:rsidRPr="0074610B">
        <w:rPr>
          <w:b/>
          <w:bCs/>
        </w:rPr>
        <w:t xml:space="preserve"> Counsel Enhancements:</w:t>
      </w:r>
    </w:p>
    <w:p w14:paraId="3C10AA46" w14:textId="77777777" w:rsidR="0074610B" w:rsidRPr="0074610B" w:rsidRDefault="0074610B" w:rsidP="0074610B">
      <w:pPr>
        <w:pStyle w:val="a0"/>
        <w:numPr>
          <w:ilvl w:val="0"/>
          <w:numId w:val="34"/>
        </w:numPr>
      </w:pPr>
      <w:r w:rsidRPr="0074610B">
        <w:t>For 18C Pre</w:t>
      </w:r>
      <w:r w:rsidRPr="0074610B">
        <w:noBreakHyphen/>
        <w:t xml:space="preserve">Commercial: use of proceeds must support the credible </w:t>
      </w:r>
      <w:proofErr w:type="spellStart"/>
      <w:r w:rsidRPr="0074610B">
        <w:t>commercialisation</w:t>
      </w:r>
      <w:proofErr w:type="spellEnd"/>
      <w:r w:rsidRPr="0074610B">
        <w:t xml:space="preserve"> path and the working capital coverage requirement (18C.06–18C.07). </w:t>
      </w:r>
    </w:p>
    <w:p w14:paraId="666121CF" w14:textId="77777777" w:rsidR="0074610B" w:rsidRPr="0074610B" w:rsidRDefault="0074610B" w:rsidP="0074610B">
      <w:pPr>
        <w:pStyle w:val="a0"/>
        <w:numPr>
          <w:ilvl w:val="0"/>
          <w:numId w:val="34"/>
        </w:numPr>
      </w:pPr>
      <w:r w:rsidRPr="0074610B">
        <w:t>Add “anti</w:t>
      </w:r>
      <w:r w:rsidRPr="0074610B">
        <w:noBreakHyphen/>
        <w:t>profit</w:t>
      </w:r>
      <w:r w:rsidRPr="0074610B">
        <w:noBreakHyphen/>
        <w:t>forecast rule”: no implied profitability timetable. </w:t>
      </w:r>
    </w:p>
    <w:p w14:paraId="375AEEFF" w14:textId="77777777" w:rsidR="0074610B" w:rsidRPr="0074610B" w:rsidRDefault="0074610B" w:rsidP="0074610B">
      <w:pPr>
        <w:pStyle w:val="a0"/>
        <w:numPr>
          <w:ilvl w:val="0"/>
          <w:numId w:val="34"/>
        </w:numPr>
      </w:pPr>
      <w:r w:rsidRPr="0074610B">
        <w:t>Add [[</w:t>
      </w:r>
      <w:proofErr w:type="spellStart"/>
      <w:r w:rsidRPr="0074610B">
        <w:t>AI:VERIFY|evidence</w:t>
      </w:r>
      <w:proofErr w:type="spellEnd"/>
      <w:r w:rsidRPr="0074610B">
        <w:t>=capex plan; R&amp;D budgets; board</w:t>
      </w:r>
      <w:r w:rsidRPr="0074610B">
        <w:noBreakHyphen/>
        <w:t>approved spending plan]]. </w:t>
      </w:r>
    </w:p>
    <w:p w14:paraId="368F7C96" w14:textId="77777777" w:rsidR="0074610B" w:rsidRPr="0074610B" w:rsidRDefault="0074610B" w:rsidP="0074610B">
      <w:pPr>
        <w:pStyle w:val="a0"/>
      </w:pPr>
      <w:r w:rsidRPr="0074610B">
        <w:rPr>
          <w:b/>
          <w:bCs/>
        </w:rPr>
        <w:t>Enhanced sample paragraph:</w:t>
      </w:r>
      <w:r w:rsidRPr="0074610B">
        <w:br/>
        <w:t xml:space="preserve">“We intend to apply the net proceeds from the Global Offering towards the implementation of our business strategies, which may include (as applicable) research and development of our core products and technologies, enhancement of computing and infrastructure capacity, product </w:t>
      </w:r>
      <w:proofErr w:type="spellStart"/>
      <w:r w:rsidRPr="0074610B">
        <w:t>commercialisation</w:t>
      </w:r>
      <w:proofErr w:type="spellEnd"/>
      <w:r w:rsidRPr="0074610B">
        <w:t xml:space="preserve"> and go</w:t>
      </w:r>
      <w:r w:rsidRPr="0074610B">
        <w:noBreakHyphen/>
        <w:t>to</w:t>
      </w:r>
      <w:r w:rsidRPr="0074610B">
        <w:noBreakHyphen/>
        <w:t>market initiatives, expansion of sales and service capabilities, and working capital and general corporate purposes. The allocation below represents our current best estimate and may be adjusted in response to changes in market and operating conditions. Where we are a Pre</w:t>
      </w:r>
      <w:r w:rsidRPr="0074610B">
        <w:noBreakHyphen/>
        <w:t xml:space="preserve">Commercial Specialist Technology Company, our use of proceeds is aligned with our credible path to </w:t>
      </w:r>
      <w:proofErr w:type="spellStart"/>
      <w:r w:rsidRPr="0074610B">
        <w:t>commercialisation</w:t>
      </w:r>
      <w:proofErr w:type="spellEnd"/>
      <w:r w:rsidRPr="0074610B">
        <w:t xml:space="preserve"> and the need to maintain sufficient working capital coverage. </w:t>
      </w:r>
      <w:r w:rsidRPr="0074610B">
        <w:lastRenderedPageBreak/>
        <w:t>[[</w:t>
      </w:r>
      <w:proofErr w:type="spellStart"/>
      <w:r w:rsidRPr="0074610B">
        <w:t>AI:XREF|to</w:t>
      </w:r>
      <w:proofErr w:type="spellEnd"/>
      <w:r w:rsidRPr="0074610B">
        <w:t>=Business]] [[</w:t>
      </w:r>
      <w:proofErr w:type="spellStart"/>
      <w:r w:rsidRPr="0074610B">
        <w:t>AI:XREF|to</w:t>
      </w:r>
      <w:proofErr w:type="spellEnd"/>
      <w:r w:rsidRPr="0074610B">
        <w:t>=Financial Information]] [[</w:t>
      </w:r>
      <w:proofErr w:type="spellStart"/>
      <w:r w:rsidRPr="0074610B">
        <w:t>AI:VERIFY|evidence</w:t>
      </w:r>
      <w:proofErr w:type="spellEnd"/>
      <w:r w:rsidRPr="0074610B">
        <w:t>=budgets and board approvals]]” </w:t>
      </w:r>
    </w:p>
    <w:p w14:paraId="39AB5910" w14:textId="77777777" w:rsidR="0074610B" w:rsidRPr="0074610B" w:rsidRDefault="0074610B" w:rsidP="0074610B">
      <w:pPr>
        <w:pStyle w:val="a0"/>
        <w:rPr>
          <w:b/>
          <w:bCs/>
          <w:i/>
          <w:iCs/>
          <w:sz w:val="28"/>
          <w:szCs w:val="28"/>
        </w:rPr>
      </w:pPr>
      <w:r w:rsidRPr="0074610B">
        <w:rPr>
          <w:b/>
          <w:bCs/>
          <w:i/>
          <w:iCs/>
          <w:sz w:val="28"/>
          <w:szCs w:val="28"/>
        </w:rPr>
        <w:t>Underwriting</w:t>
      </w:r>
    </w:p>
    <w:p w14:paraId="186B6958" w14:textId="77777777" w:rsidR="00C10144" w:rsidRPr="00C10144" w:rsidRDefault="00C10144" w:rsidP="00C10144">
      <w:pPr>
        <w:pStyle w:val="a0"/>
      </w:pPr>
      <w:r w:rsidRPr="00C10144">
        <w:rPr>
          <w:b/>
          <w:bCs/>
        </w:rPr>
        <w:t>Purpose</w:t>
      </w:r>
      <w:r w:rsidRPr="00C10144">
        <w:br/>
      </w:r>
      <w:r w:rsidRPr="00C10144">
        <w:br/>
      </w:r>
    </w:p>
    <w:p w14:paraId="6BB5212B" w14:textId="77777777" w:rsidR="00C10144" w:rsidRPr="00C10144" w:rsidRDefault="00C10144" w:rsidP="00C10144">
      <w:pPr>
        <w:pStyle w:val="a0"/>
      </w:pPr>
      <w:r w:rsidRPr="00C10144">
        <w:t xml:space="preserve">This section discloses the underwriting arrangements for the Global Offering, including participating underwriters, key underwriting terms, fees, conditions precedent, termination rights, and </w:t>
      </w:r>
      <w:proofErr w:type="spellStart"/>
      <w:r w:rsidRPr="00C10144">
        <w:t>stabilisation</w:t>
      </w:r>
      <w:proofErr w:type="spellEnd"/>
      <w:r w:rsidRPr="00C10144">
        <w:t>-related provisions such as the over-allotment option.</w:t>
      </w:r>
    </w:p>
    <w:p w14:paraId="1EC66469" w14:textId="77777777" w:rsidR="00C10144" w:rsidRPr="00C10144" w:rsidRDefault="00C10144" w:rsidP="00C10144">
      <w:pPr>
        <w:pStyle w:val="a0"/>
      </w:pPr>
      <w:r w:rsidRPr="00C10144">
        <w:rPr>
          <w:b/>
          <w:bCs/>
        </w:rPr>
        <w:t>Format</w:t>
      </w:r>
      <w:r w:rsidRPr="00C10144">
        <w:br/>
        <w:t>The AI should draft this section in formal legal and transactional language, using clear sub-headings and structured listing where appropriate. The emphasis should be on accuracy, completeness, and alignment with underwriting agreement terms.</w:t>
      </w:r>
    </w:p>
    <w:p w14:paraId="3C06D84D" w14:textId="77777777" w:rsidR="00C10144" w:rsidRPr="00C10144" w:rsidRDefault="00C10144" w:rsidP="00C10144">
      <w:pPr>
        <w:pStyle w:val="a0"/>
      </w:pPr>
      <w:r w:rsidRPr="00C10144">
        <w:rPr>
          <w:b/>
          <w:bCs/>
        </w:rPr>
        <w:t>Underwriters and roles</w:t>
      </w:r>
    </w:p>
    <w:p w14:paraId="6DA4D8BD" w14:textId="77777777" w:rsidR="00C10144" w:rsidRPr="00C10144" w:rsidRDefault="00C10144" w:rsidP="00C10144">
      <w:pPr>
        <w:pStyle w:val="a0"/>
        <w:numPr>
          <w:ilvl w:val="0"/>
          <w:numId w:val="226"/>
        </w:numPr>
      </w:pPr>
      <w:r w:rsidRPr="00C10144">
        <w:t>The AI should list the underwriters participating in the Global Offering and distinguish between Hong Kong underwriters and international underwriters where applicable.</w:t>
      </w:r>
    </w:p>
    <w:p w14:paraId="681BB189" w14:textId="77777777" w:rsidR="00C10144" w:rsidRPr="00C10144" w:rsidRDefault="00C10144" w:rsidP="00C10144">
      <w:pPr>
        <w:pStyle w:val="a0"/>
        <w:numPr>
          <w:ilvl w:val="0"/>
          <w:numId w:val="226"/>
        </w:numPr>
      </w:pPr>
      <w:r w:rsidRPr="00C10144">
        <w:t>The output should identify transaction roles such as Joint Global Coordinators, Bookrunners, Lead Managers, and other named underwriting parties, presenting names exactly and consistently with the prospectus style.</w:t>
      </w:r>
    </w:p>
    <w:p w14:paraId="0976BDBF" w14:textId="77777777" w:rsidR="00C10144" w:rsidRPr="00C10144" w:rsidRDefault="00C10144" w:rsidP="00C10144">
      <w:pPr>
        <w:pStyle w:val="a0"/>
      </w:pPr>
      <w:r w:rsidRPr="00C10144">
        <w:rPr>
          <w:b/>
          <w:bCs/>
        </w:rPr>
        <w:t>Underwriting commitments and scope</w:t>
      </w:r>
    </w:p>
    <w:p w14:paraId="2B5A0E39" w14:textId="77777777" w:rsidR="00C10144" w:rsidRPr="00C10144" w:rsidRDefault="00C10144" w:rsidP="00C10144">
      <w:pPr>
        <w:pStyle w:val="a0"/>
        <w:numPr>
          <w:ilvl w:val="0"/>
          <w:numId w:val="227"/>
        </w:numPr>
      </w:pPr>
      <w:r w:rsidRPr="00C10144">
        <w:t>The AI should state that the Hong Kong Offer Shares and International Offer Shares are fully underwritten, and describe the standard “several but not joint” underwriting obligation framework (i.e., underwriters commit to take up their proportionate share but are not jointly liable for others).</w:t>
      </w:r>
    </w:p>
    <w:p w14:paraId="38E05F46" w14:textId="77777777" w:rsidR="00C10144" w:rsidRPr="00C10144" w:rsidRDefault="00C10144" w:rsidP="00C10144">
      <w:pPr>
        <w:pStyle w:val="a0"/>
        <w:numPr>
          <w:ilvl w:val="0"/>
          <w:numId w:val="227"/>
        </w:numPr>
      </w:pPr>
      <w:r w:rsidRPr="00C10144">
        <w:t>The wording should make clear that underwriting provides assurance that the offer shares will be subscribed for, subject to conditions and termination rights.</w:t>
      </w:r>
    </w:p>
    <w:p w14:paraId="12B3CD9C" w14:textId="77777777" w:rsidR="00C10144" w:rsidRPr="00C10144" w:rsidRDefault="00C10144" w:rsidP="00C10144">
      <w:pPr>
        <w:pStyle w:val="a0"/>
      </w:pPr>
      <w:r w:rsidRPr="00C10144">
        <w:rPr>
          <w:b/>
          <w:bCs/>
        </w:rPr>
        <w:t>Pricing agreement mechanics</w:t>
      </w:r>
      <w:r w:rsidRPr="00C10144">
        <w:br/>
        <w:t>The AI should describe that the final offer price is to be agreed between the Company and the Joint Global Coordinators (on behalf of the underwriters) on the pricing date, typically following bookbuilding.</w:t>
      </w:r>
      <w:r w:rsidRPr="00C10144">
        <w:br/>
        <w:t>It should include a standard statement that if the parties fail to reach agreement on pricing, the Global Offering will not proceed, using precise and formal wording.</w:t>
      </w:r>
    </w:p>
    <w:p w14:paraId="16E39099" w14:textId="77777777" w:rsidR="00C10144" w:rsidRPr="00C10144" w:rsidRDefault="00C10144" w:rsidP="00C10144">
      <w:pPr>
        <w:pStyle w:val="a0"/>
      </w:pPr>
      <w:r w:rsidRPr="00C10144">
        <w:rPr>
          <w:b/>
          <w:bCs/>
        </w:rPr>
        <w:t>Underwriting commissions and expenses</w:t>
      </w:r>
    </w:p>
    <w:p w14:paraId="332EF687" w14:textId="77777777" w:rsidR="00C10144" w:rsidRPr="00C10144" w:rsidRDefault="00C10144" w:rsidP="00C10144">
      <w:pPr>
        <w:pStyle w:val="a0"/>
        <w:numPr>
          <w:ilvl w:val="0"/>
          <w:numId w:val="228"/>
        </w:numPr>
      </w:pPr>
      <w:r w:rsidRPr="00C10144">
        <w:lastRenderedPageBreak/>
        <w:t>The AI should disclose underwriting commission rates and how offering-related expenses are borne, using the usual prospectus-level disclosure approach (commission percentage, description of reimbursable expenses, and any other disclosed fees).</w:t>
      </w:r>
    </w:p>
    <w:p w14:paraId="2BB474AF" w14:textId="77777777" w:rsidR="00C10144" w:rsidRPr="00C10144" w:rsidRDefault="00C10144" w:rsidP="00C10144">
      <w:pPr>
        <w:pStyle w:val="a0"/>
        <w:numPr>
          <w:ilvl w:val="0"/>
          <w:numId w:val="228"/>
        </w:numPr>
      </w:pPr>
      <w:r w:rsidRPr="00C10144">
        <w:t>The AI should not fabricate numbers; it should leave placeholders if the exact commission rate is not provided in input data, but must preserve the structure requiring such disclosure.</w:t>
      </w:r>
    </w:p>
    <w:p w14:paraId="44ED16AB" w14:textId="77777777" w:rsidR="00C10144" w:rsidRPr="00C10144" w:rsidRDefault="00C10144" w:rsidP="00C10144">
      <w:pPr>
        <w:pStyle w:val="a0"/>
      </w:pPr>
      <w:r w:rsidRPr="00C10144">
        <w:rPr>
          <w:b/>
          <w:bCs/>
        </w:rPr>
        <w:t>Lock-up arrangements</w:t>
      </w:r>
    </w:p>
    <w:p w14:paraId="568B87B2" w14:textId="77777777" w:rsidR="00C10144" w:rsidRPr="00C10144" w:rsidRDefault="00C10144" w:rsidP="00C10144">
      <w:pPr>
        <w:pStyle w:val="a0"/>
        <w:numPr>
          <w:ilvl w:val="0"/>
          <w:numId w:val="229"/>
        </w:numPr>
      </w:pPr>
      <w:r w:rsidRPr="00C10144">
        <w:t>The AI should describe lock-up undertakings given by the Company and relevant shareholders (often controlling shareholders), stating lock-up period length and the scope of restricted disposals or issuances, and clarifying that waiver requires prior written consent of the underwriters where applicable.</w:t>
      </w:r>
    </w:p>
    <w:p w14:paraId="41E18EE1" w14:textId="77777777" w:rsidR="00C10144" w:rsidRPr="00C10144" w:rsidRDefault="00C10144" w:rsidP="00C10144">
      <w:pPr>
        <w:pStyle w:val="a0"/>
        <w:numPr>
          <w:ilvl w:val="0"/>
          <w:numId w:val="229"/>
        </w:numPr>
      </w:pPr>
      <w:r w:rsidRPr="00C10144">
        <w:t>The output must remain consistent with underwriting agreement terms and must not generalize beyond disclosed commitments.</w:t>
      </w:r>
    </w:p>
    <w:p w14:paraId="05333811" w14:textId="77777777" w:rsidR="00C10144" w:rsidRPr="00C10144" w:rsidRDefault="00C10144" w:rsidP="00C10144">
      <w:pPr>
        <w:pStyle w:val="a0"/>
      </w:pPr>
      <w:r w:rsidRPr="00C10144">
        <w:rPr>
          <w:b/>
          <w:bCs/>
        </w:rPr>
        <w:t>Conditions precedent</w:t>
      </w:r>
    </w:p>
    <w:p w14:paraId="18FA8DFD" w14:textId="77777777" w:rsidR="00C10144" w:rsidRPr="00C10144" w:rsidRDefault="00C10144" w:rsidP="00C10144">
      <w:pPr>
        <w:pStyle w:val="a0"/>
        <w:numPr>
          <w:ilvl w:val="0"/>
          <w:numId w:val="230"/>
        </w:numPr>
      </w:pPr>
      <w:r w:rsidRPr="00C10144">
        <w:t>The AI should list key conditions precedent to the underwriting agreements becoming unconditional, such as Listing approval, execution of the pricing agreement, completion of requisite filings, and satisfaction of other customary conditions.</w:t>
      </w:r>
    </w:p>
    <w:p w14:paraId="5F25E405" w14:textId="77777777" w:rsidR="00C10144" w:rsidRPr="00C10144" w:rsidRDefault="00C10144" w:rsidP="00C10144">
      <w:pPr>
        <w:pStyle w:val="a0"/>
        <w:numPr>
          <w:ilvl w:val="0"/>
          <w:numId w:val="230"/>
        </w:numPr>
      </w:pPr>
      <w:r w:rsidRPr="00C10144">
        <w:t>The writing should convey that completion is conditional and that failure of conditions can lead to non-completion of the offering.</w:t>
      </w:r>
    </w:p>
    <w:p w14:paraId="4BA98E19" w14:textId="77777777" w:rsidR="00C10144" w:rsidRPr="00C10144" w:rsidRDefault="00C10144" w:rsidP="00C10144">
      <w:pPr>
        <w:pStyle w:val="a0"/>
      </w:pPr>
      <w:r w:rsidRPr="00C10144">
        <w:rPr>
          <w:b/>
          <w:bCs/>
        </w:rPr>
        <w:t>Termination rights</w:t>
      </w:r>
    </w:p>
    <w:p w14:paraId="42BD3FB5" w14:textId="77777777" w:rsidR="00C10144" w:rsidRPr="00C10144" w:rsidRDefault="00C10144" w:rsidP="00C10144">
      <w:pPr>
        <w:pStyle w:val="a0"/>
        <w:numPr>
          <w:ilvl w:val="0"/>
          <w:numId w:val="231"/>
        </w:numPr>
      </w:pPr>
      <w:r w:rsidRPr="00C10144">
        <w:t>The AI should describe the principal termination triggers allowing underwriters to terminate, typically including material adverse change, breach of representations or undertakings, major market disruption, or other specified events.</w:t>
      </w:r>
    </w:p>
    <w:p w14:paraId="7141C86F" w14:textId="77777777" w:rsidR="00C10144" w:rsidRPr="00C10144" w:rsidRDefault="00C10144" w:rsidP="00C10144">
      <w:pPr>
        <w:pStyle w:val="a0"/>
        <w:numPr>
          <w:ilvl w:val="0"/>
          <w:numId w:val="231"/>
        </w:numPr>
      </w:pPr>
      <w:r w:rsidRPr="00C10144">
        <w:t>The AI should present termination triggers as clear bullet points or sub-paragraphs to improve readability, while maintaining legal precision.</w:t>
      </w:r>
    </w:p>
    <w:p w14:paraId="03B347AF" w14:textId="77777777" w:rsidR="00C10144" w:rsidRPr="00C10144" w:rsidRDefault="00C10144" w:rsidP="00C10144">
      <w:pPr>
        <w:pStyle w:val="a0"/>
      </w:pPr>
      <w:r w:rsidRPr="00C10144">
        <w:rPr>
          <w:b/>
          <w:bCs/>
        </w:rPr>
        <w:t xml:space="preserve">Over-allotment option and </w:t>
      </w:r>
      <w:proofErr w:type="spellStart"/>
      <w:r w:rsidRPr="00C10144">
        <w:rPr>
          <w:b/>
          <w:bCs/>
        </w:rPr>
        <w:t>stabilisation</w:t>
      </w:r>
      <w:proofErr w:type="spellEnd"/>
      <w:r w:rsidRPr="00C10144">
        <w:br/>
        <w:t>If applicable, the AI should describe the over-allotment option (greenshoe), including the maximum additional shares (typically up to 15% of the initial offering size), the exercise period (often 30 days from listing), and the exercising party (often Joint Global Coordinators on behalf of international underwriters).</w:t>
      </w:r>
      <w:r w:rsidRPr="00C10144">
        <w:br/>
        <w:t xml:space="preserve">The output should explain that this option is used for over-allocation cover and </w:t>
      </w:r>
      <w:proofErr w:type="spellStart"/>
      <w:r w:rsidRPr="00C10144">
        <w:t>stabilisation</w:t>
      </w:r>
      <w:proofErr w:type="spellEnd"/>
      <w:r w:rsidRPr="00C10144">
        <w:t xml:space="preserve"> purposes and may affect post-offering share capital and allocation.</w:t>
      </w:r>
    </w:p>
    <w:p w14:paraId="0FD1B3B5" w14:textId="77777777" w:rsidR="00C10144" w:rsidRPr="00C10144" w:rsidRDefault="00C10144" w:rsidP="00C10144">
      <w:pPr>
        <w:pStyle w:val="a0"/>
      </w:pPr>
      <w:r w:rsidRPr="00C10144">
        <w:rPr>
          <w:b/>
          <w:bCs/>
        </w:rPr>
        <w:lastRenderedPageBreak/>
        <w:t>Other key provisions</w:t>
      </w:r>
      <w:r w:rsidRPr="00C10144">
        <w:br/>
        <w:t>Where relevant, the AI may mention customary indemnities, representations, and independence-related confirmations in brief, ensuring the section remains disclosure-focused rather than contractual reproduction.</w:t>
      </w:r>
    </w:p>
    <w:p w14:paraId="7AE7E3E4" w14:textId="77777777" w:rsidR="00C10144" w:rsidRPr="00C10144" w:rsidRDefault="00C10144" w:rsidP="00C10144">
      <w:pPr>
        <w:pStyle w:val="a0"/>
      </w:pPr>
      <w:r w:rsidRPr="00C10144">
        <w:rPr>
          <w:b/>
          <w:bCs/>
        </w:rPr>
        <w:t>Investor value</w:t>
      </w:r>
      <w:r w:rsidRPr="00C10144">
        <w:br/>
        <w:t xml:space="preserve">This section provides investors with transparency on the transactional protections, completion conditions, fees, and potential post-offering </w:t>
      </w:r>
      <w:proofErr w:type="spellStart"/>
      <w:r w:rsidRPr="00C10144">
        <w:t>stabilisation</w:t>
      </w:r>
      <w:proofErr w:type="spellEnd"/>
      <w:r w:rsidRPr="00C10144">
        <w:t xml:space="preserve"> mechanisms, allowing investors to understand offering execution risk and related constraints.</w:t>
      </w:r>
    </w:p>
    <w:p w14:paraId="7BED2197" w14:textId="5B1AF423" w:rsidR="0074610B" w:rsidRPr="0074610B" w:rsidRDefault="0074610B" w:rsidP="0074610B">
      <w:pPr>
        <w:pStyle w:val="a0"/>
      </w:pPr>
      <w:r w:rsidRPr="0074610B">
        <w:rPr>
          <w:b/>
          <w:bCs/>
        </w:rPr>
        <w:t>Sponsor Counsel Enhancements:</w:t>
      </w:r>
    </w:p>
    <w:p w14:paraId="532E8C4D" w14:textId="77777777" w:rsidR="0074610B" w:rsidRPr="0074610B" w:rsidRDefault="0074610B" w:rsidP="0074610B">
      <w:pPr>
        <w:pStyle w:val="a0"/>
        <w:numPr>
          <w:ilvl w:val="0"/>
          <w:numId w:val="36"/>
        </w:numPr>
      </w:pPr>
      <w:proofErr w:type="spellStart"/>
      <w:r w:rsidRPr="0074610B">
        <w:t>MiniMax</w:t>
      </w:r>
      <w:proofErr w:type="spellEnd"/>
      <w:r w:rsidRPr="0074610B">
        <w:t xml:space="preserve"> cover already flags termination timing and cross</w:t>
      </w:r>
      <w:r w:rsidRPr="0074610B">
        <w:noBreakHyphen/>
        <w:t>references the “Grounds for Termination” subsection (PDF p.2/716). Preserve that style and ensure the underwriting chapter contains the same cross</w:t>
      </w:r>
      <w:r w:rsidRPr="0074610B">
        <w:noBreakHyphen/>
        <w:t>reference path.</w:t>
      </w:r>
    </w:p>
    <w:p w14:paraId="3BC935EC" w14:textId="77777777" w:rsidR="0074610B" w:rsidRPr="0074610B" w:rsidRDefault="0074610B" w:rsidP="0074610B">
      <w:pPr>
        <w:pStyle w:val="a0"/>
        <w:numPr>
          <w:ilvl w:val="0"/>
          <w:numId w:val="36"/>
        </w:numPr>
      </w:pPr>
      <w:r w:rsidRPr="0074610B">
        <w:t>Add [[</w:t>
      </w:r>
      <w:proofErr w:type="spellStart"/>
      <w:r w:rsidRPr="0074610B">
        <w:t>AI:VERIFY|evidence</w:t>
      </w:r>
      <w:proofErr w:type="spellEnd"/>
      <w:r w:rsidRPr="0074610B">
        <w:t xml:space="preserve">=underwriting agreement term sheet; termination clauses; </w:t>
      </w:r>
      <w:proofErr w:type="spellStart"/>
      <w:r w:rsidRPr="0074610B">
        <w:t>stabilisation</w:t>
      </w:r>
      <w:proofErr w:type="spellEnd"/>
      <w:r w:rsidRPr="0074610B">
        <w:t xml:space="preserve"> compliance memo]]. </w:t>
      </w:r>
    </w:p>
    <w:p w14:paraId="3126714E" w14:textId="77777777" w:rsidR="0074610B" w:rsidRPr="0074610B" w:rsidRDefault="0074610B" w:rsidP="0074610B">
      <w:pPr>
        <w:pStyle w:val="a0"/>
      </w:pPr>
      <w:r w:rsidRPr="0074610B">
        <w:rPr>
          <w:b/>
          <w:bCs/>
        </w:rPr>
        <w:t>Enhanced sample paragraph:</w:t>
      </w:r>
      <w:r w:rsidRPr="0074610B">
        <w:br/>
        <w:t xml:space="preserve">“This section describes the underwriting arrangements for the Global Offering, including the identities and roles of the underwriters and the scope of their underwriting commitments. The obligations of the underwriters are subject to conditions and may be terminated by the relevant coordinators under specified circumstances prior to the Listing Date, as set out in the underwriting agreements; investors should refer to the subsection ‘Grounds for Termination’ for details. The underwriters’ obligations are typically several and not joint, and each underwriter is responsible only for the portion it has agreed to underwrite. This section also </w:t>
      </w:r>
      <w:proofErr w:type="spellStart"/>
      <w:r w:rsidRPr="0074610B">
        <w:t>summarises</w:t>
      </w:r>
      <w:proofErr w:type="spellEnd"/>
      <w:r w:rsidRPr="0074610B">
        <w:t xml:space="preserve"> any over</w:t>
      </w:r>
      <w:r w:rsidRPr="0074610B">
        <w:noBreakHyphen/>
        <w:t xml:space="preserve">allotment and </w:t>
      </w:r>
      <w:proofErr w:type="spellStart"/>
      <w:r w:rsidRPr="0074610B">
        <w:t>stabilisation</w:t>
      </w:r>
      <w:proofErr w:type="spellEnd"/>
      <w:r w:rsidRPr="0074610B">
        <w:noBreakHyphen/>
        <w:t xml:space="preserve">related arrangements, including the circumstances in which </w:t>
      </w:r>
      <w:proofErr w:type="spellStart"/>
      <w:r w:rsidRPr="0074610B">
        <w:t>stabilisation</w:t>
      </w:r>
      <w:proofErr w:type="spellEnd"/>
      <w:r w:rsidRPr="0074610B">
        <w:t xml:space="preserve"> may be conducted and the applicable time period. [[</w:t>
      </w:r>
      <w:proofErr w:type="spellStart"/>
      <w:r w:rsidRPr="0074610B">
        <w:t>AI:XREF|to</w:t>
      </w:r>
      <w:proofErr w:type="spellEnd"/>
      <w:r w:rsidRPr="0074610B">
        <w:t>=Structure of the Global Offering]] [[</w:t>
      </w:r>
      <w:proofErr w:type="spellStart"/>
      <w:r w:rsidRPr="0074610B">
        <w:t>AI:VERIFY|evidence</w:t>
      </w:r>
      <w:proofErr w:type="spellEnd"/>
      <w:r w:rsidRPr="0074610B">
        <w:t>=executed underwriting agreements]]”</w:t>
      </w:r>
    </w:p>
    <w:p w14:paraId="2AD59D9F" w14:textId="77777777" w:rsidR="0074610B" w:rsidRPr="0074610B" w:rsidRDefault="0074610B" w:rsidP="0074610B">
      <w:pPr>
        <w:pStyle w:val="a0"/>
        <w:rPr>
          <w:b/>
          <w:bCs/>
          <w:i/>
          <w:iCs/>
          <w:sz w:val="28"/>
          <w:szCs w:val="28"/>
        </w:rPr>
      </w:pPr>
      <w:r w:rsidRPr="0074610B">
        <w:rPr>
          <w:b/>
          <w:bCs/>
          <w:i/>
          <w:iCs/>
          <w:sz w:val="28"/>
          <w:szCs w:val="28"/>
        </w:rPr>
        <w:t>Structure of the Global Offering</w:t>
      </w:r>
    </w:p>
    <w:p w14:paraId="6C240D4E" w14:textId="77777777" w:rsidR="00C10144" w:rsidRPr="00C10144" w:rsidRDefault="00C10144" w:rsidP="00C10144">
      <w:pPr>
        <w:pStyle w:val="a0"/>
      </w:pPr>
      <w:r w:rsidRPr="00C10144">
        <w:rPr>
          <w:b/>
          <w:bCs/>
        </w:rPr>
        <w:t>Purpose</w:t>
      </w:r>
      <w:r w:rsidRPr="00C10144">
        <w:br/>
        <w:t>This section explains the overall structure, allocation mechanics, pricing process, reallocation (</w:t>
      </w:r>
      <w:proofErr w:type="spellStart"/>
      <w:r w:rsidRPr="00C10144">
        <w:t>clawback</w:t>
      </w:r>
      <w:proofErr w:type="spellEnd"/>
      <w:r w:rsidRPr="00C10144">
        <w:t>) arrangements, investor categories, and listing/trading logistics of the Global Offering.</w:t>
      </w:r>
    </w:p>
    <w:p w14:paraId="3E1F5B14" w14:textId="77777777" w:rsidR="00C10144" w:rsidRPr="00C10144" w:rsidRDefault="00C10144" w:rsidP="00C10144">
      <w:pPr>
        <w:pStyle w:val="a0"/>
      </w:pPr>
      <w:r w:rsidRPr="00C10144">
        <w:rPr>
          <w:b/>
          <w:bCs/>
        </w:rPr>
        <w:t>Format</w:t>
      </w:r>
      <w:r w:rsidRPr="00C10144">
        <w:br/>
        <w:t>The AI should present the structure in a logical sequence from overall offering size to tranche allocation, then pricing and conditions, and finally allocation results and settlement arrangements. The writing should be clear and explanatory, but remain formal and precise.</w:t>
      </w:r>
    </w:p>
    <w:p w14:paraId="53F5DDEA" w14:textId="77777777" w:rsidR="00C10144" w:rsidRPr="00C10144" w:rsidRDefault="00C10144" w:rsidP="00C10144">
      <w:pPr>
        <w:pStyle w:val="a0"/>
      </w:pPr>
      <w:r w:rsidRPr="00C10144">
        <w:rPr>
          <w:b/>
          <w:bCs/>
        </w:rPr>
        <w:t>Offering size and tranche split</w:t>
      </w:r>
    </w:p>
    <w:p w14:paraId="1A4F3712" w14:textId="77777777" w:rsidR="00C10144" w:rsidRPr="00C10144" w:rsidRDefault="00C10144" w:rsidP="00C10144">
      <w:pPr>
        <w:pStyle w:val="a0"/>
        <w:numPr>
          <w:ilvl w:val="0"/>
          <w:numId w:val="232"/>
        </w:numPr>
      </w:pPr>
      <w:r w:rsidRPr="00C10144">
        <w:lastRenderedPageBreak/>
        <w:t>The AI should state the total number of shares offered under the Global Offering and the split between the Hong Kong Public Offering tranche and the International Placing tranche.</w:t>
      </w:r>
    </w:p>
    <w:p w14:paraId="6C0077F1" w14:textId="77777777" w:rsidR="00C10144" w:rsidRPr="00C10144" w:rsidRDefault="00C10144" w:rsidP="00C10144">
      <w:pPr>
        <w:pStyle w:val="a0"/>
        <w:numPr>
          <w:ilvl w:val="0"/>
          <w:numId w:val="232"/>
        </w:numPr>
      </w:pPr>
      <w:r w:rsidRPr="00C10144">
        <w:t>The output should provide initial allocation percentages and corresponding share numbers, and should clearly state any assumptions (e.g., assuming the Over-allotment Option is not exercised).</w:t>
      </w:r>
    </w:p>
    <w:p w14:paraId="6906408D" w14:textId="77777777" w:rsidR="00C10144" w:rsidRPr="00C10144" w:rsidRDefault="00C10144" w:rsidP="00C10144">
      <w:pPr>
        <w:pStyle w:val="a0"/>
        <w:numPr>
          <w:ilvl w:val="0"/>
          <w:numId w:val="232"/>
        </w:numPr>
      </w:pPr>
      <w:r w:rsidRPr="00C10144">
        <w:t>If there are reserved shares (e.g., employee or preferential allocation), the AI should include them and specify how they fit into the overall structure.</w:t>
      </w:r>
    </w:p>
    <w:p w14:paraId="2FE73F8F" w14:textId="77777777" w:rsidR="00C10144" w:rsidRPr="00C10144" w:rsidRDefault="00C10144" w:rsidP="00C10144">
      <w:pPr>
        <w:pStyle w:val="a0"/>
      </w:pPr>
      <w:r w:rsidRPr="00C10144">
        <w:rPr>
          <w:b/>
          <w:bCs/>
        </w:rPr>
        <w:t>Hong Kong Public Offering tranche mechanics</w:t>
      </w:r>
    </w:p>
    <w:p w14:paraId="557E1EB9" w14:textId="77777777" w:rsidR="00C10144" w:rsidRPr="00C10144" w:rsidRDefault="00C10144" w:rsidP="00C10144">
      <w:pPr>
        <w:pStyle w:val="a0"/>
        <w:numPr>
          <w:ilvl w:val="0"/>
          <w:numId w:val="233"/>
        </w:numPr>
      </w:pPr>
      <w:r w:rsidRPr="00C10144">
        <w:t>The AI should describe the target investor group (Hong Kong public investors) and application rules, including one application per applicant and board lot requirements (application must be in multiples of board lots).</w:t>
      </w:r>
    </w:p>
    <w:p w14:paraId="626D8DE0" w14:textId="77777777" w:rsidR="00C10144" w:rsidRPr="00C10144" w:rsidRDefault="00C10144" w:rsidP="00C10144">
      <w:pPr>
        <w:pStyle w:val="a0"/>
        <w:numPr>
          <w:ilvl w:val="0"/>
          <w:numId w:val="233"/>
        </w:numPr>
      </w:pPr>
      <w:r w:rsidRPr="00C10144">
        <w:t xml:space="preserve">The AI should describe the </w:t>
      </w:r>
      <w:proofErr w:type="spellStart"/>
      <w:r w:rsidRPr="00C10144">
        <w:t>clawback</w:t>
      </w:r>
      <w:proofErr w:type="spellEnd"/>
      <w:r w:rsidRPr="00C10144">
        <w:t>/reallocation mechanism and present the reallocation thresholds and resulting tranche percentage adjustments in a clear and rule-consistent manner.</w:t>
      </w:r>
    </w:p>
    <w:p w14:paraId="1FE8AF15" w14:textId="77777777" w:rsidR="00C10144" w:rsidRPr="00C10144" w:rsidRDefault="00C10144" w:rsidP="00C10144">
      <w:pPr>
        <w:pStyle w:val="a0"/>
        <w:numPr>
          <w:ilvl w:val="0"/>
          <w:numId w:val="233"/>
        </w:numPr>
      </w:pPr>
      <w:r w:rsidRPr="00C10144">
        <w:t xml:space="preserve">The AI should ensure the </w:t>
      </w:r>
      <w:proofErr w:type="spellStart"/>
      <w:r w:rsidRPr="00C10144">
        <w:t>clawback</w:t>
      </w:r>
      <w:proofErr w:type="spellEnd"/>
      <w:r w:rsidRPr="00C10144">
        <w:t xml:space="preserve"> structure is described in a precise tiered format (e.g., subscription multiples thresholds and the corresponding reallocation outcomes).</w:t>
      </w:r>
    </w:p>
    <w:p w14:paraId="3C9170E7" w14:textId="77777777" w:rsidR="00C10144" w:rsidRPr="00C10144" w:rsidRDefault="00C10144" w:rsidP="00C10144">
      <w:pPr>
        <w:pStyle w:val="a0"/>
      </w:pPr>
      <w:r w:rsidRPr="00C10144">
        <w:rPr>
          <w:b/>
          <w:bCs/>
        </w:rPr>
        <w:t>International Placing tranche mechanics</w:t>
      </w:r>
    </w:p>
    <w:p w14:paraId="32A51134" w14:textId="77777777" w:rsidR="00C10144" w:rsidRPr="00C10144" w:rsidRDefault="00C10144" w:rsidP="00C10144">
      <w:pPr>
        <w:pStyle w:val="a0"/>
        <w:numPr>
          <w:ilvl w:val="0"/>
          <w:numId w:val="234"/>
        </w:numPr>
      </w:pPr>
      <w:r w:rsidRPr="00C10144">
        <w:t>The AI should describe that the International Placing tranche is allocated to professional, institutional, and other international investors, and that allocation is determined through bookbuilding and underwriter allocation decisions.</w:t>
      </w:r>
    </w:p>
    <w:p w14:paraId="0191D614" w14:textId="77777777" w:rsidR="00C10144" w:rsidRPr="00C10144" w:rsidRDefault="00C10144" w:rsidP="00C10144">
      <w:pPr>
        <w:pStyle w:val="a0"/>
        <w:numPr>
          <w:ilvl w:val="0"/>
          <w:numId w:val="234"/>
        </w:numPr>
      </w:pPr>
      <w:r w:rsidRPr="00C10144">
        <w:t xml:space="preserve">The AI should explain how the International Placing tranche size will adjust downward if </w:t>
      </w:r>
      <w:proofErr w:type="spellStart"/>
      <w:r w:rsidRPr="00C10144">
        <w:t>clawback</w:t>
      </w:r>
      <w:proofErr w:type="spellEnd"/>
      <w:r w:rsidRPr="00C10144">
        <w:t xml:space="preserve"> increases the Hong Kong tranche.</w:t>
      </w:r>
    </w:p>
    <w:p w14:paraId="52CE7D1B" w14:textId="77777777" w:rsidR="00C10144" w:rsidRPr="00C10144" w:rsidRDefault="00C10144" w:rsidP="00C10144">
      <w:pPr>
        <w:pStyle w:val="a0"/>
        <w:numPr>
          <w:ilvl w:val="0"/>
          <w:numId w:val="234"/>
        </w:numPr>
      </w:pPr>
      <w:r w:rsidRPr="00C10144">
        <w:t>If cornerstone investors exist, the AI should state that cornerstone subscriptions form part of the International Placing and disclose cornerstone share quantities and lock-up restrictions (commonly six months), using prospectus-style language.</w:t>
      </w:r>
    </w:p>
    <w:p w14:paraId="56A2455B" w14:textId="77777777" w:rsidR="00C10144" w:rsidRPr="00C10144" w:rsidRDefault="00C10144" w:rsidP="00C10144">
      <w:pPr>
        <w:pStyle w:val="a0"/>
      </w:pPr>
      <w:r w:rsidRPr="00C10144">
        <w:rPr>
          <w:b/>
          <w:bCs/>
        </w:rPr>
        <w:t>Pricing mechanism and price determination</w:t>
      </w:r>
    </w:p>
    <w:p w14:paraId="2A4BA37B" w14:textId="77777777" w:rsidR="00C10144" w:rsidRPr="00C10144" w:rsidRDefault="00C10144" w:rsidP="00C10144">
      <w:pPr>
        <w:pStyle w:val="a0"/>
        <w:numPr>
          <w:ilvl w:val="0"/>
          <w:numId w:val="235"/>
        </w:numPr>
      </w:pPr>
      <w:r w:rsidRPr="00C10144">
        <w:t>The AI should explain that the final offer price is determined within the indicated offer price range, typically based on bookbuilding results and agreement between the Company and Joint Global Coordinators.</w:t>
      </w:r>
    </w:p>
    <w:p w14:paraId="32CB5CFB" w14:textId="77777777" w:rsidR="00C10144" w:rsidRPr="00C10144" w:rsidRDefault="00C10144" w:rsidP="00C10144">
      <w:pPr>
        <w:pStyle w:val="a0"/>
        <w:numPr>
          <w:ilvl w:val="0"/>
          <w:numId w:val="235"/>
        </w:numPr>
      </w:pPr>
      <w:r w:rsidRPr="00C10144">
        <w:t xml:space="preserve">The output should emphasize that all investors in both tranches pay the same final offer price and should include timing references for the pricing </w:t>
      </w:r>
      <w:r w:rsidRPr="00C10144">
        <w:lastRenderedPageBreak/>
        <w:t>date and announcement of results where the prospectus framework requires it.</w:t>
      </w:r>
    </w:p>
    <w:p w14:paraId="3EBAE4F9" w14:textId="77777777" w:rsidR="00C10144" w:rsidRPr="00C10144" w:rsidRDefault="00C10144" w:rsidP="00C10144">
      <w:pPr>
        <w:pStyle w:val="a0"/>
      </w:pPr>
      <w:r w:rsidRPr="00C10144">
        <w:rPr>
          <w:b/>
          <w:bCs/>
        </w:rPr>
        <w:t>Conditions for completion and refund logic</w:t>
      </w:r>
    </w:p>
    <w:p w14:paraId="22EEEB7E" w14:textId="77777777" w:rsidR="00C10144" w:rsidRPr="00C10144" w:rsidRDefault="00C10144" w:rsidP="00C10144">
      <w:pPr>
        <w:pStyle w:val="a0"/>
        <w:numPr>
          <w:ilvl w:val="0"/>
          <w:numId w:val="236"/>
        </w:numPr>
      </w:pPr>
      <w:r w:rsidRPr="00C10144">
        <w:t>The AI should list key offering conditions, including sufficient subscription under the Hong Kong tranche, non-termination of underwriting, and listing approval.</w:t>
      </w:r>
    </w:p>
    <w:p w14:paraId="42CCFBBE" w14:textId="77777777" w:rsidR="00C10144" w:rsidRPr="00C10144" w:rsidRDefault="00C10144" w:rsidP="00C10144">
      <w:pPr>
        <w:pStyle w:val="a0"/>
        <w:numPr>
          <w:ilvl w:val="0"/>
          <w:numId w:val="236"/>
        </w:numPr>
      </w:pPr>
      <w:r w:rsidRPr="00C10144">
        <w:t>The AI should state that if conditions are not satisfied, the Global Offering will not proceed and application monies will be refunded, using standard formal phrasing.</w:t>
      </w:r>
    </w:p>
    <w:p w14:paraId="4CE27FFD" w14:textId="77777777" w:rsidR="00C10144" w:rsidRPr="00C10144" w:rsidRDefault="00C10144" w:rsidP="00C10144">
      <w:pPr>
        <w:pStyle w:val="a0"/>
      </w:pPr>
      <w:r w:rsidRPr="00C10144">
        <w:rPr>
          <w:b/>
          <w:bCs/>
        </w:rPr>
        <w:t>Impact of over-allotment option on structure</w:t>
      </w:r>
    </w:p>
    <w:p w14:paraId="2854F031" w14:textId="77777777" w:rsidR="00C10144" w:rsidRPr="00C10144" w:rsidRDefault="00C10144" w:rsidP="00C10144">
      <w:pPr>
        <w:pStyle w:val="a0"/>
        <w:numPr>
          <w:ilvl w:val="0"/>
          <w:numId w:val="237"/>
        </w:numPr>
      </w:pPr>
      <w:r w:rsidRPr="00C10144">
        <w:t>The AI should explain how exercise of the over-allotment option may increase the total number of shares in issue and may affect final allocation and share capital.</w:t>
      </w:r>
    </w:p>
    <w:p w14:paraId="5D8F5520" w14:textId="77777777" w:rsidR="00C10144" w:rsidRPr="00C10144" w:rsidRDefault="00C10144" w:rsidP="00C10144">
      <w:pPr>
        <w:pStyle w:val="a0"/>
        <w:numPr>
          <w:ilvl w:val="0"/>
          <w:numId w:val="237"/>
        </w:numPr>
      </w:pPr>
      <w:r w:rsidRPr="00C10144">
        <w:t>The disclosure should state that the Company will announce whether the option is exercised and that post-offering share capital figures may change accordingly.</w:t>
      </w:r>
    </w:p>
    <w:p w14:paraId="5EC197D9" w14:textId="77777777" w:rsidR="00C10144" w:rsidRPr="00C10144" w:rsidRDefault="00C10144" w:rsidP="00C10144">
      <w:pPr>
        <w:pStyle w:val="a0"/>
      </w:pPr>
      <w:r w:rsidRPr="00C10144">
        <w:rPr>
          <w:b/>
          <w:bCs/>
        </w:rPr>
        <w:t>Allocation basis and publication of results</w:t>
      </w:r>
    </w:p>
    <w:p w14:paraId="43EB36E6" w14:textId="77777777" w:rsidR="00C10144" w:rsidRPr="00C10144" w:rsidRDefault="00C10144" w:rsidP="00C10144">
      <w:pPr>
        <w:pStyle w:val="a0"/>
        <w:numPr>
          <w:ilvl w:val="0"/>
          <w:numId w:val="238"/>
        </w:numPr>
      </w:pPr>
      <w:r w:rsidRPr="00C10144">
        <w:t>The AI should explain that Hong Kong Public Offering allocations are typically determined by ballot/draw if oversubscribed, and results are published through specified channels, while International Placing allocations are determined by underwriters based on bookbuilding allocation principles.</w:t>
      </w:r>
    </w:p>
    <w:p w14:paraId="31A5F1F1" w14:textId="77777777" w:rsidR="00C10144" w:rsidRPr="00C10144" w:rsidRDefault="00C10144" w:rsidP="00C10144">
      <w:pPr>
        <w:pStyle w:val="a0"/>
        <w:numPr>
          <w:ilvl w:val="0"/>
          <w:numId w:val="238"/>
        </w:numPr>
      </w:pPr>
      <w:r w:rsidRPr="00C10144">
        <w:t>The AI should emphasize fairness and compliance with public float requirements, referencing standard minimum public float expectations where the prospectus framework includes such statements.</w:t>
      </w:r>
    </w:p>
    <w:p w14:paraId="463F82F7" w14:textId="77777777" w:rsidR="00C10144" w:rsidRPr="00C10144" w:rsidRDefault="00C10144" w:rsidP="00C10144">
      <w:pPr>
        <w:pStyle w:val="a0"/>
      </w:pPr>
      <w:r w:rsidRPr="00C10144">
        <w:rPr>
          <w:b/>
          <w:bCs/>
        </w:rPr>
        <w:t>Listing, trading, and settlement arrangements</w:t>
      </w:r>
    </w:p>
    <w:p w14:paraId="0D902476" w14:textId="77777777" w:rsidR="00C10144" w:rsidRPr="00C10144" w:rsidRDefault="00C10144" w:rsidP="00C10144">
      <w:pPr>
        <w:pStyle w:val="a0"/>
        <w:numPr>
          <w:ilvl w:val="0"/>
          <w:numId w:val="239"/>
        </w:numPr>
      </w:pPr>
      <w:r w:rsidRPr="00C10144">
        <w:t>The AI should provide listing and trading details such as expected listing date, stock code, board lot size, and settlement method.</w:t>
      </w:r>
    </w:p>
    <w:p w14:paraId="6DD37777" w14:textId="77777777" w:rsidR="00C10144" w:rsidRPr="00C10144" w:rsidRDefault="00C10144" w:rsidP="00C10144">
      <w:pPr>
        <w:pStyle w:val="a0"/>
        <w:numPr>
          <w:ilvl w:val="0"/>
          <w:numId w:val="239"/>
        </w:numPr>
      </w:pPr>
      <w:r w:rsidRPr="00C10144">
        <w:t>The output should mention that shares will be admitted into CCASS and will settle through CCASS arrangements, and should clarify whether physical share certificates are issued or whether settlement is primarily electronic, consistent with the offering structure.</w:t>
      </w:r>
    </w:p>
    <w:p w14:paraId="649AFDB3" w14:textId="77777777" w:rsidR="00C10144" w:rsidRPr="00C10144" w:rsidRDefault="00C10144" w:rsidP="00C10144">
      <w:pPr>
        <w:pStyle w:val="a0"/>
      </w:pPr>
      <w:r w:rsidRPr="00C10144">
        <w:rPr>
          <w:b/>
          <w:bCs/>
        </w:rPr>
        <w:t>Investor value</w:t>
      </w:r>
      <w:r w:rsidRPr="00C10144">
        <w:br/>
        <w:t xml:space="preserve">By explaining tranche structure, pricing logic, </w:t>
      </w:r>
      <w:proofErr w:type="spellStart"/>
      <w:r w:rsidRPr="00C10144">
        <w:t>clawback</w:t>
      </w:r>
      <w:proofErr w:type="spellEnd"/>
      <w:r w:rsidRPr="00C10144">
        <w:t xml:space="preserve"> mechanics, allocation process, and settlement arrangements in an accessible but precise way, this section enables investors to understand how the offering works and what determines their chance of allocation and trading readiness post-listing.</w:t>
      </w:r>
    </w:p>
    <w:p w14:paraId="5C2E48EA" w14:textId="77777777" w:rsidR="0074610B" w:rsidRPr="0074610B" w:rsidRDefault="0074610B" w:rsidP="0074610B">
      <w:pPr>
        <w:pStyle w:val="a0"/>
      </w:pPr>
      <w:r w:rsidRPr="0074610B">
        <w:rPr>
          <w:b/>
          <w:bCs/>
        </w:rPr>
        <w:lastRenderedPageBreak/>
        <w:t xml:space="preserve">Sponsor Counsel Enhancements (tie to live </w:t>
      </w:r>
      <w:proofErr w:type="spellStart"/>
      <w:r w:rsidRPr="0074610B">
        <w:rPr>
          <w:b/>
          <w:bCs/>
        </w:rPr>
        <w:t>MiniMax</w:t>
      </w:r>
      <w:proofErr w:type="spellEnd"/>
      <w:r w:rsidRPr="0074610B">
        <w:rPr>
          <w:b/>
          <w:bCs/>
        </w:rPr>
        <w:t xml:space="preserve"> cross</w:t>
      </w:r>
      <w:r w:rsidRPr="0074610B">
        <w:rPr>
          <w:b/>
          <w:bCs/>
        </w:rPr>
        <w:noBreakHyphen/>
        <w:t>references):</w:t>
      </w:r>
    </w:p>
    <w:p w14:paraId="76B02F2B" w14:textId="77777777" w:rsidR="0074610B" w:rsidRPr="0074610B" w:rsidRDefault="0074610B" w:rsidP="0074610B">
      <w:pPr>
        <w:pStyle w:val="a0"/>
        <w:numPr>
          <w:ilvl w:val="0"/>
          <w:numId w:val="38"/>
        </w:numPr>
      </w:pPr>
      <w:proofErr w:type="spellStart"/>
      <w:r w:rsidRPr="0074610B">
        <w:t>MiniMax</w:t>
      </w:r>
      <w:proofErr w:type="spellEnd"/>
      <w:r w:rsidRPr="0074610B">
        <w:t xml:space="preserve"> timetable footnote states the timetable is “summary only” and directs investors to “Structure of the Global Offering” and “How to Apply” (PDF p.8/716). Replicate that cross</w:t>
      </w:r>
      <w:r w:rsidRPr="0074610B">
        <w:noBreakHyphen/>
        <w:t>reference discipline, and ensure the structure chapter itself has reciprocal cross</w:t>
      </w:r>
      <w:r w:rsidRPr="0074610B">
        <w:noBreakHyphen/>
        <w:t>references back to application mechanics and results publication.</w:t>
      </w:r>
    </w:p>
    <w:p w14:paraId="600E6F9E" w14:textId="77777777" w:rsidR="0074610B" w:rsidRPr="0074610B" w:rsidRDefault="0074610B" w:rsidP="0074610B">
      <w:pPr>
        <w:pStyle w:val="a0"/>
        <w:numPr>
          <w:ilvl w:val="0"/>
          <w:numId w:val="38"/>
        </w:numPr>
      </w:pPr>
      <w:r w:rsidRPr="0074610B">
        <w:t>Add [[</w:t>
      </w:r>
      <w:proofErr w:type="spellStart"/>
      <w:r w:rsidRPr="0074610B">
        <w:t>AI:VERIFY|evidence</w:t>
      </w:r>
      <w:proofErr w:type="spellEnd"/>
      <w:r w:rsidRPr="0074610B">
        <w:t xml:space="preserve">=allocation policy; </w:t>
      </w:r>
      <w:proofErr w:type="spellStart"/>
      <w:r w:rsidRPr="0074610B">
        <w:t>clawback</w:t>
      </w:r>
      <w:proofErr w:type="spellEnd"/>
      <w:r w:rsidRPr="0074610B">
        <w:t xml:space="preserve"> trigger thresholds; FINI workflow assumptions]]. FINI and </w:t>
      </w:r>
      <w:proofErr w:type="spellStart"/>
      <w:r w:rsidRPr="0074610B">
        <w:t>digitisation</w:t>
      </w:r>
      <w:proofErr w:type="spellEnd"/>
      <w:r w:rsidRPr="0074610B">
        <w:t xml:space="preserve"> reduce operational tolerance for ambiguous timelines. </w:t>
      </w:r>
    </w:p>
    <w:p w14:paraId="24DCE8ED" w14:textId="77777777" w:rsidR="0074610B" w:rsidRPr="0074610B" w:rsidRDefault="0074610B" w:rsidP="0074610B">
      <w:pPr>
        <w:pStyle w:val="a0"/>
      </w:pPr>
      <w:r w:rsidRPr="0074610B">
        <w:rPr>
          <w:b/>
          <w:bCs/>
        </w:rPr>
        <w:t>Enhanced sample paragraph:</w:t>
      </w:r>
      <w:r w:rsidRPr="0074610B">
        <w:br/>
        <w:t xml:space="preserve">“This section explains the overall structure of the Global Offering, including the total number of Offer Shares, the allocation between the Hong Kong Public Offering and the International Offering, and the mechanisms under which such allocation may be adjusted (including any </w:t>
      </w:r>
      <w:proofErr w:type="spellStart"/>
      <w:r w:rsidRPr="0074610B">
        <w:t>clawback</w:t>
      </w:r>
      <w:proofErr w:type="spellEnd"/>
      <w:r w:rsidRPr="0074610B">
        <w:t>/reallocation arrangements). It describes the process for determining the final Offer Price through bookbuilding and agreement with the relevant coordinators, the key conditions for completion of the Global Offering, and the refund arrangements if the Global Offering does not become unconditional or is terminated. The above expected timetable is a summary only; investors should read this section together with ‘How to Apply for Hong Kong Offer Shares’ for the detailed application procedures and publication of results. [[</w:t>
      </w:r>
      <w:proofErr w:type="spellStart"/>
      <w:r w:rsidRPr="0074610B">
        <w:t>AI:XREF|to</w:t>
      </w:r>
      <w:proofErr w:type="spellEnd"/>
      <w:r w:rsidRPr="0074610B">
        <w:t>=How to Apply for Hong Kong Offer Shares]] [[</w:t>
      </w:r>
      <w:proofErr w:type="spellStart"/>
      <w:r w:rsidRPr="0074610B">
        <w:t>AI:VERIFY|evidence</w:t>
      </w:r>
      <w:proofErr w:type="spellEnd"/>
      <w:r w:rsidRPr="0074610B">
        <w:t>=final offering structure and allocation policies]]”</w:t>
      </w:r>
    </w:p>
    <w:p w14:paraId="49E08E7C" w14:textId="77777777" w:rsidR="0074610B" w:rsidRPr="0074610B" w:rsidRDefault="0074610B" w:rsidP="0074610B">
      <w:pPr>
        <w:pStyle w:val="a0"/>
        <w:rPr>
          <w:b/>
          <w:bCs/>
          <w:i/>
          <w:iCs/>
          <w:sz w:val="28"/>
          <w:szCs w:val="28"/>
        </w:rPr>
      </w:pPr>
      <w:r w:rsidRPr="0074610B">
        <w:rPr>
          <w:b/>
          <w:bCs/>
          <w:i/>
          <w:iCs/>
          <w:sz w:val="28"/>
          <w:szCs w:val="28"/>
        </w:rPr>
        <w:t>How to Apply for Hong Kong Offer Shares</w:t>
      </w:r>
    </w:p>
    <w:p w14:paraId="0E9CCB63" w14:textId="77777777" w:rsidR="00C10144" w:rsidRPr="00C10144" w:rsidRDefault="00C10144" w:rsidP="00C10144">
      <w:pPr>
        <w:pStyle w:val="a0"/>
      </w:pPr>
      <w:r w:rsidRPr="00C10144">
        <w:rPr>
          <w:b/>
          <w:bCs/>
        </w:rPr>
        <w:t>Purpose</w:t>
      </w:r>
      <w:r w:rsidRPr="00C10144">
        <w:br/>
        <w:t>This section provides procedural guidance to investors who wish to apply for Hong Kong Offer Shares in the Hong Kong Public Offering, including eligibility, application channels, payment requirements, timelines, and post-application arrangements.</w:t>
      </w:r>
    </w:p>
    <w:p w14:paraId="30334B84" w14:textId="77777777" w:rsidR="00C10144" w:rsidRPr="00C10144" w:rsidRDefault="00C10144" w:rsidP="00C10144">
      <w:pPr>
        <w:pStyle w:val="a0"/>
      </w:pPr>
      <w:r w:rsidRPr="00C10144">
        <w:rPr>
          <w:b/>
          <w:bCs/>
        </w:rPr>
        <w:t>Format</w:t>
      </w:r>
      <w:r w:rsidRPr="00C10144">
        <w:br/>
        <w:t>The AI should draft this section as step-by-step procedural instructions with clear sub-headings and numbered steps where appropriate. The language must be direct, operational, and compliance-consistent, ensuring investors can follow the process correctly without ambiguity.</w:t>
      </w:r>
    </w:p>
    <w:p w14:paraId="3AE4C36C" w14:textId="77777777" w:rsidR="00C10144" w:rsidRPr="00C10144" w:rsidRDefault="00C10144" w:rsidP="00C10144">
      <w:pPr>
        <w:pStyle w:val="a0"/>
      </w:pPr>
      <w:r w:rsidRPr="00C10144">
        <w:rPr>
          <w:b/>
          <w:bCs/>
        </w:rPr>
        <w:t>Eligibility and basic rules</w:t>
      </w:r>
    </w:p>
    <w:p w14:paraId="7529D01C" w14:textId="77777777" w:rsidR="00C10144" w:rsidRPr="00C10144" w:rsidRDefault="00C10144" w:rsidP="00C10144">
      <w:pPr>
        <w:pStyle w:val="a0"/>
        <w:numPr>
          <w:ilvl w:val="0"/>
          <w:numId w:val="240"/>
        </w:numPr>
      </w:pPr>
      <w:r w:rsidRPr="00C10144">
        <w:t>The AI should state who is eligible to apply and the basic application restrictions, including the “one application per applicant” rule and prohibitions on multiple or duplicate applications.</w:t>
      </w:r>
    </w:p>
    <w:p w14:paraId="6021C61E" w14:textId="77777777" w:rsidR="00C10144" w:rsidRPr="00C10144" w:rsidRDefault="00C10144" w:rsidP="00C10144">
      <w:pPr>
        <w:pStyle w:val="a0"/>
        <w:numPr>
          <w:ilvl w:val="0"/>
          <w:numId w:val="240"/>
        </w:numPr>
      </w:pPr>
      <w:r w:rsidRPr="00C10144">
        <w:lastRenderedPageBreak/>
        <w:t>The output should clarify that invalid, duplicate, or ineligible applications may be rejected, and should include the common rule that an applicant and joint applicants together may submit only one application.</w:t>
      </w:r>
    </w:p>
    <w:p w14:paraId="0ABA6829" w14:textId="77777777" w:rsidR="00C10144" w:rsidRPr="00C10144" w:rsidRDefault="00C10144" w:rsidP="00C10144">
      <w:pPr>
        <w:pStyle w:val="a0"/>
        <w:numPr>
          <w:ilvl w:val="0"/>
          <w:numId w:val="240"/>
        </w:numPr>
      </w:pPr>
      <w:r w:rsidRPr="00C10144">
        <w:t>Where age or identification requirements are part of the standard offering documentation, the AI should state them clearly and neutrally as eligibility conditions.</w:t>
      </w:r>
    </w:p>
    <w:p w14:paraId="2C3A98A7" w14:textId="77777777" w:rsidR="00C10144" w:rsidRPr="00C10144" w:rsidRDefault="00C10144" w:rsidP="00C10144">
      <w:pPr>
        <w:pStyle w:val="a0"/>
      </w:pPr>
      <w:r w:rsidRPr="00C10144">
        <w:rPr>
          <w:b/>
          <w:bCs/>
        </w:rPr>
        <w:t>Application channels overview</w:t>
      </w:r>
    </w:p>
    <w:p w14:paraId="5EFF1B81" w14:textId="77777777" w:rsidR="00C10144" w:rsidRPr="00C10144" w:rsidRDefault="00C10144" w:rsidP="00C10144">
      <w:pPr>
        <w:pStyle w:val="a0"/>
        <w:numPr>
          <w:ilvl w:val="0"/>
          <w:numId w:val="241"/>
        </w:numPr>
      </w:pPr>
      <w:r w:rsidRPr="00C10144">
        <w:t>The AI should describe the permitted application methods and make clear that applicants should choose only one channel.</w:t>
      </w:r>
    </w:p>
    <w:p w14:paraId="7BCEFFB9" w14:textId="77777777" w:rsidR="00C10144" w:rsidRPr="00C10144" w:rsidRDefault="00C10144" w:rsidP="00C10144">
      <w:pPr>
        <w:pStyle w:val="a0"/>
        <w:numPr>
          <w:ilvl w:val="0"/>
          <w:numId w:val="241"/>
        </w:numPr>
      </w:pPr>
      <w:r w:rsidRPr="00C10144">
        <w:t xml:space="preserve">Typical channels include White Form </w:t>
      </w:r>
      <w:proofErr w:type="spellStart"/>
      <w:r w:rsidRPr="00C10144">
        <w:t>eIPO</w:t>
      </w:r>
      <w:proofErr w:type="spellEnd"/>
      <w:r w:rsidRPr="00C10144">
        <w:t xml:space="preserve"> online application, CCASS (Yellow Form) application through CCASS participants or investor participant accounts, and paper application forms if applicable.</w:t>
      </w:r>
    </w:p>
    <w:p w14:paraId="4F355092" w14:textId="77777777" w:rsidR="00C10144" w:rsidRPr="00C10144" w:rsidRDefault="00C10144" w:rsidP="00C10144">
      <w:pPr>
        <w:pStyle w:val="a0"/>
        <w:numPr>
          <w:ilvl w:val="0"/>
          <w:numId w:val="241"/>
        </w:numPr>
      </w:pPr>
      <w:r w:rsidRPr="00C10144">
        <w:t>The output should clearly separate each channel and explain that using more than one channel may constitute multiple applications and may lead to rejection.</w:t>
      </w:r>
    </w:p>
    <w:p w14:paraId="4B60CE53" w14:textId="77777777" w:rsidR="00C10144" w:rsidRPr="00C10144" w:rsidRDefault="00C10144" w:rsidP="00C10144">
      <w:pPr>
        <w:pStyle w:val="a0"/>
      </w:pPr>
      <w:r w:rsidRPr="00C10144">
        <w:rPr>
          <w:b/>
          <w:bCs/>
        </w:rPr>
        <w:t xml:space="preserve">White Form </w:t>
      </w:r>
      <w:proofErr w:type="spellStart"/>
      <w:r w:rsidRPr="00C10144">
        <w:rPr>
          <w:b/>
          <w:bCs/>
        </w:rPr>
        <w:t>eIPO</w:t>
      </w:r>
      <w:proofErr w:type="spellEnd"/>
      <w:r w:rsidRPr="00C10144">
        <w:rPr>
          <w:b/>
          <w:bCs/>
        </w:rPr>
        <w:t xml:space="preserve"> application steps</w:t>
      </w:r>
    </w:p>
    <w:p w14:paraId="5BD82576" w14:textId="77777777" w:rsidR="00C10144" w:rsidRPr="00C10144" w:rsidRDefault="00C10144" w:rsidP="00C10144">
      <w:pPr>
        <w:pStyle w:val="a0"/>
        <w:numPr>
          <w:ilvl w:val="0"/>
          <w:numId w:val="242"/>
        </w:numPr>
      </w:pPr>
      <w:r w:rsidRPr="00C10144">
        <w:t xml:space="preserve">The AI should provide step-by-step guidance for White Form </w:t>
      </w:r>
      <w:proofErr w:type="spellStart"/>
      <w:r w:rsidRPr="00C10144">
        <w:t>eIPO</w:t>
      </w:r>
      <w:proofErr w:type="spellEnd"/>
      <w:r w:rsidRPr="00C10144">
        <w:t xml:space="preserve"> applications, including accessing the designated platform, entering personal details, selecting board lot multiples, arranging payment, and obtaining an application reference number.</w:t>
      </w:r>
    </w:p>
    <w:p w14:paraId="0E21FB82" w14:textId="77777777" w:rsidR="00C10144" w:rsidRPr="00C10144" w:rsidRDefault="00C10144" w:rsidP="00C10144">
      <w:pPr>
        <w:pStyle w:val="a0"/>
        <w:numPr>
          <w:ilvl w:val="0"/>
          <w:numId w:val="242"/>
        </w:numPr>
      </w:pPr>
      <w:r w:rsidRPr="00C10144">
        <w:t>The AI should include the opening and closing times for online application windows where such time precision is required by the prospectus framework.</w:t>
      </w:r>
    </w:p>
    <w:p w14:paraId="48BA6352" w14:textId="77777777" w:rsidR="00C10144" w:rsidRPr="00C10144" w:rsidRDefault="00C10144" w:rsidP="00C10144">
      <w:pPr>
        <w:pStyle w:val="a0"/>
      </w:pPr>
      <w:r w:rsidRPr="00C10144">
        <w:rPr>
          <w:b/>
          <w:bCs/>
        </w:rPr>
        <w:t>CCASS (Yellow Form) application procedures</w:t>
      </w:r>
    </w:p>
    <w:p w14:paraId="31812A5D" w14:textId="77777777" w:rsidR="00C10144" w:rsidRPr="00C10144" w:rsidRDefault="00C10144" w:rsidP="00C10144">
      <w:pPr>
        <w:pStyle w:val="a0"/>
        <w:numPr>
          <w:ilvl w:val="0"/>
          <w:numId w:val="243"/>
        </w:numPr>
      </w:pPr>
      <w:r w:rsidRPr="00C10144">
        <w:t>The AI should explain CCASS application procedures in two common scenarios: applying through a broker or CCASS participant, and applying directly as a CCASS Investor Participant.</w:t>
      </w:r>
    </w:p>
    <w:p w14:paraId="43430900" w14:textId="77777777" w:rsidR="00C10144" w:rsidRPr="00C10144" w:rsidRDefault="00C10144" w:rsidP="00C10144">
      <w:pPr>
        <w:pStyle w:val="a0"/>
        <w:numPr>
          <w:ilvl w:val="0"/>
          <w:numId w:val="243"/>
        </w:numPr>
      </w:pPr>
      <w:r w:rsidRPr="00C10144">
        <w:t>The output should explain that shares allotted through CCASS applications will be credited to the applicant’s CCASS account (or held in CCASS nominee form) and that physical certificates may not be issued for such applications.</w:t>
      </w:r>
    </w:p>
    <w:p w14:paraId="7DBD2F52" w14:textId="77777777" w:rsidR="00C10144" w:rsidRPr="00C10144" w:rsidRDefault="00C10144" w:rsidP="00C10144">
      <w:pPr>
        <w:pStyle w:val="a0"/>
      </w:pPr>
      <w:r w:rsidRPr="00C10144">
        <w:rPr>
          <w:b/>
          <w:bCs/>
        </w:rPr>
        <w:t>Payment and fee components</w:t>
      </w:r>
    </w:p>
    <w:p w14:paraId="5DCD5353" w14:textId="77777777" w:rsidR="00C10144" w:rsidRPr="00C10144" w:rsidRDefault="00C10144" w:rsidP="00C10144">
      <w:pPr>
        <w:pStyle w:val="a0"/>
        <w:numPr>
          <w:ilvl w:val="0"/>
          <w:numId w:val="244"/>
        </w:numPr>
      </w:pPr>
      <w:r w:rsidRPr="00C10144">
        <w:t>The AI should state that full payment is required at the time of application.</w:t>
      </w:r>
    </w:p>
    <w:p w14:paraId="29027EC8" w14:textId="77777777" w:rsidR="00C10144" w:rsidRPr="00C10144" w:rsidRDefault="00C10144" w:rsidP="00C10144">
      <w:pPr>
        <w:pStyle w:val="a0"/>
        <w:numPr>
          <w:ilvl w:val="0"/>
          <w:numId w:val="244"/>
        </w:numPr>
      </w:pPr>
      <w:r w:rsidRPr="00C10144">
        <w:t xml:space="preserve">The output should describe the standard payment composition: application monies based on the maximum offer price (or as specified), plus brokerage </w:t>
      </w:r>
      <w:r w:rsidRPr="00C10144">
        <w:lastRenderedPageBreak/>
        <w:t>commission and relevant transaction levies and trading fees, with the common “more paid will be refunded” logic.</w:t>
      </w:r>
    </w:p>
    <w:p w14:paraId="5FC67A26" w14:textId="77777777" w:rsidR="00C10144" w:rsidRPr="00C10144" w:rsidRDefault="00C10144" w:rsidP="00C10144">
      <w:pPr>
        <w:pStyle w:val="a0"/>
        <w:numPr>
          <w:ilvl w:val="0"/>
          <w:numId w:val="244"/>
        </w:numPr>
      </w:pPr>
      <w:r w:rsidRPr="00C10144">
        <w:t>If specific rates (e.g., brokerage commission percentage and transaction levy rates) are required, the AI should present them exactly as provided in input data and in the standard disclosure style, ensuring numerical accuracy and avoiding approximations.</w:t>
      </w:r>
    </w:p>
    <w:p w14:paraId="5C48E62F" w14:textId="77777777" w:rsidR="00C10144" w:rsidRPr="00C10144" w:rsidRDefault="00C10144" w:rsidP="00C10144">
      <w:pPr>
        <w:pStyle w:val="a0"/>
      </w:pPr>
      <w:r w:rsidRPr="00C10144">
        <w:rPr>
          <w:b/>
          <w:bCs/>
        </w:rPr>
        <w:t>Application timetable and key dates</w:t>
      </w:r>
    </w:p>
    <w:p w14:paraId="73B385DE" w14:textId="77777777" w:rsidR="00C10144" w:rsidRPr="00C10144" w:rsidRDefault="00C10144" w:rsidP="00C10144">
      <w:pPr>
        <w:pStyle w:val="a0"/>
        <w:numPr>
          <w:ilvl w:val="0"/>
          <w:numId w:val="245"/>
        </w:numPr>
      </w:pPr>
      <w:r w:rsidRPr="00C10144">
        <w:t>The AI should present key timetable items for the Hong Kong Public Offering, including application opening time, application closing time, expected results announcement date, refund date, and share dispatch/crediting date, aligning with the offering timetable section.</w:t>
      </w:r>
    </w:p>
    <w:p w14:paraId="49238BF6" w14:textId="77777777" w:rsidR="00C10144" w:rsidRPr="00C10144" w:rsidRDefault="00C10144" w:rsidP="00C10144">
      <w:pPr>
        <w:pStyle w:val="a0"/>
        <w:numPr>
          <w:ilvl w:val="0"/>
          <w:numId w:val="245"/>
        </w:numPr>
      </w:pPr>
      <w:r w:rsidRPr="00C10144">
        <w:t>Time precision should match prospectus requirements, using exact date and time expressions rather than vague references.</w:t>
      </w:r>
    </w:p>
    <w:p w14:paraId="73BD2F03" w14:textId="77777777" w:rsidR="00C10144" w:rsidRPr="00C10144" w:rsidRDefault="00C10144" w:rsidP="00C10144">
      <w:pPr>
        <w:pStyle w:val="a0"/>
      </w:pPr>
      <w:r w:rsidRPr="00C10144">
        <w:rPr>
          <w:b/>
          <w:bCs/>
        </w:rPr>
        <w:t>Application form completion guidance</w:t>
      </w:r>
    </w:p>
    <w:p w14:paraId="3BC16D57" w14:textId="77777777" w:rsidR="00C10144" w:rsidRPr="00C10144" w:rsidRDefault="00C10144" w:rsidP="00C10144">
      <w:pPr>
        <w:pStyle w:val="a0"/>
        <w:numPr>
          <w:ilvl w:val="0"/>
          <w:numId w:val="246"/>
        </w:numPr>
      </w:pPr>
      <w:r w:rsidRPr="00C10144">
        <w:t>If paper forms are used, the AI should include brief guidance on form completion (e.g., writing names clearly, joint applicant limits, submission location and deadline).</w:t>
      </w:r>
    </w:p>
    <w:p w14:paraId="068C8823" w14:textId="77777777" w:rsidR="00C10144" w:rsidRPr="00C10144" w:rsidRDefault="00C10144" w:rsidP="00C10144">
      <w:pPr>
        <w:pStyle w:val="a0"/>
        <w:numPr>
          <w:ilvl w:val="0"/>
          <w:numId w:val="246"/>
        </w:numPr>
      </w:pPr>
      <w:r w:rsidRPr="00C10144">
        <w:t>If paper forms are not used, the AI should still ensure investors understand the accuracy requirements of application details, as errors may invalidate an application.</w:t>
      </w:r>
    </w:p>
    <w:p w14:paraId="584F5EE9" w14:textId="77777777" w:rsidR="00C10144" w:rsidRPr="00C10144" w:rsidRDefault="00C10144" w:rsidP="00C10144">
      <w:pPr>
        <w:pStyle w:val="a0"/>
      </w:pPr>
      <w:r w:rsidRPr="00C10144">
        <w:rPr>
          <w:b/>
          <w:bCs/>
        </w:rPr>
        <w:t>Declarations and undertakings by applicants</w:t>
      </w:r>
    </w:p>
    <w:p w14:paraId="77F8F352" w14:textId="77777777" w:rsidR="00C10144" w:rsidRPr="00C10144" w:rsidRDefault="00C10144" w:rsidP="00C10144">
      <w:pPr>
        <w:pStyle w:val="a0"/>
        <w:numPr>
          <w:ilvl w:val="0"/>
          <w:numId w:val="247"/>
        </w:numPr>
      </w:pPr>
      <w:r w:rsidRPr="00C10144">
        <w:t>The AI should list the key declarations typically made by applicants, such as confirming they have read the prospectus, provided accurate information, made only one application, and agree to accept the final offer price and allocation outcome.</w:t>
      </w:r>
    </w:p>
    <w:p w14:paraId="249B9976" w14:textId="77777777" w:rsidR="00C10144" w:rsidRPr="00C10144" w:rsidRDefault="00C10144" w:rsidP="00C10144">
      <w:pPr>
        <w:pStyle w:val="a0"/>
        <w:numPr>
          <w:ilvl w:val="0"/>
          <w:numId w:val="247"/>
        </w:numPr>
      </w:pPr>
      <w:r w:rsidRPr="00C10144">
        <w:t>This part should be written in a formal, bullet-point style that resembles standard application declarations, keeping the language close to typical prospectus legal phrasing.</w:t>
      </w:r>
    </w:p>
    <w:p w14:paraId="005B0356" w14:textId="77777777" w:rsidR="00C10144" w:rsidRPr="00C10144" w:rsidRDefault="00C10144" w:rsidP="00C10144">
      <w:pPr>
        <w:pStyle w:val="a0"/>
      </w:pPr>
      <w:r w:rsidRPr="00C10144">
        <w:rPr>
          <w:b/>
          <w:bCs/>
        </w:rPr>
        <w:t>Personal data statement</w:t>
      </w:r>
    </w:p>
    <w:p w14:paraId="3E9BA7F3" w14:textId="77777777" w:rsidR="00C10144" w:rsidRPr="00C10144" w:rsidRDefault="00C10144" w:rsidP="00C10144">
      <w:pPr>
        <w:pStyle w:val="a0"/>
        <w:numPr>
          <w:ilvl w:val="0"/>
          <w:numId w:val="248"/>
        </w:numPr>
      </w:pPr>
      <w:r w:rsidRPr="00C10144">
        <w:t>The AI should include a personal information collection statement explaining how applicant data will be used for identity verification, allocation, refunds, and related offering administration, and should reference Hong Kong privacy law principles, including applicants’ rights to access and correct personal data.</w:t>
      </w:r>
    </w:p>
    <w:p w14:paraId="7486E779" w14:textId="77777777" w:rsidR="00C10144" w:rsidRPr="00C10144" w:rsidRDefault="00C10144" w:rsidP="00C10144">
      <w:pPr>
        <w:pStyle w:val="a0"/>
        <w:numPr>
          <w:ilvl w:val="0"/>
          <w:numId w:val="248"/>
        </w:numPr>
      </w:pPr>
      <w:r w:rsidRPr="00C10144">
        <w:t>The tone must be formal and compliance-focused, reflecting statutory notice style.</w:t>
      </w:r>
    </w:p>
    <w:p w14:paraId="766AFF25" w14:textId="77777777" w:rsidR="00C10144" w:rsidRPr="00C10144" w:rsidRDefault="00C10144" w:rsidP="00C10144">
      <w:pPr>
        <w:pStyle w:val="a0"/>
      </w:pPr>
      <w:r w:rsidRPr="00C10144">
        <w:rPr>
          <w:b/>
          <w:bCs/>
        </w:rPr>
        <w:lastRenderedPageBreak/>
        <w:t>Special arrangements and contingencies</w:t>
      </w:r>
    </w:p>
    <w:p w14:paraId="01CB27C1" w14:textId="77777777" w:rsidR="00C10144" w:rsidRPr="00C10144" w:rsidRDefault="00C10144" w:rsidP="00C10144">
      <w:pPr>
        <w:pStyle w:val="a0"/>
        <w:numPr>
          <w:ilvl w:val="0"/>
          <w:numId w:val="249"/>
        </w:numPr>
      </w:pPr>
      <w:r w:rsidRPr="00C10144">
        <w:t>The AI should describe special arrangements such as bad weather procedures (e.g., typhoon signal or black rainstorm warning), explaining how application deadlines may be extended and how announcements will be made.</w:t>
      </w:r>
    </w:p>
    <w:p w14:paraId="69C0CD95" w14:textId="77777777" w:rsidR="00C10144" w:rsidRPr="00C10144" w:rsidRDefault="00C10144" w:rsidP="00C10144">
      <w:pPr>
        <w:pStyle w:val="a0"/>
        <w:numPr>
          <w:ilvl w:val="0"/>
          <w:numId w:val="249"/>
        </w:numPr>
      </w:pPr>
      <w:r w:rsidRPr="00C10144">
        <w:t>The output should structure these contingencies clearly so applicants understand scenario triggers and resulting timetable changes.</w:t>
      </w:r>
    </w:p>
    <w:p w14:paraId="249BCF5C" w14:textId="77777777" w:rsidR="00C10144" w:rsidRPr="00C10144" w:rsidRDefault="00C10144" w:rsidP="00C10144">
      <w:pPr>
        <w:pStyle w:val="a0"/>
      </w:pPr>
      <w:r w:rsidRPr="00C10144">
        <w:rPr>
          <w:b/>
          <w:bCs/>
        </w:rPr>
        <w:t>Results announcement, refunds, and share delivery</w:t>
      </w:r>
    </w:p>
    <w:p w14:paraId="086EBB11" w14:textId="77777777" w:rsidR="00C10144" w:rsidRPr="00C10144" w:rsidRDefault="00C10144" w:rsidP="00C10144">
      <w:pPr>
        <w:pStyle w:val="a0"/>
        <w:numPr>
          <w:ilvl w:val="0"/>
          <w:numId w:val="250"/>
        </w:numPr>
      </w:pPr>
      <w:r w:rsidRPr="00C10144">
        <w:t>The AI should explain how applicants can check allocation results (e.g., publication in newspapers and designated websites, identification by partial ID codes), and how refunds are processed for unsuccessful or partially successful applications.</w:t>
      </w:r>
    </w:p>
    <w:p w14:paraId="1B0B28F6" w14:textId="77777777" w:rsidR="00C10144" w:rsidRPr="00C10144" w:rsidRDefault="00C10144" w:rsidP="00C10144">
      <w:pPr>
        <w:pStyle w:val="a0"/>
        <w:numPr>
          <w:ilvl w:val="0"/>
          <w:numId w:val="250"/>
        </w:numPr>
      </w:pPr>
      <w:r w:rsidRPr="00C10144">
        <w:t>The AI should explain how shares are delivered: physical share certificates for White Form applicants where applicable, and CCASS crediting for CCASS applicants, with clear timing and method descriptions.</w:t>
      </w:r>
    </w:p>
    <w:p w14:paraId="162F182C" w14:textId="77777777" w:rsidR="00C10144" w:rsidRPr="00C10144" w:rsidRDefault="00C10144" w:rsidP="00C10144">
      <w:pPr>
        <w:pStyle w:val="a0"/>
        <w:numPr>
          <w:ilvl w:val="0"/>
          <w:numId w:val="250"/>
        </w:numPr>
      </w:pPr>
      <w:r w:rsidRPr="00C10144">
        <w:t>The output should remind applicants of any identification requirements for in-person collection if that option exists.</w:t>
      </w:r>
    </w:p>
    <w:p w14:paraId="27BF094E" w14:textId="77777777" w:rsidR="00C10144" w:rsidRPr="00C10144" w:rsidRDefault="00C10144" w:rsidP="00C10144">
      <w:pPr>
        <w:pStyle w:val="a0"/>
      </w:pPr>
      <w:r w:rsidRPr="00C10144">
        <w:rPr>
          <w:b/>
          <w:bCs/>
        </w:rPr>
        <w:t>Trading and post-allocation reminder</w:t>
      </w:r>
    </w:p>
    <w:p w14:paraId="66D4CD73" w14:textId="77777777" w:rsidR="00C10144" w:rsidRPr="00C10144" w:rsidRDefault="00C10144" w:rsidP="00C10144">
      <w:pPr>
        <w:pStyle w:val="a0"/>
        <w:numPr>
          <w:ilvl w:val="0"/>
          <w:numId w:val="251"/>
        </w:numPr>
      </w:pPr>
      <w:r w:rsidRPr="00C10144">
        <w:t>The AI should state when trading is expected to commence and remind investors that trading should only occur after results are formally announced, cautioning against speculative trading before official allocation confirmation.</w:t>
      </w:r>
    </w:p>
    <w:p w14:paraId="0CDAA5FF" w14:textId="77777777" w:rsidR="00C10144" w:rsidRPr="00C10144" w:rsidRDefault="00C10144" w:rsidP="00C10144">
      <w:pPr>
        <w:pStyle w:val="a0"/>
        <w:numPr>
          <w:ilvl w:val="0"/>
          <w:numId w:val="251"/>
        </w:numPr>
      </w:pPr>
      <w:r w:rsidRPr="00C10144">
        <w:t>The language should be short and practical, reinforcing process clarity and investor risk awareness.</w:t>
      </w:r>
    </w:p>
    <w:p w14:paraId="3B1EECB9" w14:textId="77777777" w:rsidR="00C10144" w:rsidRPr="00C10144" w:rsidRDefault="00C10144" w:rsidP="00C10144">
      <w:pPr>
        <w:pStyle w:val="a0"/>
      </w:pPr>
      <w:r w:rsidRPr="00C10144">
        <w:rPr>
          <w:b/>
          <w:bCs/>
        </w:rPr>
        <w:t>Investor value</w:t>
      </w:r>
      <w:r w:rsidRPr="00C10144">
        <w:br/>
        <w:t>By providing complete, step-by-step application instructions with precise deadlines, payment requirements, and post-application logistics, this section ensures retail investors can participate correctly in the Hong Kong Public Offering and understand what to expect after submitting an application.</w:t>
      </w:r>
    </w:p>
    <w:p w14:paraId="45B5E9D2" w14:textId="77777777" w:rsidR="0074610B" w:rsidRPr="0074610B" w:rsidRDefault="0074610B" w:rsidP="0074610B">
      <w:pPr>
        <w:pStyle w:val="a0"/>
      </w:pPr>
      <w:r w:rsidRPr="0074610B">
        <w:rPr>
          <w:b/>
          <w:bCs/>
        </w:rPr>
        <w:t xml:space="preserve">Sponsor Counsel Enhancements (tie to live </w:t>
      </w:r>
      <w:proofErr w:type="spellStart"/>
      <w:r w:rsidRPr="0074610B">
        <w:rPr>
          <w:b/>
          <w:bCs/>
        </w:rPr>
        <w:t>MiniMax</w:t>
      </w:r>
      <w:proofErr w:type="spellEnd"/>
      <w:r w:rsidRPr="0074610B">
        <w:rPr>
          <w:b/>
          <w:bCs/>
        </w:rPr>
        <w:t xml:space="preserve"> “paperless + FINI” language):</w:t>
      </w:r>
    </w:p>
    <w:p w14:paraId="6ED80523" w14:textId="77777777" w:rsidR="0074610B" w:rsidRPr="0074610B" w:rsidRDefault="0074610B" w:rsidP="0074610B">
      <w:pPr>
        <w:pStyle w:val="a0"/>
        <w:numPr>
          <w:ilvl w:val="0"/>
          <w:numId w:val="40"/>
        </w:numPr>
      </w:pPr>
      <w:proofErr w:type="spellStart"/>
      <w:r w:rsidRPr="0074610B">
        <w:t>MiniMax</w:t>
      </w:r>
      <w:proofErr w:type="spellEnd"/>
      <w:r w:rsidRPr="0074610B">
        <w:t xml:space="preserve"> states a “fully electronic application process,” “no physical channels,” and sets out two application channels: (</w:t>
      </w:r>
      <w:proofErr w:type="spellStart"/>
      <w:r w:rsidRPr="0074610B">
        <w:t>i</w:t>
      </w:r>
      <w:proofErr w:type="spellEnd"/>
      <w:r w:rsidRPr="0074610B">
        <w:t xml:space="preserve">) HK </w:t>
      </w:r>
      <w:proofErr w:type="spellStart"/>
      <w:r w:rsidRPr="0074610B">
        <w:t>eIPO</w:t>
      </w:r>
      <w:proofErr w:type="spellEnd"/>
      <w:r w:rsidRPr="0074610B">
        <w:t xml:space="preserve"> White Form; (ii) broker/custodian via clearing participant electronic instructions through FINI (PDF p.3/716). Your How</w:t>
      </w:r>
      <w:r w:rsidRPr="0074610B">
        <w:noBreakHyphen/>
        <w:t>to</w:t>
      </w:r>
      <w:r w:rsidRPr="0074610B">
        <w:noBreakHyphen/>
        <w:t>Apply chapter should preserve this channel split clearly and warn that multiple channels may constitute duplicate applications.</w:t>
      </w:r>
    </w:p>
    <w:p w14:paraId="704A0679" w14:textId="77777777" w:rsidR="0074610B" w:rsidRPr="0074610B" w:rsidRDefault="0074610B" w:rsidP="0074610B">
      <w:pPr>
        <w:pStyle w:val="a0"/>
        <w:numPr>
          <w:ilvl w:val="0"/>
          <w:numId w:val="40"/>
        </w:numPr>
      </w:pPr>
      <w:r w:rsidRPr="0074610B">
        <w:lastRenderedPageBreak/>
        <w:t>Severe weather arrangements are cross</w:t>
      </w:r>
      <w:r w:rsidRPr="0074610B">
        <w:noBreakHyphen/>
        <w:t>referenced in the timetable notes and must be reproduced consistently in this chapter with precise triggers (PDF p.7/716).</w:t>
      </w:r>
    </w:p>
    <w:p w14:paraId="62E74C69" w14:textId="77777777" w:rsidR="0074610B" w:rsidRPr="0074610B" w:rsidRDefault="0074610B" w:rsidP="0074610B">
      <w:pPr>
        <w:pStyle w:val="a0"/>
        <w:numPr>
          <w:ilvl w:val="0"/>
          <w:numId w:val="40"/>
        </w:numPr>
      </w:pPr>
      <w:r w:rsidRPr="0074610B">
        <w:t>Include the “website not part of prospectus” note wherever website availability is referenced (</w:t>
      </w:r>
      <w:proofErr w:type="spellStart"/>
      <w:r w:rsidRPr="0074610B">
        <w:t>MiniMax</w:t>
      </w:r>
      <w:proofErr w:type="spellEnd"/>
      <w:r w:rsidRPr="0074610B">
        <w:t xml:space="preserve"> note: “None of the website … forms part of this prospectus,” p.7/716).</w:t>
      </w:r>
    </w:p>
    <w:p w14:paraId="5E6B4D1B" w14:textId="77777777" w:rsidR="0074610B" w:rsidRPr="0074610B" w:rsidRDefault="0074610B" w:rsidP="0074610B">
      <w:pPr>
        <w:pStyle w:val="a0"/>
        <w:numPr>
          <w:ilvl w:val="0"/>
          <w:numId w:val="40"/>
        </w:numPr>
      </w:pPr>
      <w:r w:rsidRPr="0074610B">
        <w:t>Add certificate validity and pre</w:t>
      </w:r>
      <w:r w:rsidRPr="0074610B">
        <w:noBreakHyphen/>
        <w:t>listing trading risk warning (share certificates valid only from a specified time; p.7/716), plus refund mechanics.</w:t>
      </w:r>
    </w:p>
    <w:p w14:paraId="5579F367" w14:textId="77777777" w:rsidR="0074610B" w:rsidRPr="0074610B" w:rsidRDefault="0074610B" w:rsidP="0074610B">
      <w:pPr>
        <w:pStyle w:val="a0"/>
      </w:pPr>
      <w:r w:rsidRPr="0074610B">
        <w:rPr>
          <w:b/>
          <w:bCs/>
        </w:rPr>
        <w:t>Enhanced sample paragraph (lead</w:t>
      </w:r>
      <w:r w:rsidRPr="0074610B">
        <w:rPr>
          <w:b/>
          <w:bCs/>
        </w:rPr>
        <w:noBreakHyphen/>
        <w:t>in + concise procedural outline):</w:t>
      </w:r>
      <w:r w:rsidRPr="0074610B">
        <w:br/>
        <w:t>“This section provides the procedures for applying for Hong Kong Offer Shares. We have adopted a fully electronic application process for the Hong Kong Public Offering and will not provide any physical channels to accept applications from the public. Applicants must choose only </w:t>
      </w:r>
      <w:r w:rsidRPr="0074610B">
        <w:rPr>
          <w:b/>
          <w:bCs/>
        </w:rPr>
        <w:t>one</w:t>
      </w:r>
      <w:r w:rsidRPr="0074610B">
        <w:t> application channel, and multiple applications (including applications through different channels) may be treated as invalid. Subject to eligibility requirements, you may apply by (</w:t>
      </w:r>
      <w:proofErr w:type="spellStart"/>
      <w:r w:rsidRPr="0074610B">
        <w:t>i</w:t>
      </w:r>
      <w:proofErr w:type="spellEnd"/>
      <w:r w:rsidRPr="0074610B">
        <w:t xml:space="preserve">) applying online through the HK </w:t>
      </w:r>
      <w:proofErr w:type="spellStart"/>
      <w:r w:rsidRPr="0074610B">
        <w:t>eIPO</w:t>
      </w:r>
      <w:proofErr w:type="spellEnd"/>
      <w:r w:rsidRPr="0074610B">
        <w:t xml:space="preserve"> White Form service, or (ii) instructing your broker or custodian (as a clearing participant) to submit an electronic application instruction on your behalf through the clearing system’s electronic application channel. If there is a tropical cyclone warning signal no. 8 or above, a “black” rainstorm warning and/or Extreme Conditions in force during the specified application list opening/closing hours, the application lists will not open or close as scheduled; see ‘Severe Weather Arrangements’ in this section. Share certificates will only become valid evidence of title at the specified time on the Listing Date, provided that the Global Offering becomes unconditional and is not terminated. [[</w:t>
      </w:r>
      <w:proofErr w:type="spellStart"/>
      <w:r w:rsidRPr="0074610B">
        <w:t>AI:XREF|to</w:t>
      </w:r>
      <w:proofErr w:type="spellEnd"/>
      <w:r w:rsidRPr="0074610B">
        <w:t>=Expected Timetable]] [[</w:t>
      </w:r>
      <w:proofErr w:type="spellStart"/>
      <w:r w:rsidRPr="0074610B">
        <w:t>AI:XREF|to</w:t>
      </w:r>
      <w:proofErr w:type="spellEnd"/>
      <w:r w:rsidRPr="0074610B">
        <w:t>=Structure of the Global Offering]] [[</w:t>
      </w:r>
      <w:proofErr w:type="spellStart"/>
      <w:r w:rsidRPr="0074610B">
        <w:t>AI:VERIFY|evidence</w:t>
      </w:r>
      <w:proofErr w:type="spellEnd"/>
      <w:r w:rsidRPr="0074610B">
        <w:t xml:space="preserve">=final application channel descriptions; severe weather policy; refund and certificate </w:t>
      </w:r>
      <w:proofErr w:type="spellStart"/>
      <w:r w:rsidRPr="0074610B">
        <w:t>despatch</w:t>
      </w:r>
      <w:proofErr w:type="spellEnd"/>
      <w:r w:rsidRPr="0074610B">
        <w:t xml:space="preserve"> process]]”</w:t>
      </w:r>
    </w:p>
    <w:p w14:paraId="46A3623D" w14:textId="77777777" w:rsidR="0074610B" w:rsidRPr="0074610B" w:rsidRDefault="0074610B">
      <w:pPr>
        <w:pStyle w:val="a0"/>
      </w:pPr>
    </w:p>
    <w:p w14:paraId="53C971B5" w14:textId="77777777" w:rsidR="0074610B" w:rsidRPr="0074610B" w:rsidRDefault="0074610B">
      <w:pPr>
        <w:pStyle w:val="a0"/>
      </w:pPr>
    </w:p>
    <w:p w14:paraId="70F64061" w14:textId="77777777" w:rsidR="00B36EB7" w:rsidRDefault="00000000">
      <w:pPr>
        <w:pStyle w:val="2"/>
      </w:pPr>
      <w:bookmarkStart w:id="29" w:name="Xc4cf01a5e02ce4a857e627208563d985f54e646"/>
      <w:bookmarkEnd w:id="16"/>
      <w:bookmarkEnd w:id="19"/>
      <w:bookmarkEnd w:id="28"/>
      <w:r>
        <w:t>Automated validation rules for an AI agent</w:t>
      </w:r>
    </w:p>
    <w:p w14:paraId="3210BD87" w14:textId="77777777" w:rsidR="00B36EB7" w:rsidRDefault="00000000">
      <w:pPr>
        <w:pStyle w:val="3"/>
      </w:pPr>
      <w:bookmarkStart w:id="30" w:name="X32f1a3a3f6e72ae67cbd9e1e1ff155494b2e9d4"/>
      <w:r>
        <w:t>Validation philosophy: what to automate vs what to force to humans</w:t>
      </w:r>
    </w:p>
    <w:p w14:paraId="4743BA49" w14:textId="77777777" w:rsidR="00B36EB7" w:rsidRDefault="00000000">
      <w:pPr>
        <w:pStyle w:val="FirstParagraph"/>
      </w:pPr>
      <w:r>
        <w:t xml:space="preserve">An AI agent can reliably enforce </w:t>
      </w:r>
      <w:r>
        <w:rPr>
          <w:b/>
          <w:bCs/>
        </w:rPr>
        <w:t>form, consistency, qualifiers, and citation completeness</w:t>
      </w:r>
      <w:r>
        <w:t xml:space="preserve">. It should not “decide materiality” without sponsor counsel escalation. The rules below are specifically mapped to HKEX standards (Rule 11.07, Rule 2.13), special regimes (WVR, 18C), profit forecast restrictions, and HKEX drafting guidance (Guide 3.3, Guide 3.7, GL86‑16, GL98‑18). </w:t>
      </w:r>
      <w:hyperlink r:id="rId65">
        <w:r>
          <w:rPr>
            <w:rStyle w:val="af"/>
          </w:rPr>
          <w:t>[31]</w:t>
        </w:r>
      </w:hyperlink>
    </w:p>
    <w:p w14:paraId="0C4E5EFC" w14:textId="77777777" w:rsidR="00B36EB7" w:rsidRDefault="00000000">
      <w:pPr>
        <w:pStyle w:val="3"/>
      </w:pPr>
      <w:bookmarkStart w:id="31" w:name="validation-rules-table-with-severity"/>
      <w:bookmarkEnd w:id="30"/>
      <w:r>
        <w:lastRenderedPageBreak/>
        <w:t>Validation rules table (with severity)</w:t>
      </w:r>
    </w:p>
    <w:tbl>
      <w:tblPr>
        <w:tblStyle w:val="Table"/>
        <w:tblW w:w="0" w:type="auto"/>
        <w:tblLook w:val="0020" w:firstRow="1" w:lastRow="0" w:firstColumn="0" w:lastColumn="0" w:noHBand="0" w:noVBand="0"/>
      </w:tblPr>
      <w:tblGrid>
        <w:gridCol w:w="1619"/>
        <w:gridCol w:w="910"/>
        <w:gridCol w:w="4047"/>
        <w:gridCol w:w="2280"/>
      </w:tblGrid>
      <w:tr w:rsidR="00B36EB7" w14:paraId="563E2BE7" w14:textId="77777777" w:rsidTr="00B36EB7">
        <w:trPr>
          <w:cnfStyle w:val="100000000000" w:firstRow="1" w:lastRow="0" w:firstColumn="0" w:lastColumn="0" w:oddVBand="0" w:evenVBand="0" w:oddHBand="0" w:evenHBand="0" w:firstRowFirstColumn="0" w:firstRowLastColumn="0" w:lastRowFirstColumn="0" w:lastRowLastColumn="0"/>
          <w:tblHeader/>
        </w:trPr>
        <w:tc>
          <w:tcPr>
            <w:tcW w:w="0" w:type="auto"/>
          </w:tcPr>
          <w:p w14:paraId="359EA291" w14:textId="77777777" w:rsidR="00B36EB7" w:rsidRDefault="00000000">
            <w:pPr>
              <w:pStyle w:val="Compact"/>
            </w:pPr>
            <w:r>
              <w:t>Rule</w:t>
            </w:r>
          </w:p>
        </w:tc>
        <w:tc>
          <w:tcPr>
            <w:tcW w:w="0" w:type="auto"/>
          </w:tcPr>
          <w:p w14:paraId="21CF7749" w14:textId="77777777" w:rsidR="00B36EB7" w:rsidRDefault="00000000">
            <w:pPr>
              <w:pStyle w:val="Compact"/>
            </w:pPr>
            <w:r>
              <w:t>Severity</w:t>
            </w:r>
          </w:p>
        </w:tc>
        <w:tc>
          <w:tcPr>
            <w:tcW w:w="0" w:type="auto"/>
          </w:tcPr>
          <w:p w14:paraId="2F1FE07F" w14:textId="77777777" w:rsidR="00B36EB7" w:rsidRDefault="00000000">
            <w:pPr>
              <w:pStyle w:val="Compact"/>
            </w:pPr>
            <w:r>
              <w:t>Detection logic (AI‑executable)</w:t>
            </w:r>
          </w:p>
        </w:tc>
        <w:tc>
          <w:tcPr>
            <w:tcW w:w="0" w:type="auto"/>
          </w:tcPr>
          <w:p w14:paraId="74F42BB8" w14:textId="77777777" w:rsidR="00B36EB7" w:rsidRDefault="00000000">
            <w:pPr>
              <w:pStyle w:val="Compact"/>
            </w:pPr>
            <w:r>
              <w:t>Source anchor</w:t>
            </w:r>
          </w:p>
        </w:tc>
      </w:tr>
      <w:tr w:rsidR="00B36EB7" w14:paraId="47B88328" w14:textId="77777777">
        <w:tc>
          <w:tcPr>
            <w:tcW w:w="0" w:type="auto"/>
          </w:tcPr>
          <w:p w14:paraId="2A2712B6" w14:textId="77777777" w:rsidR="00B36EB7" w:rsidRDefault="00000000">
            <w:pPr>
              <w:pStyle w:val="Compact"/>
            </w:pPr>
            <w:r>
              <w:t>Rule 11.20 disclaimer must be present verbatim on cover/inside cover</w:t>
            </w:r>
          </w:p>
        </w:tc>
        <w:tc>
          <w:tcPr>
            <w:tcW w:w="0" w:type="auto"/>
          </w:tcPr>
          <w:p w14:paraId="3805A922" w14:textId="77777777" w:rsidR="00B36EB7" w:rsidRDefault="00000000">
            <w:pPr>
              <w:pStyle w:val="Compact"/>
            </w:pPr>
            <w:r>
              <w:t>Blocker</w:t>
            </w:r>
          </w:p>
        </w:tc>
        <w:tc>
          <w:tcPr>
            <w:tcW w:w="0" w:type="auto"/>
          </w:tcPr>
          <w:p w14:paraId="4C364F19" w14:textId="77777777" w:rsidR="00B36EB7" w:rsidRDefault="00000000">
            <w:pPr>
              <w:pStyle w:val="Compact"/>
            </w:pPr>
            <w:r>
              <w:t>Exact‑match string or approved bilingual variants; if missing → fail build</w:t>
            </w:r>
          </w:p>
        </w:tc>
        <w:tc>
          <w:tcPr>
            <w:tcW w:w="0" w:type="auto"/>
          </w:tcPr>
          <w:p w14:paraId="5A855270" w14:textId="77777777" w:rsidR="00B36EB7" w:rsidRDefault="00000000">
            <w:pPr>
              <w:pStyle w:val="Compact"/>
            </w:pPr>
            <w:r>
              <w:t xml:space="preserve">Rule 11.20 </w:t>
            </w:r>
            <w:hyperlink r:id="rId66">
              <w:r>
                <w:rPr>
                  <w:rStyle w:val="af"/>
                </w:rPr>
                <w:t>[11]</w:t>
              </w:r>
            </w:hyperlink>
          </w:p>
        </w:tc>
      </w:tr>
      <w:tr w:rsidR="00B36EB7" w14:paraId="26308B59" w14:textId="77777777">
        <w:tc>
          <w:tcPr>
            <w:tcW w:w="0" w:type="auto"/>
          </w:tcPr>
          <w:p w14:paraId="0C8C61A9" w14:textId="77777777" w:rsidR="00B36EB7" w:rsidRDefault="00000000">
            <w:pPr>
              <w:pStyle w:val="Compact"/>
            </w:pPr>
            <w:r>
              <w:t>WVR mandatory warning and prominent WVR disclosure if WVR applies</w:t>
            </w:r>
          </w:p>
        </w:tc>
        <w:tc>
          <w:tcPr>
            <w:tcW w:w="0" w:type="auto"/>
          </w:tcPr>
          <w:p w14:paraId="008B58DB" w14:textId="77777777" w:rsidR="00B36EB7" w:rsidRDefault="00000000">
            <w:pPr>
              <w:pStyle w:val="Compact"/>
            </w:pPr>
            <w:r>
              <w:t>Blocker</w:t>
            </w:r>
          </w:p>
        </w:tc>
        <w:tc>
          <w:tcPr>
            <w:tcW w:w="0" w:type="auto"/>
          </w:tcPr>
          <w:p w14:paraId="7CDC6F78" w14:textId="77777777" w:rsidR="00B36EB7" w:rsidRDefault="00000000">
            <w:pPr>
              <w:pStyle w:val="Compact"/>
            </w:pPr>
            <w:r>
              <w:t>If “WVR” true in metadata: require “A company controlled through weighted voting rights” + sections describing structure/rationale/risks</w:t>
            </w:r>
          </w:p>
        </w:tc>
        <w:tc>
          <w:tcPr>
            <w:tcW w:w="0" w:type="auto"/>
          </w:tcPr>
          <w:p w14:paraId="2FAD4B5A" w14:textId="77777777" w:rsidR="00B36EB7" w:rsidRDefault="00000000">
            <w:pPr>
              <w:pStyle w:val="Compact"/>
            </w:pPr>
            <w:r>
              <w:t xml:space="preserve">Rule 8A.37 </w:t>
            </w:r>
            <w:hyperlink r:id="rId67">
              <w:r>
                <w:rPr>
                  <w:rStyle w:val="af"/>
                </w:rPr>
                <w:t>[13]</w:t>
              </w:r>
            </w:hyperlink>
          </w:p>
        </w:tc>
      </w:tr>
      <w:tr w:rsidR="00B36EB7" w14:paraId="5BF175A2" w14:textId="77777777">
        <w:tc>
          <w:tcPr>
            <w:tcW w:w="0" w:type="auto"/>
          </w:tcPr>
          <w:p w14:paraId="2F5E8C08" w14:textId="77777777" w:rsidR="00B36EB7" w:rsidRDefault="00000000">
            <w:pPr>
              <w:pStyle w:val="Compact"/>
            </w:pPr>
            <w:r>
              <w:t>18C mandatory warning statement if 18C applies</w:t>
            </w:r>
          </w:p>
        </w:tc>
        <w:tc>
          <w:tcPr>
            <w:tcW w:w="0" w:type="auto"/>
          </w:tcPr>
          <w:p w14:paraId="592ED94F" w14:textId="77777777" w:rsidR="00B36EB7" w:rsidRDefault="00000000">
            <w:pPr>
              <w:pStyle w:val="Compact"/>
            </w:pPr>
            <w:r>
              <w:t>Blocker</w:t>
            </w:r>
          </w:p>
        </w:tc>
        <w:tc>
          <w:tcPr>
            <w:tcW w:w="0" w:type="auto"/>
          </w:tcPr>
          <w:p w14:paraId="755393B2" w14:textId="77777777" w:rsidR="00B36EB7" w:rsidRDefault="00000000">
            <w:pPr>
              <w:pStyle w:val="Compact"/>
            </w:pPr>
            <w:r>
              <w:t>If “18C” true: require GL115‑23 warning statement block</w:t>
            </w:r>
          </w:p>
        </w:tc>
        <w:tc>
          <w:tcPr>
            <w:tcW w:w="0" w:type="auto"/>
          </w:tcPr>
          <w:p w14:paraId="2256185D" w14:textId="77777777" w:rsidR="00B36EB7" w:rsidRDefault="00000000">
            <w:pPr>
              <w:pStyle w:val="Compact"/>
            </w:pPr>
            <w:r>
              <w:t xml:space="preserve">GL115‑23 </w:t>
            </w:r>
            <w:hyperlink r:id="rId68">
              <w:r>
                <w:rPr>
                  <w:rStyle w:val="af"/>
                </w:rPr>
                <w:t>[32]</w:t>
              </w:r>
            </w:hyperlink>
          </w:p>
        </w:tc>
      </w:tr>
      <w:tr w:rsidR="00B36EB7" w14:paraId="51F8A519" w14:textId="77777777">
        <w:tc>
          <w:tcPr>
            <w:tcW w:w="0" w:type="auto"/>
          </w:tcPr>
          <w:p w14:paraId="593ABD7D" w14:textId="77777777" w:rsidR="00B36EB7" w:rsidRDefault="00000000">
            <w:pPr>
              <w:pStyle w:val="Compact"/>
            </w:pPr>
            <w:r>
              <w:t>Pre‑Commercial “credible path” disclosure and working capital coverage if Pre‑Commercial</w:t>
            </w:r>
          </w:p>
        </w:tc>
        <w:tc>
          <w:tcPr>
            <w:tcW w:w="0" w:type="auto"/>
          </w:tcPr>
          <w:p w14:paraId="3D8444FE" w14:textId="77777777" w:rsidR="00B36EB7" w:rsidRDefault="00000000">
            <w:pPr>
              <w:pStyle w:val="Compact"/>
            </w:pPr>
            <w:r>
              <w:t>Blocker</w:t>
            </w:r>
          </w:p>
        </w:tc>
        <w:tc>
          <w:tcPr>
            <w:tcW w:w="0" w:type="auto"/>
          </w:tcPr>
          <w:p w14:paraId="1657A349" w14:textId="77777777" w:rsidR="00B36EB7" w:rsidRDefault="00000000">
            <w:pPr>
              <w:pStyle w:val="Compact"/>
            </w:pPr>
            <w:r>
              <w:t>If “Pre‑Commercial” true: require “credible path” narrative + 125% working capital statement location and cross‑reference</w:t>
            </w:r>
          </w:p>
        </w:tc>
        <w:tc>
          <w:tcPr>
            <w:tcW w:w="0" w:type="auto"/>
          </w:tcPr>
          <w:p w14:paraId="3B1FE749" w14:textId="77777777" w:rsidR="00B36EB7" w:rsidRDefault="00000000">
            <w:pPr>
              <w:pStyle w:val="Compact"/>
            </w:pPr>
            <w:r>
              <w:t xml:space="preserve">Rule 18C.06/18C.07 </w:t>
            </w:r>
            <w:hyperlink r:id="rId69">
              <w:r>
                <w:rPr>
                  <w:rStyle w:val="af"/>
                </w:rPr>
                <w:t>[33]</w:t>
              </w:r>
            </w:hyperlink>
          </w:p>
        </w:tc>
      </w:tr>
      <w:tr w:rsidR="00B36EB7" w14:paraId="27A7945A" w14:textId="77777777">
        <w:tc>
          <w:tcPr>
            <w:tcW w:w="0" w:type="auto"/>
          </w:tcPr>
          <w:p w14:paraId="4AE29828" w14:textId="77777777" w:rsidR="00B36EB7" w:rsidRDefault="00000000">
            <w:pPr>
              <w:pStyle w:val="Compact"/>
            </w:pPr>
            <w:r>
              <w:t>Profit forecast / implicit profit forecast guardrail</w:t>
            </w:r>
          </w:p>
        </w:tc>
        <w:tc>
          <w:tcPr>
            <w:tcW w:w="0" w:type="auto"/>
          </w:tcPr>
          <w:p w14:paraId="71F41BD5" w14:textId="77777777" w:rsidR="00B36EB7" w:rsidRDefault="00000000">
            <w:pPr>
              <w:pStyle w:val="Compact"/>
            </w:pPr>
            <w:r>
              <w:t>High</w:t>
            </w:r>
          </w:p>
        </w:tc>
        <w:tc>
          <w:tcPr>
            <w:tcW w:w="0" w:type="auto"/>
          </w:tcPr>
          <w:p w14:paraId="3CDCAA66" w14:textId="77777777" w:rsidR="00B36EB7" w:rsidRDefault="00000000">
            <w:pPr>
              <w:pStyle w:val="Compact"/>
            </w:pPr>
            <w:r>
              <w:t>Regex patterns capturing “profitability by [year]”, “net margin will be”, “earnings will”, “we expect net profit/loss” post‑TRP; if hit → escalate</w:t>
            </w:r>
          </w:p>
        </w:tc>
        <w:tc>
          <w:tcPr>
            <w:tcW w:w="0" w:type="auto"/>
          </w:tcPr>
          <w:p w14:paraId="7881D3CF" w14:textId="77777777" w:rsidR="00B36EB7" w:rsidRDefault="00000000">
            <w:pPr>
              <w:pStyle w:val="Compact"/>
            </w:pPr>
            <w:r>
              <w:t xml:space="preserve">Rule 11.16 + Guide profit‑forecast clarification </w:t>
            </w:r>
            <w:hyperlink r:id="rId70">
              <w:r>
                <w:rPr>
                  <w:rStyle w:val="af"/>
                </w:rPr>
                <w:t>[5]</w:t>
              </w:r>
            </w:hyperlink>
          </w:p>
        </w:tc>
      </w:tr>
      <w:tr w:rsidR="00B36EB7" w14:paraId="503BFE21" w14:textId="77777777">
        <w:tc>
          <w:tcPr>
            <w:tcW w:w="0" w:type="auto"/>
          </w:tcPr>
          <w:p w14:paraId="62F306C0" w14:textId="77777777" w:rsidR="00B36EB7" w:rsidRDefault="00000000">
            <w:pPr>
              <w:pStyle w:val="Compact"/>
            </w:pPr>
            <w:r>
              <w:t>Unqualified forward‑looking verbs outside FLS section</w:t>
            </w:r>
          </w:p>
        </w:tc>
        <w:tc>
          <w:tcPr>
            <w:tcW w:w="0" w:type="auto"/>
          </w:tcPr>
          <w:p w14:paraId="2056ED96" w14:textId="77777777" w:rsidR="00B36EB7" w:rsidRDefault="00000000">
            <w:pPr>
              <w:pStyle w:val="Compact"/>
            </w:pPr>
            <w:r>
              <w:t>High</w:t>
            </w:r>
          </w:p>
        </w:tc>
        <w:tc>
          <w:tcPr>
            <w:tcW w:w="0" w:type="auto"/>
          </w:tcPr>
          <w:p w14:paraId="41E5544E" w14:textId="77777777" w:rsidR="00B36EB7" w:rsidRDefault="00000000">
            <w:pPr>
              <w:pStyle w:val="Compact"/>
            </w:pPr>
            <w:r>
              <w:t>Detect trigger verbs (“will/shall/ensure/guarantee/always/never”) outside FLS; require qualifier (“may/expect/intend”), assumptions, and Risk Factors cross‑ref</w:t>
            </w:r>
          </w:p>
        </w:tc>
        <w:tc>
          <w:tcPr>
            <w:tcW w:w="0" w:type="auto"/>
          </w:tcPr>
          <w:p w14:paraId="15E012C0" w14:textId="77777777" w:rsidR="00B36EB7" w:rsidRDefault="00000000">
            <w:pPr>
              <w:pStyle w:val="Compact"/>
            </w:pPr>
            <w:r>
              <w:t xml:space="preserve">Rule 2.13(c) </w:t>
            </w:r>
            <w:hyperlink r:id="rId71">
              <w:r>
                <w:rPr>
                  <w:rStyle w:val="af"/>
                </w:rPr>
                <w:t>[8]</w:t>
              </w:r>
            </w:hyperlink>
          </w:p>
        </w:tc>
      </w:tr>
      <w:tr w:rsidR="00B36EB7" w14:paraId="678BC40F" w14:textId="77777777">
        <w:tc>
          <w:tcPr>
            <w:tcW w:w="0" w:type="auto"/>
          </w:tcPr>
          <w:p w14:paraId="2891228A" w14:textId="77777777" w:rsidR="00B36EB7" w:rsidRDefault="00000000">
            <w:pPr>
              <w:pStyle w:val="Compact"/>
            </w:pPr>
            <w:r>
              <w:lastRenderedPageBreak/>
              <w:t>Market leadership / ranking / market share must include source + scope + date</w:t>
            </w:r>
          </w:p>
        </w:tc>
        <w:tc>
          <w:tcPr>
            <w:tcW w:w="0" w:type="auto"/>
          </w:tcPr>
          <w:p w14:paraId="62E6C6D9" w14:textId="77777777" w:rsidR="00B36EB7" w:rsidRDefault="00000000">
            <w:pPr>
              <w:pStyle w:val="Compact"/>
            </w:pPr>
            <w:r>
              <w:t>High</w:t>
            </w:r>
          </w:p>
        </w:tc>
        <w:tc>
          <w:tcPr>
            <w:tcW w:w="0" w:type="auto"/>
          </w:tcPr>
          <w:p w14:paraId="4A674DF2" w14:textId="77777777" w:rsidR="00B36EB7" w:rsidRDefault="00000000">
            <w:pPr>
              <w:pStyle w:val="Compact"/>
            </w:pPr>
            <w:r>
              <w:t xml:space="preserve">If sentence contains rank/share/CAGR + superlative: require </w:t>
            </w:r>
            <w:r>
              <w:rPr>
                <w:rStyle w:val="VerbatimChar"/>
              </w:rPr>
              <w:t>[[AI:CITE]]</w:t>
            </w:r>
            <w:r>
              <w:t xml:space="preserve"> with source/report date/scope/metric</w:t>
            </w:r>
          </w:p>
        </w:tc>
        <w:tc>
          <w:tcPr>
            <w:tcW w:w="0" w:type="auto"/>
          </w:tcPr>
          <w:p w14:paraId="782611F4" w14:textId="77777777" w:rsidR="00B36EB7" w:rsidRDefault="00000000">
            <w:pPr>
              <w:pStyle w:val="Compact"/>
            </w:pPr>
            <w:r>
              <w:t xml:space="preserve">GL98‑18 </w:t>
            </w:r>
            <w:hyperlink r:id="rId72">
              <w:r>
                <w:rPr>
                  <w:rStyle w:val="af"/>
                </w:rPr>
                <w:t>[20]</w:t>
              </w:r>
            </w:hyperlink>
          </w:p>
        </w:tc>
      </w:tr>
      <w:tr w:rsidR="00B36EB7" w14:paraId="1CEB89BB" w14:textId="77777777">
        <w:tc>
          <w:tcPr>
            <w:tcW w:w="0" w:type="auto"/>
          </w:tcPr>
          <w:p w14:paraId="77ED6E8E" w14:textId="77777777" w:rsidR="00B36EB7" w:rsidRDefault="00000000">
            <w:pPr>
              <w:pStyle w:val="Compact"/>
            </w:pPr>
            <w:r>
              <w:t>Expert report disclaimers forbidden</w:t>
            </w:r>
          </w:p>
        </w:tc>
        <w:tc>
          <w:tcPr>
            <w:tcW w:w="0" w:type="auto"/>
          </w:tcPr>
          <w:p w14:paraId="6AB72822" w14:textId="77777777" w:rsidR="00B36EB7" w:rsidRDefault="00000000">
            <w:pPr>
              <w:pStyle w:val="Compact"/>
            </w:pPr>
            <w:r>
              <w:t>High</w:t>
            </w:r>
          </w:p>
        </w:tc>
        <w:tc>
          <w:tcPr>
            <w:tcW w:w="0" w:type="auto"/>
          </w:tcPr>
          <w:p w14:paraId="0F8B8595" w14:textId="77777777" w:rsidR="00B36EB7" w:rsidRDefault="00000000">
            <w:pPr>
              <w:pStyle w:val="Compact"/>
            </w:pPr>
            <w:r>
              <w:t>If “expert report / valuer / reporting accountant / legal opinion” + “we do not accept responsibility” found → flag</w:t>
            </w:r>
          </w:p>
        </w:tc>
        <w:tc>
          <w:tcPr>
            <w:tcW w:w="0" w:type="auto"/>
          </w:tcPr>
          <w:p w14:paraId="769067D0" w14:textId="77777777" w:rsidR="00B36EB7" w:rsidRDefault="00000000">
            <w:pPr>
              <w:pStyle w:val="Compact"/>
            </w:pPr>
            <w:r>
              <w:t xml:space="preserve">GL98‑18 </w:t>
            </w:r>
            <w:hyperlink r:id="rId73">
              <w:r>
                <w:rPr>
                  <w:rStyle w:val="af"/>
                </w:rPr>
                <w:t>[20]</w:t>
              </w:r>
            </w:hyperlink>
          </w:p>
        </w:tc>
      </w:tr>
      <w:tr w:rsidR="00B36EB7" w14:paraId="3485D61B" w14:textId="77777777">
        <w:tc>
          <w:tcPr>
            <w:tcW w:w="0" w:type="auto"/>
          </w:tcPr>
          <w:p w14:paraId="130F8575" w14:textId="77777777" w:rsidR="00B36EB7" w:rsidRDefault="00000000">
            <w:pPr>
              <w:pStyle w:val="Compact"/>
            </w:pPr>
            <w:r>
              <w:t>Risk factor structure and anti‑mitigation rule</w:t>
            </w:r>
          </w:p>
        </w:tc>
        <w:tc>
          <w:tcPr>
            <w:tcW w:w="0" w:type="auto"/>
          </w:tcPr>
          <w:p w14:paraId="557F87A9" w14:textId="77777777" w:rsidR="00B36EB7" w:rsidRDefault="00000000">
            <w:pPr>
              <w:pStyle w:val="Compact"/>
            </w:pPr>
            <w:r>
              <w:t>Medium</w:t>
            </w:r>
          </w:p>
        </w:tc>
        <w:tc>
          <w:tcPr>
            <w:tcW w:w="0" w:type="auto"/>
          </w:tcPr>
          <w:p w14:paraId="1884340A" w14:textId="77777777" w:rsidR="00B36EB7" w:rsidRDefault="00000000">
            <w:pPr>
              <w:pStyle w:val="Compact"/>
            </w:pPr>
            <w:r>
              <w:t>Each risk factor must have (a) single‑risk heading, (b) “how it affects us,” (c) quantification or “cannot quantify” explanation; prohibit “however, we have mitigated…” inside risk paragraphs</w:t>
            </w:r>
          </w:p>
        </w:tc>
        <w:tc>
          <w:tcPr>
            <w:tcW w:w="0" w:type="auto"/>
          </w:tcPr>
          <w:p w14:paraId="22CD2EB7" w14:textId="77777777" w:rsidR="00B36EB7" w:rsidRDefault="00000000">
            <w:pPr>
              <w:pStyle w:val="Compact"/>
            </w:pPr>
            <w:r>
              <w:t xml:space="preserve">Guide 3.3 + GL86‑16 </w:t>
            </w:r>
            <w:hyperlink r:id="rId74">
              <w:r>
                <w:rPr>
                  <w:rStyle w:val="af"/>
                </w:rPr>
                <w:t>[18]</w:t>
              </w:r>
            </w:hyperlink>
          </w:p>
        </w:tc>
      </w:tr>
      <w:tr w:rsidR="00B36EB7" w14:paraId="78B57AA1" w14:textId="77777777">
        <w:tc>
          <w:tcPr>
            <w:tcW w:w="0" w:type="auto"/>
          </w:tcPr>
          <w:p w14:paraId="0D73A96C" w14:textId="77777777" w:rsidR="00B36EB7" w:rsidRDefault="00000000">
            <w:pPr>
              <w:pStyle w:val="Compact"/>
            </w:pPr>
            <w:r>
              <w:t>Ban “unknown risks” boilerplate</w:t>
            </w:r>
          </w:p>
        </w:tc>
        <w:tc>
          <w:tcPr>
            <w:tcW w:w="0" w:type="auto"/>
          </w:tcPr>
          <w:p w14:paraId="29373F05" w14:textId="77777777" w:rsidR="00B36EB7" w:rsidRDefault="00000000">
            <w:pPr>
              <w:pStyle w:val="Compact"/>
            </w:pPr>
            <w:r>
              <w:t>Medium</w:t>
            </w:r>
          </w:p>
        </w:tc>
        <w:tc>
          <w:tcPr>
            <w:tcW w:w="0" w:type="auto"/>
          </w:tcPr>
          <w:p w14:paraId="477971CA" w14:textId="77777777" w:rsidR="00B36EB7" w:rsidRDefault="00000000">
            <w:pPr>
              <w:pStyle w:val="Compact"/>
            </w:pPr>
            <w:r>
              <w:t>Flag phrases similar to GL86‑16 examples (“section not complete… risks not yet identified”)</w:t>
            </w:r>
          </w:p>
        </w:tc>
        <w:tc>
          <w:tcPr>
            <w:tcW w:w="0" w:type="auto"/>
          </w:tcPr>
          <w:p w14:paraId="190F3D75" w14:textId="77777777" w:rsidR="00B36EB7" w:rsidRDefault="00000000">
            <w:pPr>
              <w:pStyle w:val="Compact"/>
            </w:pPr>
            <w:r>
              <w:t xml:space="preserve">GL86‑16 </w:t>
            </w:r>
            <w:hyperlink r:id="rId75">
              <w:r>
                <w:rPr>
                  <w:rStyle w:val="af"/>
                </w:rPr>
                <w:t>[30]</w:t>
              </w:r>
            </w:hyperlink>
          </w:p>
        </w:tc>
      </w:tr>
      <w:tr w:rsidR="00B36EB7" w14:paraId="6FCA9D8A" w14:textId="77777777">
        <w:tc>
          <w:tcPr>
            <w:tcW w:w="0" w:type="auto"/>
          </w:tcPr>
          <w:p w14:paraId="652E7D7A" w14:textId="77777777" w:rsidR="00B36EB7" w:rsidRDefault="00000000">
            <w:pPr>
              <w:pStyle w:val="Compact"/>
            </w:pPr>
            <w:r>
              <w:t>Data security/privacy disclosure completeness if business involves internet info services/data processing</w:t>
            </w:r>
          </w:p>
        </w:tc>
        <w:tc>
          <w:tcPr>
            <w:tcW w:w="0" w:type="auto"/>
          </w:tcPr>
          <w:p w14:paraId="4390AF6D" w14:textId="77777777" w:rsidR="00B36EB7" w:rsidRDefault="00000000">
            <w:pPr>
              <w:pStyle w:val="Compact"/>
            </w:pPr>
            <w:r>
              <w:t>Medium</w:t>
            </w:r>
          </w:p>
        </w:tc>
        <w:tc>
          <w:tcPr>
            <w:tcW w:w="0" w:type="auto"/>
          </w:tcPr>
          <w:p w14:paraId="20A6B6FA" w14:textId="77777777" w:rsidR="00B36EB7" w:rsidRDefault="00000000">
            <w:pPr>
              <w:pStyle w:val="Compact"/>
            </w:pPr>
            <w:r>
              <w:t>If business tags include “internet info services / personal data / platform”: require disclosure of data types, lifecycle controls, compliance status, material incidents</w:t>
            </w:r>
          </w:p>
        </w:tc>
        <w:tc>
          <w:tcPr>
            <w:tcW w:w="0" w:type="auto"/>
          </w:tcPr>
          <w:p w14:paraId="36C64826" w14:textId="77777777" w:rsidR="00B36EB7" w:rsidRDefault="00000000">
            <w:pPr>
              <w:pStyle w:val="Compact"/>
            </w:pPr>
            <w:r>
              <w:t xml:space="preserve">Guide 3.7 (internet &amp; data security) </w:t>
            </w:r>
            <w:hyperlink r:id="rId76">
              <w:r>
                <w:rPr>
                  <w:rStyle w:val="af"/>
                </w:rPr>
                <w:t>[23]</w:t>
              </w:r>
            </w:hyperlink>
          </w:p>
        </w:tc>
      </w:tr>
      <w:tr w:rsidR="00B36EB7" w14:paraId="4C92674D" w14:textId="77777777">
        <w:tc>
          <w:tcPr>
            <w:tcW w:w="0" w:type="auto"/>
          </w:tcPr>
          <w:p w14:paraId="4B0A98C4" w14:textId="77777777" w:rsidR="00B36EB7" w:rsidRDefault="00000000">
            <w:pPr>
              <w:pStyle w:val="Compact"/>
            </w:pPr>
            <w:r>
              <w:t>Cross‑reference integrity</w:t>
            </w:r>
          </w:p>
        </w:tc>
        <w:tc>
          <w:tcPr>
            <w:tcW w:w="0" w:type="auto"/>
          </w:tcPr>
          <w:p w14:paraId="709364C0" w14:textId="77777777" w:rsidR="00B36EB7" w:rsidRDefault="00000000">
            <w:pPr>
              <w:pStyle w:val="Compact"/>
            </w:pPr>
            <w:r>
              <w:t>Low</w:t>
            </w:r>
          </w:p>
        </w:tc>
        <w:tc>
          <w:tcPr>
            <w:tcW w:w="0" w:type="auto"/>
          </w:tcPr>
          <w:p w14:paraId="618D19E0" w14:textId="77777777" w:rsidR="00B36EB7" w:rsidRDefault="00000000">
            <w:pPr>
              <w:pStyle w:val="Compact"/>
            </w:pPr>
            <w:r>
              <w:t xml:space="preserve">Verify every </w:t>
            </w:r>
            <w:r>
              <w:rPr>
                <w:rStyle w:val="VerbatimChar"/>
              </w:rPr>
              <w:t>[[AI:XREF]]</w:t>
            </w:r>
            <w:r>
              <w:t xml:space="preserve"> resolves to an existing heading; verify headings match Contents titles</w:t>
            </w:r>
          </w:p>
        </w:tc>
        <w:tc>
          <w:tcPr>
            <w:tcW w:w="0" w:type="auto"/>
          </w:tcPr>
          <w:p w14:paraId="7D269797" w14:textId="77777777" w:rsidR="00B36EB7" w:rsidRDefault="00000000">
            <w:pPr>
              <w:pStyle w:val="Compact"/>
            </w:pPr>
            <w:r>
              <w:t xml:space="preserve">Guide/GL86‑16 simplification and cross‑ref discipline </w:t>
            </w:r>
            <w:hyperlink r:id="rId77">
              <w:r>
                <w:rPr>
                  <w:rStyle w:val="af"/>
                </w:rPr>
                <w:t>[27]</w:t>
              </w:r>
            </w:hyperlink>
          </w:p>
        </w:tc>
      </w:tr>
      <w:tr w:rsidR="00B36EB7" w14:paraId="2BE11C8C" w14:textId="77777777">
        <w:tc>
          <w:tcPr>
            <w:tcW w:w="0" w:type="auto"/>
          </w:tcPr>
          <w:p w14:paraId="2791E119" w14:textId="77777777" w:rsidR="00B36EB7" w:rsidRDefault="00000000">
            <w:pPr>
              <w:pStyle w:val="Compact"/>
            </w:pPr>
            <w:r>
              <w:t>LPD refresh list</w:t>
            </w:r>
          </w:p>
        </w:tc>
        <w:tc>
          <w:tcPr>
            <w:tcW w:w="0" w:type="auto"/>
          </w:tcPr>
          <w:p w14:paraId="227533AE" w14:textId="77777777" w:rsidR="00B36EB7" w:rsidRDefault="00000000">
            <w:pPr>
              <w:pStyle w:val="Compact"/>
            </w:pPr>
            <w:r>
              <w:t>Low</w:t>
            </w:r>
          </w:p>
        </w:tc>
        <w:tc>
          <w:tcPr>
            <w:tcW w:w="0" w:type="auto"/>
          </w:tcPr>
          <w:p w14:paraId="054C6B83" w14:textId="77777777" w:rsidR="00B36EB7" w:rsidRDefault="00000000">
            <w:pPr>
              <w:pStyle w:val="Compact"/>
            </w:pPr>
            <w:r>
              <w:t xml:space="preserve">Any paragraph tagged </w:t>
            </w:r>
            <w:r>
              <w:rPr>
                <w:rStyle w:val="VerbatimChar"/>
              </w:rPr>
              <w:t>[[AI:LPD]]</w:t>
            </w:r>
            <w:r>
              <w:t xml:space="preserve"> must show updated date/time stamp before finalisation</w:t>
            </w:r>
          </w:p>
        </w:tc>
        <w:tc>
          <w:tcPr>
            <w:tcW w:w="0" w:type="auto"/>
          </w:tcPr>
          <w:p w14:paraId="5FC53723" w14:textId="77777777" w:rsidR="00B36EB7" w:rsidRDefault="00000000">
            <w:pPr>
              <w:pStyle w:val="Compact"/>
            </w:pPr>
            <w:r>
              <w:t>General HKEX vetting practice (operational) aligned to accuracy/complete</w:t>
            </w:r>
            <w:r>
              <w:lastRenderedPageBreak/>
              <w:t>ness duty</w:t>
            </w:r>
          </w:p>
        </w:tc>
      </w:tr>
    </w:tbl>
    <w:p w14:paraId="7610F0BC" w14:textId="77777777" w:rsidR="00B36EB7" w:rsidRDefault="00000000">
      <w:pPr>
        <w:pStyle w:val="3"/>
      </w:pPr>
      <w:bookmarkStart w:id="32" w:name="banned-words-phrases-list-starter-set"/>
      <w:bookmarkEnd w:id="31"/>
      <w:r>
        <w:lastRenderedPageBreak/>
        <w:t>Banned words / phrases list (starter set)</w:t>
      </w:r>
    </w:p>
    <w:p w14:paraId="02F06040" w14:textId="77777777" w:rsidR="00B36EB7" w:rsidRDefault="00000000">
      <w:pPr>
        <w:pStyle w:val="FirstParagraph"/>
      </w:pPr>
      <w:r>
        <w:t>A sponsor‑counsel‑friendly banned list should be configurable by the user and divided by category:</w:t>
      </w:r>
    </w:p>
    <w:p w14:paraId="5AA925C7" w14:textId="77777777" w:rsidR="00B36EB7" w:rsidRDefault="00000000">
      <w:pPr>
        <w:pStyle w:val="Compact"/>
        <w:numPr>
          <w:ilvl w:val="0"/>
          <w:numId w:val="3"/>
        </w:numPr>
      </w:pPr>
      <w:r>
        <w:rPr>
          <w:b/>
          <w:bCs/>
        </w:rPr>
        <w:t>Absolute/superlative:</w:t>
      </w:r>
      <w:r>
        <w:t xml:space="preserve"> “best,” “#1,” “leading” (unless scoped), “world‑class,” “unmatched,” “first‑of‑its‑kind” (unless precisely defined), “guarantee,” “ensure,” “always,” “never,” “100%,” “zero risk.”</w:t>
      </w:r>
    </w:p>
    <w:p w14:paraId="261B3BC8" w14:textId="77777777" w:rsidR="00B36EB7" w:rsidRDefault="00000000">
      <w:pPr>
        <w:pStyle w:val="Compact"/>
        <w:numPr>
          <w:ilvl w:val="0"/>
          <w:numId w:val="3"/>
        </w:numPr>
      </w:pPr>
      <w:r>
        <w:rPr>
          <w:b/>
          <w:bCs/>
        </w:rPr>
        <w:t>Unqualified forward‑looking:</w:t>
      </w:r>
      <w:r>
        <w:t xml:space="preserve"> “will definitely,” “will achieve,” “will become,” “must,” “certain to,” “cannot fail.”</w:t>
      </w:r>
    </w:p>
    <w:p w14:paraId="7DD13521" w14:textId="77777777" w:rsidR="00B36EB7" w:rsidRDefault="00000000">
      <w:pPr>
        <w:pStyle w:val="Compact"/>
        <w:numPr>
          <w:ilvl w:val="0"/>
          <w:numId w:val="3"/>
        </w:numPr>
      </w:pPr>
      <w:r>
        <w:rPr>
          <w:b/>
          <w:bCs/>
        </w:rPr>
        <w:t>Promotional:</w:t>
      </w:r>
      <w:r>
        <w:t xml:space="preserve"> “revolutionary,” “breakthrough,” “game‑changing,” “disruptive” (unless tied to objective criteria).</w:t>
      </w:r>
    </w:p>
    <w:p w14:paraId="5DF02C25" w14:textId="77777777" w:rsidR="00B36EB7" w:rsidRDefault="00000000">
      <w:pPr>
        <w:pStyle w:val="Compact"/>
        <w:numPr>
          <w:ilvl w:val="0"/>
          <w:numId w:val="3"/>
        </w:numPr>
      </w:pPr>
      <w:r>
        <w:rPr>
          <w:b/>
          <w:bCs/>
        </w:rPr>
        <w:t>Unverifiable:</w:t>
      </w:r>
      <w:r>
        <w:t xml:space="preserve"> “widely recognised,” “industry‑leading,” “superior accuracy” (unless benchmarked and sourced).</w:t>
      </w:r>
    </w:p>
    <w:p w14:paraId="61DA7CB4" w14:textId="77777777" w:rsidR="00B36EB7" w:rsidRDefault="00000000">
      <w:pPr>
        <w:pStyle w:val="FirstParagraph"/>
      </w:pPr>
      <w:r>
        <w:t xml:space="preserve">Each banned word hit should require either: (i) deletion/rewrite; or (ii) an explicit </w:t>
      </w:r>
      <w:r>
        <w:rPr>
          <w:b/>
          <w:bCs/>
        </w:rPr>
        <w:t>scope‑definition + citation</w:t>
      </w:r>
      <w:r>
        <w:t xml:space="preserve"> justification (Rule 2.13 and GL98‑18 logic). </w:t>
      </w:r>
      <w:hyperlink r:id="rId78">
        <w:r>
          <w:rPr>
            <w:rStyle w:val="af"/>
          </w:rPr>
          <w:t>[21]</w:t>
        </w:r>
      </w:hyperlink>
    </w:p>
    <w:p w14:paraId="15EEE97F" w14:textId="77777777" w:rsidR="00B36EB7" w:rsidRDefault="00000000">
      <w:pPr>
        <w:pStyle w:val="2"/>
      </w:pPr>
      <w:bookmarkStart w:id="33" w:name="X89970b2c743a87587b3695b2c4d43e975ed11be"/>
      <w:bookmarkEnd w:id="29"/>
      <w:bookmarkEnd w:id="32"/>
      <w:r>
        <w:t>HKEX tech‑sector specifics to hard‑wire into the prospectus template</w:t>
      </w:r>
    </w:p>
    <w:p w14:paraId="09807A64" w14:textId="77777777" w:rsidR="00B36EB7" w:rsidRDefault="00000000">
      <w:pPr>
        <w:pStyle w:val="3"/>
      </w:pPr>
      <w:bookmarkStart w:id="34" w:name="X76684e4be9175fd0178cd051ab5e9043174392d"/>
      <w:r>
        <w:t>Specialist Technology Companies (18C): classification nuance and disclosure payload</w:t>
      </w:r>
    </w:p>
    <w:p w14:paraId="20E40C39" w14:textId="77777777" w:rsidR="00B36EB7" w:rsidRDefault="00000000">
      <w:pPr>
        <w:pStyle w:val="FirstParagraph"/>
      </w:pPr>
      <w:r>
        <w:t xml:space="preserve">HKEX’s Specialist Technology regime defines five Specialist Technology Industries and requires applicants to operate within acceptable sectors listed in Guide Chapter 2.5, with a process for applicants outside the list to seek confidential guidance via a pre‑IPO enquiry. </w:t>
      </w:r>
      <w:hyperlink r:id="rId79">
        <w:r>
          <w:rPr>
            <w:rStyle w:val="af"/>
          </w:rPr>
          <w:t>[34]</w:t>
        </w:r>
      </w:hyperlink>
    </w:p>
    <w:p w14:paraId="67B59B88" w14:textId="77777777" w:rsidR="00B36EB7" w:rsidRDefault="00000000">
      <w:pPr>
        <w:pStyle w:val="a0"/>
      </w:pPr>
      <w:r>
        <w:t xml:space="preserve">For Pre‑Commercial companies, disclosure must show a “credible path to commercialisation” and satisfy the 125% working capital coverage test for 12 months. </w:t>
      </w:r>
      <w:hyperlink r:id="rId80">
        <w:r>
          <w:rPr>
            <w:rStyle w:val="af"/>
          </w:rPr>
          <w:t>[33]</w:t>
        </w:r>
      </w:hyperlink>
      <w:r>
        <w:br/>
        <w:t xml:space="preserve">GL115‑23 adds a highly structured disclosure payload, including a mandatory warning statement on the cover and additional disclosures for Pre‑Commercial companies (R&amp;D stage, milestones, risks tied to commercialisation). </w:t>
      </w:r>
      <w:hyperlink r:id="rId81">
        <w:r>
          <w:rPr>
            <w:rStyle w:val="af"/>
          </w:rPr>
          <w:t>[17]</w:t>
        </w:r>
      </w:hyperlink>
    </w:p>
    <w:p w14:paraId="3D1C8C6B" w14:textId="77777777" w:rsidR="00B36EB7" w:rsidRDefault="00000000">
      <w:pPr>
        <w:pStyle w:val="a0"/>
      </w:pPr>
      <w:r>
        <w:rPr>
          <w:b/>
          <w:bCs/>
        </w:rPr>
        <w:t>Implication for drafting:</w:t>
      </w:r>
      <w:r>
        <w:t xml:space="preserve"> build a dedicated 18C module that forces the issuer to define (i) product(s), (ii) R&amp;D stage taxonomy, (iii) milestones and dependencies, (iv) funding runway/burn narrative, and (v) risk factor mapping. The MiniMax prospectus inside‑cover language already demonstrates how HKEX expects the risk to be </w:t>
      </w:r>
      <w:r>
        <w:lastRenderedPageBreak/>
        <w:t>framed prominently (inflated valuation difficulty; corporate failure risk if funding/revenue insufficient).</w:t>
      </w:r>
    </w:p>
    <w:p w14:paraId="0B43C0D0" w14:textId="77777777" w:rsidR="00B36EB7" w:rsidRDefault="00000000">
      <w:pPr>
        <w:pStyle w:val="3"/>
      </w:pPr>
      <w:bookmarkStart w:id="35" w:name="X1315026df5398f713618941151b91211d9c4a42"/>
      <w:bookmarkEnd w:id="34"/>
      <w:r>
        <w:t>WVR: disclosure is not just a warning label, but a “control‑risk narrative”</w:t>
      </w:r>
    </w:p>
    <w:p w14:paraId="41489A2B" w14:textId="77777777" w:rsidR="00B36EB7" w:rsidRDefault="00000000">
      <w:pPr>
        <w:pStyle w:val="FirstParagraph"/>
      </w:pPr>
      <w:r>
        <w:t xml:space="preserve">Rule 8A.37 does not merely require the WVR marker; it also mandates </w:t>
      </w:r>
      <w:r>
        <w:rPr>
          <w:b/>
          <w:bCs/>
        </w:rPr>
        <w:t>prominent</w:t>
      </w:r>
      <w:r>
        <w:t xml:space="preserve"> disclosure of the WVR structure, the issuer’s rationale and the associated risks, and expects the warning to instruct investors to invest only after due and careful consideration. </w:t>
      </w:r>
      <w:hyperlink r:id="rId82">
        <w:r>
          <w:rPr>
            <w:rStyle w:val="af"/>
          </w:rPr>
          <w:t>[13]</w:t>
        </w:r>
      </w:hyperlink>
      <w:r>
        <w:br/>
        <w:t>Both uploaded prospectuses show how this becomes a cover‑level outcome, not buried in governance sections.</w:t>
      </w:r>
    </w:p>
    <w:p w14:paraId="194F3CB7" w14:textId="77777777" w:rsidR="00B36EB7" w:rsidRDefault="00000000">
      <w:pPr>
        <w:pStyle w:val="3"/>
      </w:pPr>
      <w:bookmarkStart w:id="36" w:name="X8ffa93076f98e9808ed8a1e5ed0bb582d516237"/>
      <w:bookmarkEnd w:id="35"/>
      <w:r>
        <w:t>Data privacy / cybersecurity / internet information services: required disclosure anatomy</w:t>
      </w:r>
    </w:p>
    <w:p w14:paraId="0FD8EAD6" w14:textId="77777777" w:rsidR="00B36EB7" w:rsidRDefault="00000000">
      <w:pPr>
        <w:pStyle w:val="FirstParagraph"/>
      </w:pPr>
      <w:r>
        <w:t xml:space="preserve">Guide Chapter 3.7 explicitly calls out “Internet information services and data security” and requires disclosure of: regulatory framework (licensing, foreign ownership restrictions), personal data types handled, lifecycle controls (collection/storage/processing/usage/transfer/disclosure/retention/destruction), compliance status in relevant jurisdictions, and incidents of material data leakage. </w:t>
      </w:r>
      <w:hyperlink r:id="rId83">
        <w:r>
          <w:rPr>
            <w:rStyle w:val="af"/>
          </w:rPr>
          <w:t>[23]</w:t>
        </w:r>
      </w:hyperlink>
    </w:p>
    <w:p w14:paraId="0FB5C99E" w14:textId="77777777" w:rsidR="00B36EB7" w:rsidRDefault="00000000">
      <w:pPr>
        <w:pStyle w:val="a0"/>
      </w:pPr>
      <w:r>
        <w:rPr>
          <w:b/>
          <w:bCs/>
        </w:rPr>
        <w:t>Drafting consequence:</w:t>
      </w:r>
      <w:r>
        <w:t xml:space="preserve"> in a tech prospectus, privacy/cyber should be treated as a </w:t>
      </w:r>
      <w:r>
        <w:rPr>
          <w:b/>
          <w:bCs/>
        </w:rPr>
        <w:t>three‑sided disclosure package</w:t>
      </w:r>
      <w:r>
        <w:t>: 1) Business chapter “how data flows operationally,”</w:t>
      </w:r>
      <w:r>
        <w:br/>
        <w:t>2) Regulatory Overview “what laws and licences apply,” and</w:t>
      </w:r>
      <w:r>
        <w:br/>
        <w:t xml:space="preserve">3) Risk Factors “what can go wrong and quantified impact where possible,” where the risk factor text avoids mitigation inside the risk itself but cross‑references mitigation in Business. </w:t>
      </w:r>
      <w:hyperlink r:id="rId84">
        <w:r>
          <w:rPr>
            <w:rStyle w:val="af"/>
          </w:rPr>
          <w:t>[35]</w:t>
        </w:r>
      </w:hyperlink>
    </w:p>
    <w:p w14:paraId="4C047CE0" w14:textId="77777777" w:rsidR="00B36EB7" w:rsidRDefault="00000000">
      <w:pPr>
        <w:pStyle w:val="3"/>
      </w:pPr>
      <w:bookmarkStart w:id="37" w:name="Xc74b00c3216231fe35c894480cc0347841f8882"/>
      <w:bookmarkEnd w:id="36"/>
      <w:r>
        <w:t>Typical tech risk factor clusters to implement (and why HKEX comments arise)</w:t>
      </w:r>
    </w:p>
    <w:p w14:paraId="63378C58" w14:textId="77777777" w:rsidR="00B36EB7" w:rsidRDefault="00000000">
      <w:pPr>
        <w:pStyle w:val="FirstParagraph"/>
      </w:pPr>
      <w:r>
        <w:t xml:space="preserve">Anchored to Guide 3.3 and GL86‑16, tech IPO risk factors should be </w:t>
      </w:r>
      <w:r>
        <w:rPr>
          <w:b/>
          <w:bCs/>
        </w:rPr>
        <w:t>applicant‑specific</w:t>
      </w:r>
      <w:r>
        <w:t xml:space="preserve">, unbundled, and (where possible) quantified. </w:t>
      </w:r>
      <w:hyperlink r:id="rId85">
        <w:r>
          <w:rPr>
            <w:rStyle w:val="af"/>
          </w:rPr>
          <w:t>[18]</w:t>
        </w:r>
      </w:hyperlink>
      <w:r>
        <w:br/>
        <w:t>For AI/platform/software issuers, the clusters that most often become HKEX comment topics are:</w:t>
      </w:r>
    </w:p>
    <w:p w14:paraId="650FE62E" w14:textId="77777777" w:rsidR="00B36EB7" w:rsidRDefault="00000000">
      <w:pPr>
        <w:pStyle w:val="Compact"/>
        <w:numPr>
          <w:ilvl w:val="0"/>
          <w:numId w:val="4"/>
        </w:numPr>
      </w:pPr>
      <w:r>
        <w:rPr>
          <w:b/>
          <w:bCs/>
        </w:rPr>
        <w:t>Commercialisation uncertainty / customer concentration / pricing pressure</w:t>
      </w:r>
      <w:r>
        <w:t xml:space="preserve"> (especially for Pre‑Commercial and high burn) — needs quantified dependency and runway narrative. </w:t>
      </w:r>
      <w:hyperlink r:id="rId86">
        <w:r>
          <w:rPr>
            <w:rStyle w:val="af"/>
          </w:rPr>
          <w:t>[36]</w:t>
        </w:r>
      </w:hyperlink>
    </w:p>
    <w:p w14:paraId="2DFE673A" w14:textId="77777777" w:rsidR="00B36EB7" w:rsidRDefault="00000000">
      <w:pPr>
        <w:pStyle w:val="Compact"/>
        <w:numPr>
          <w:ilvl w:val="0"/>
          <w:numId w:val="4"/>
        </w:numPr>
      </w:pPr>
      <w:r>
        <w:rPr>
          <w:b/>
          <w:bCs/>
        </w:rPr>
        <w:t>Data sources / training data / privacy compliance / cross‑border transfer limits</w:t>
      </w:r>
      <w:r>
        <w:t xml:space="preserve"> — must be described as operational facts + regulatory requirements + incident history. </w:t>
      </w:r>
      <w:hyperlink r:id="rId87">
        <w:r>
          <w:rPr>
            <w:rStyle w:val="af"/>
          </w:rPr>
          <w:t>[23]</w:t>
        </w:r>
      </w:hyperlink>
    </w:p>
    <w:p w14:paraId="13CAE0DC" w14:textId="77777777" w:rsidR="00B36EB7" w:rsidRDefault="00000000">
      <w:pPr>
        <w:pStyle w:val="Compact"/>
        <w:numPr>
          <w:ilvl w:val="0"/>
          <w:numId w:val="4"/>
        </w:numPr>
      </w:pPr>
      <w:r>
        <w:rPr>
          <w:b/>
          <w:bCs/>
        </w:rPr>
        <w:lastRenderedPageBreak/>
        <w:t>IP ownership and third‑party collaboration</w:t>
      </w:r>
      <w:r>
        <w:t xml:space="preserve"> — cover ownership allocations, licences, and cooperation agreements; embed </w:t>
      </w:r>
      <w:r>
        <w:rPr>
          <w:rStyle w:val="VerbatimChar"/>
        </w:rPr>
        <w:t>[[AI:VERIFY]]</w:t>
      </w:r>
      <w:r>
        <w:t xml:space="preserve"> hooks for agreements and chain of title. </w:t>
      </w:r>
      <w:hyperlink r:id="rId88">
        <w:r>
          <w:rPr>
            <w:rStyle w:val="af"/>
          </w:rPr>
          <w:t>[23]</w:t>
        </w:r>
      </w:hyperlink>
    </w:p>
    <w:p w14:paraId="692101A8" w14:textId="77777777" w:rsidR="00B36EB7" w:rsidRDefault="00000000">
      <w:pPr>
        <w:pStyle w:val="Compact"/>
        <w:numPr>
          <w:ilvl w:val="0"/>
          <w:numId w:val="4"/>
        </w:numPr>
      </w:pPr>
      <w:r>
        <w:rPr>
          <w:b/>
          <w:bCs/>
        </w:rPr>
        <w:t>Model performance, safety, and liability</w:t>
      </w:r>
      <w:r>
        <w:t xml:space="preserve"> (quality, bias, hallucination, safety incidents) — avoid absolute performance claims; define metrics. </w:t>
      </w:r>
      <w:hyperlink r:id="rId89">
        <w:r>
          <w:rPr>
            <w:rStyle w:val="af"/>
          </w:rPr>
          <w:t>[8]</w:t>
        </w:r>
      </w:hyperlink>
    </w:p>
    <w:p w14:paraId="32496A8A" w14:textId="77777777" w:rsidR="00B36EB7" w:rsidRDefault="00000000">
      <w:pPr>
        <w:pStyle w:val="Compact"/>
        <w:numPr>
          <w:ilvl w:val="0"/>
          <w:numId w:val="4"/>
        </w:numPr>
      </w:pPr>
      <w:r>
        <w:rPr>
          <w:b/>
          <w:bCs/>
        </w:rPr>
        <w:t>Third‑party dependency</w:t>
      </w:r>
      <w:r>
        <w:t xml:space="preserve"> (cloud/compute providers, chip supply, key personnel) — tie to quantified spend or alternative sourcing limits. </w:t>
      </w:r>
      <w:hyperlink r:id="rId90">
        <w:r>
          <w:rPr>
            <w:rStyle w:val="af"/>
          </w:rPr>
          <w:t>[37]</w:t>
        </w:r>
      </w:hyperlink>
    </w:p>
    <w:p w14:paraId="4589082C" w14:textId="77777777" w:rsidR="00B36EB7" w:rsidRDefault="00000000">
      <w:pPr>
        <w:pStyle w:val="Compact"/>
        <w:numPr>
          <w:ilvl w:val="0"/>
          <w:numId w:val="4"/>
        </w:numPr>
      </w:pPr>
      <w:r>
        <w:rPr>
          <w:b/>
          <w:bCs/>
        </w:rPr>
        <w:t>WVR governance and conflict‑of‑interest perception</w:t>
      </w:r>
      <w:r>
        <w:t xml:space="preserve"> — align the cover warning, governance narrative, and risk factor wording. </w:t>
      </w:r>
      <w:hyperlink r:id="rId91">
        <w:r>
          <w:rPr>
            <w:rStyle w:val="af"/>
          </w:rPr>
          <w:t>[38]</w:t>
        </w:r>
      </w:hyperlink>
    </w:p>
    <w:p w14:paraId="350B6A3C" w14:textId="77777777" w:rsidR="00B36EB7" w:rsidRDefault="00000000">
      <w:pPr>
        <w:pStyle w:val="3"/>
      </w:pPr>
      <w:bookmarkStart w:id="38" w:name="X294bb3253a315d133a2c1b2c6ff0bfc480c32e8"/>
      <w:bookmarkEnd w:id="37"/>
      <w:r>
        <w:t>Mermaid diagrams for document flow and entity relationships</w:t>
      </w:r>
    </w:p>
    <w:p w14:paraId="11F74901" w14:textId="77777777" w:rsidR="00B36EB7" w:rsidRDefault="00000000">
      <w:pPr>
        <w:pStyle w:val="SourceCode"/>
      </w:pPr>
      <w:r>
        <w:rPr>
          <w:rStyle w:val="VerbatimChar"/>
        </w:rPr>
        <w:t>flowchart TD</w:t>
      </w:r>
      <w:r>
        <w:br/>
      </w:r>
      <w:r>
        <w:rPr>
          <w:rStyle w:val="VerbatimChar"/>
        </w:rPr>
        <w:t xml:space="preserve">  A[Issuer source inputs: contracts, permits, policies, metrics] --&gt; B[Drafting in Word: structured template + AI tags]</w:t>
      </w:r>
      <w:r>
        <w:br/>
      </w:r>
      <w:r>
        <w:rPr>
          <w:rStyle w:val="VerbatimChar"/>
        </w:rPr>
        <w:t xml:space="preserve">  B --&gt; C[Sponsor counsel review: compliance language + Rule 2.13 controls]</w:t>
      </w:r>
      <w:r>
        <w:br/>
      </w:r>
      <w:r>
        <w:rPr>
          <w:rStyle w:val="VerbatimChar"/>
        </w:rPr>
        <w:t xml:space="preserve">  C --&gt; D[Verification planning: [[AI:VERIFY]] items -&gt; verification notes]</w:t>
      </w:r>
      <w:r>
        <w:br/>
      </w:r>
      <w:r>
        <w:rPr>
          <w:rStyle w:val="VerbatimChar"/>
        </w:rPr>
        <w:t xml:space="preserve">  D --&gt; E[Expert inputs: reporting accountants / industry consultant]</w:t>
      </w:r>
      <w:r>
        <w:br/>
      </w:r>
      <w:r>
        <w:rPr>
          <w:rStyle w:val="VerbatimChar"/>
        </w:rPr>
        <w:t xml:space="preserve">  E --&gt; F[Consistency checks: numbers, definitions, cross-references]</w:t>
      </w:r>
      <w:r>
        <w:br/>
      </w:r>
      <w:r>
        <w:rPr>
          <w:rStyle w:val="VerbatimChar"/>
        </w:rPr>
        <w:t xml:space="preserve">  F --&gt; G[Application Proof / PHIP / Final Proof]</w:t>
      </w:r>
      <w:r>
        <w:br/>
      </w:r>
      <w:r>
        <w:rPr>
          <w:rStyle w:val="VerbatimChar"/>
        </w:rPr>
        <w:t xml:space="preserve">  G --&gt; H[HKEX vetting cycle: comments -&gt; revision -&gt; re-check]</w:t>
      </w:r>
    </w:p>
    <w:p w14:paraId="56B87099" w14:textId="77777777" w:rsidR="00B36EB7" w:rsidRDefault="00000000">
      <w:pPr>
        <w:pStyle w:val="SourceCode"/>
      </w:pPr>
      <w:r>
        <w:rPr>
          <w:rStyle w:val="VerbatimChar"/>
        </w:rPr>
        <w:t>erDiagram</w:t>
      </w:r>
      <w:r>
        <w:br/>
      </w:r>
      <w:r>
        <w:rPr>
          <w:rStyle w:val="VerbatimChar"/>
        </w:rPr>
        <w:t xml:space="preserve">  ISSUER ||--o{ SUBSIDIARY : owns</w:t>
      </w:r>
      <w:r>
        <w:br/>
      </w:r>
      <w:r>
        <w:rPr>
          <w:rStyle w:val="VerbatimChar"/>
        </w:rPr>
        <w:t xml:space="preserve">  ISSUER }o--|| WVR_BENEFICIARY : controlled_by</w:t>
      </w:r>
      <w:r>
        <w:br/>
      </w:r>
      <w:r>
        <w:rPr>
          <w:rStyle w:val="VerbatimChar"/>
        </w:rPr>
        <w:t xml:space="preserve">  ISSUER ||--o{ SPECIAL_TECH_PRODUCT : develops</w:t>
      </w:r>
      <w:r>
        <w:br/>
      </w:r>
      <w:r>
        <w:rPr>
          <w:rStyle w:val="VerbatimChar"/>
        </w:rPr>
        <w:t xml:space="preserve">  ISSUER ||--o{ IP_RIGHT : uses_or_owns</w:t>
      </w:r>
      <w:r>
        <w:br/>
      </w:r>
      <w:r>
        <w:rPr>
          <w:rStyle w:val="VerbatimChar"/>
        </w:rPr>
        <w:t xml:space="preserve">  ISSUER ||--o{ PERSONAL_DATA_PROCESSING : conducts</w:t>
      </w:r>
      <w:r>
        <w:br/>
      </w:r>
      <w:r>
        <w:rPr>
          <w:rStyle w:val="VerbatimChar"/>
        </w:rPr>
        <w:t xml:space="preserve">  ISSUER }o--|| SPONSOR : appointed</w:t>
      </w:r>
      <w:r>
        <w:br/>
      </w:r>
      <w:r>
        <w:rPr>
          <w:rStyle w:val="VerbatimChar"/>
        </w:rPr>
        <w:t xml:space="preserve">  ISSUER }o--|| REPORTING_ACCOUNTANT : reports</w:t>
      </w:r>
      <w:r>
        <w:br/>
      </w:r>
      <w:r>
        <w:rPr>
          <w:rStyle w:val="VerbatimChar"/>
        </w:rPr>
        <w:t xml:space="preserve">  ISSUER }o--|| INDUSTRY_CONSULTANT : provides_market_data</w:t>
      </w:r>
      <w:r>
        <w:br/>
      </w:r>
      <w:r>
        <w:rPr>
          <w:rStyle w:val="VerbatimChar"/>
        </w:rPr>
        <w:t xml:space="preserve">  ISSUER }o--|| UNDERWRITER : underwrites</w:t>
      </w:r>
    </w:p>
    <w:p w14:paraId="7CC47120" w14:textId="77777777" w:rsidR="00B36EB7" w:rsidRDefault="00000000">
      <w:pPr>
        <w:pStyle w:val="2"/>
      </w:pPr>
      <w:bookmarkStart w:id="39" w:name="key-sources-used"/>
      <w:bookmarkEnd w:id="33"/>
      <w:bookmarkEnd w:id="38"/>
      <w:r>
        <w:t>Key sources used</w:t>
      </w:r>
    </w:p>
    <w:p w14:paraId="1734C6C6" w14:textId="77777777" w:rsidR="00B36EB7" w:rsidRDefault="00000000">
      <w:pPr>
        <w:pStyle w:val="FirstParagraph"/>
      </w:pPr>
      <w:r>
        <w:t xml:space="preserve">Primary rule/guidance sources (HKEX / regulator): - Listing Rules Rule 11.07 (informed assessment). </w:t>
      </w:r>
      <w:hyperlink r:id="rId92">
        <w:r>
          <w:rPr>
            <w:rStyle w:val="af"/>
          </w:rPr>
          <w:t>[7]</w:t>
        </w:r>
      </w:hyperlink>
      <w:r>
        <w:br/>
        <w:t xml:space="preserve">- Listing Rules Rule 2.13 (plain language; not misleading; no unqualified projections). </w:t>
      </w:r>
      <w:hyperlink r:id="rId93">
        <w:r>
          <w:rPr>
            <w:rStyle w:val="af"/>
          </w:rPr>
          <w:t>[8]</w:t>
        </w:r>
      </w:hyperlink>
      <w:r>
        <w:br/>
        <w:t xml:space="preserve">- Listing Rules Rule 11.20 (mandatory front/inside cover disclaimer). </w:t>
      </w:r>
      <w:hyperlink r:id="rId94">
        <w:r>
          <w:rPr>
            <w:rStyle w:val="af"/>
          </w:rPr>
          <w:t>[11]</w:t>
        </w:r>
      </w:hyperlink>
      <w:r>
        <w:br/>
        <w:t xml:space="preserve">- Listing Rules Rule 8A.37 (mandatory WVR warning + prominent WVR risk disclosure). </w:t>
      </w:r>
      <w:hyperlink r:id="rId95">
        <w:r>
          <w:rPr>
            <w:rStyle w:val="af"/>
          </w:rPr>
          <w:t>[13]</w:t>
        </w:r>
      </w:hyperlink>
      <w:r>
        <w:br/>
        <w:t xml:space="preserve">- Listing Rules Rule 11.16–11.19 (profit forecast regime and constraints). </w:t>
      </w:r>
      <w:hyperlink r:id="rId96">
        <w:r>
          <w:rPr>
            <w:rStyle w:val="af"/>
          </w:rPr>
          <w:t>[15]</w:t>
        </w:r>
      </w:hyperlink>
      <w:r>
        <w:br/>
        <w:t xml:space="preserve">- Chapter 18C rules (Pre‑Commercial credible path; working capital 125%/12 months). </w:t>
      </w:r>
      <w:hyperlink r:id="rId97">
        <w:r>
          <w:rPr>
            <w:rStyle w:val="af"/>
          </w:rPr>
          <w:t>[33]</w:t>
        </w:r>
      </w:hyperlink>
      <w:r>
        <w:br/>
      </w:r>
      <w:r>
        <w:lastRenderedPageBreak/>
        <w:t xml:space="preserve">- Guide for New Listing Applicants: Chapter 2.5 (Specialist Technology Companies). </w:t>
      </w:r>
      <w:hyperlink r:id="rId98">
        <w:r>
          <w:rPr>
            <w:rStyle w:val="af"/>
          </w:rPr>
          <w:t>[39]</w:t>
        </w:r>
      </w:hyperlink>
      <w:r>
        <w:br/>
        <w:t xml:space="preserve">- Guide for New Listing Applicants: Chapter 3.3 (Risk Factors drafting guidance). </w:t>
      </w:r>
      <w:hyperlink r:id="rId99">
        <w:r>
          <w:rPr>
            <w:rStyle w:val="af"/>
          </w:rPr>
          <w:t>[28]</w:t>
        </w:r>
      </w:hyperlink>
      <w:r>
        <w:br/>
        <w:t xml:space="preserve">- Guide for New Listing Applicants: Chapter 3.7 (Business disclosure; data security/internet info services). </w:t>
      </w:r>
      <w:hyperlink r:id="rId100">
        <w:r>
          <w:rPr>
            <w:rStyle w:val="af"/>
          </w:rPr>
          <w:t>[23]</w:t>
        </w:r>
      </w:hyperlink>
      <w:r>
        <w:br/>
        <w:t xml:space="preserve">- GL115‑23 (Specialist Technology Companies disclosure; cover warning; Pre‑Commercial disclosures). </w:t>
      </w:r>
      <w:hyperlink r:id="rId101">
        <w:r>
          <w:rPr>
            <w:rStyle w:val="af"/>
          </w:rPr>
          <w:t>[40]</w:t>
        </w:r>
      </w:hyperlink>
      <w:r>
        <w:br/>
        <w:t xml:space="preserve">- GL98‑18 (statistics/data in listing documents; cautionary language boundaries). </w:t>
      </w:r>
      <w:hyperlink r:id="rId102">
        <w:r>
          <w:rPr>
            <w:rStyle w:val="af"/>
          </w:rPr>
          <w:t>[20]</w:t>
        </w:r>
      </w:hyperlink>
      <w:r>
        <w:br/>
        <w:t xml:space="preserve">- GL86‑16 (listing document simplification; risk factor “no mitigating facts”; avoid vague disclaimers; cross‑reference discipline). </w:t>
      </w:r>
      <w:hyperlink r:id="rId103">
        <w:r>
          <w:rPr>
            <w:rStyle w:val="af"/>
          </w:rPr>
          <w:t>[41]</w:t>
        </w:r>
      </w:hyperlink>
      <w:r>
        <w:br/>
        <w:t xml:space="preserve">- Sponsor conduct / due diligence standards (SFC Code of Conduct extract on disclosure and due diligence). </w:t>
      </w:r>
      <w:hyperlink r:id="rId104">
        <w:r>
          <w:rPr>
            <w:rStyle w:val="af"/>
          </w:rPr>
          <w:t>[10]</w:t>
        </w:r>
      </w:hyperlink>
      <w:r>
        <w:br/>
        <w:t xml:space="preserve">- FINI system context (official government statement on FINI and T+2). </w:t>
      </w:r>
      <w:hyperlink r:id="rId105">
        <w:r>
          <w:rPr>
            <w:rStyle w:val="af"/>
          </w:rPr>
          <w:t>[19]</w:t>
        </w:r>
      </w:hyperlink>
    </w:p>
    <w:p w14:paraId="5EBA4E01" w14:textId="77777777" w:rsidR="00B36EB7" w:rsidRDefault="00000000">
      <w:pPr>
        <w:pStyle w:val="a0"/>
      </w:pPr>
      <w:r>
        <w:t>Primary uploaded exemplars (technology IPO prospectuses + user draft): - SenseTime prospectus (structure; reliance language; WVR warning; Summary style with market data and promotional adjectives).</w:t>
      </w:r>
      <w:r>
        <w:br/>
        <w:t>- MiniMax prospectus (18C + Pre‑Commercial + WVR cover warnings; FINI‑referencing application flow; timetable conventions).</w:t>
      </w:r>
      <w:r>
        <w:br/>
        <w:t>- User Word draft (section guidance for timetable/contents/summary/definitions/glossary/FLS/risk factors/waivers).</w:t>
      </w:r>
    </w:p>
    <w:bookmarkEnd w:id="1"/>
    <w:bookmarkEnd w:id="2"/>
    <w:bookmarkEnd w:id="39"/>
    <w:p w14:paraId="2C4F5F6C" w14:textId="77777777" w:rsidR="00B36EB7" w:rsidRDefault="00000000">
      <w:r>
        <w:pict w14:anchorId="5B9E15B6">
          <v:rect id="_x0000_i1025" style="width:0;height:1.5pt" o:hralign="center" o:hrstd="t" o:hr="t"/>
        </w:pict>
      </w:r>
    </w:p>
    <w:bookmarkStart w:id="40" w:name="citations"/>
    <w:p w14:paraId="7C0C6AA7" w14:textId="77777777" w:rsidR="00B36EB7" w:rsidRDefault="00000000">
      <w:pPr>
        <w:pStyle w:val="FirstParagraph"/>
      </w:pPr>
      <w:r>
        <w:fldChar w:fldCharType="begin"/>
      </w:r>
      <w:r>
        <w:instrText>HYPERLINK "https://www.hkex.com.hk/-/media/HKEX-Market/Listing/Rules-and-Guidance/Other-Resources/New-Applicants/Listing-Document-Simplification-Guide/Guide-on-Producing-Simplified-Listing-Documents/gl8616.pdf?utm_source=chatgpt.com" \h</w:instrText>
      </w:r>
      <w:r>
        <w:fldChar w:fldCharType="separate"/>
      </w:r>
      <w:r>
        <w:rPr>
          <w:rStyle w:val="af"/>
        </w:rPr>
        <w:t>[1]</w:t>
      </w:r>
      <w:r>
        <w:fldChar w:fldCharType="end"/>
      </w:r>
      <w:r>
        <w:t xml:space="preserve"> </w:t>
      </w:r>
      <w:hyperlink r:id="rId106">
        <w:r>
          <w:rPr>
            <w:rStyle w:val="af"/>
          </w:rPr>
          <w:t>[22]</w:t>
        </w:r>
      </w:hyperlink>
      <w:r>
        <w:t xml:space="preserve"> </w:t>
      </w:r>
      <w:hyperlink r:id="rId107">
        <w:r>
          <w:rPr>
            <w:rStyle w:val="af"/>
          </w:rPr>
          <w:t>[30]</w:t>
        </w:r>
      </w:hyperlink>
      <w:r>
        <w:t xml:space="preserve"> </w:t>
      </w:r>
      <w:hyperlink r:id="rId108">
        <w:r>
          <w:rPr>
            <w:rStyle w:val="af"/>
          </w:rPr>
          <w:t>[35]</w:t>
        </w:r>
      </w:hyperlink>
      <w:r>
        <w:t xml:space="preserve"> </w:t>
      </w:r>
      <w:hyperlink r:id="rId109">
        <w:r>
          <w:rPr>
            <w:rStyle w:val="af"/>
          </w:rPr>
          <w:t>[41]</w:t>
        </w:r>
      </w:hyperlink>
      <w:r>
        <w:t xml:space="preserve"> HKEX GUIDANCE LETTER</w:t>
      </w:r>
    </w:p>
    <w:p w14:paraId="03648042" w14:textId="77777777" w:rsidR="00B36EB7" w:rsidRDefault="00000000">
      <w:pPr>
        <w:pStyle w:val="a0"/>
      </w:pPr>
      <w:hyperlink r:id="rId110">
        <w:r>
          <w:rPr>
            <w:rStyle w:val="af"/>
          </w:rPr>
          <w:t>https://www.hkex.com.hk/-/media/HKEX-Market/Listing/Rules-and-Guidance/Other-Resources/New-Applicants/Listing-Document-Simplification-Guide/Guide-on-Producing-Simplified-Listing-Documents/gl8616.pdf?utm_source=chatgpt.com</w:t>
        </w:r>
      </w:hyperlink>
    </w:p>
    <w:p w14:paraId="4199138E" w14:textId="77777777" w:rsidR="00B36EB7" w:rsidRDefault="00000000">
      <w:pPr>
        <w:pStyle w:val="a0"/>
      </w:pPr>
      <w:hyperlink r:id="rId111">
        <w:r>
          <w:rPr>
            <w:rStyle w:val="af"/>
          </w:rPr>
          <w:t>[2]</w:t>
        </w:r>
      </w:hyperlink>
      <w:r>
        <w:t xml:space="preserve"> </w:t>
      </w:r>
      <w:hyperlink r:id="rId112">
        <w:r>
          <w:rPr>
            <w:rStyle w:val="af"/>
          </w:rPr>
          <w:t>[11]</w:t>
        </w:r>
      </w:hyperlink>
      <w:r>
        <w:t xml:space="preserve"> </w:t>
      </w:r>
      <w:hyperlink r:id="rId113">
        <w:r>
          <w:rPr>
            <w:rStyle w:val="af"/>
          </w:rPr>
          <w:t>[26]</w:t>
        </w:r>
      </w:hyperlink>
      <w:r>
        <w:t xml:space="preserve"> 11.20 | Rulebook</w:t>
      </w:r>
    </w:p>
    <w:p w14:paraId="2890158A" w14:textId="77777777" w:rsidR="00B36EB7" w:rsidRDefault="00000000">
      <w:pPr>
        <w:pStyle w:val="a0"/>
      </w:pPr>
      <w:hyperlink r:id="rId114">
        <w:r>
          <w:rPr>
            <w:rStyle w:val="af"/>
          </w:rPr>
          <w:t>https://en-rules.hkex.com.hk/rulebook/1120-0?utm_source=chatgpt.com</w:t>
        </w:r>
      </w:hyperlink>
    </w:p>
    <w:p w14:paraId="3A9718A3" w14:textId="77777777" w:rsidR="00B36EB7" w:rsidRDefault="00000000">
      <w:pPr>
        <w:pStyle w:val="a0"/>
      </w:pPr>
      <w:hyperlink r:id="rId115">
        <w:r>
          <w:rPr>
            <w:rStyle w:val="af"/>
          </w:rPr>
          <w:t>[3]</w:t>
        </w:r>
      </w:hyperlink>
      <w:r>
        <w:t xml:space="preserve"> </w:t>
      </w:r>
      <w:hyperlink r:id="rId116">
        <w:r>
          <w:rPr>
            <w:rStyle w:val="af"/>
          </w:rPr>
          <w:t>[7]</w:t>
        </w:r>
      </w:hyperlink>
      <w:r>
        <w:t xml:space="preserve"> </w:t>
      </w:r>
      <w:hyperlink r:id="rId117">
        <w:r>
          <w:rPr>
            <w:rStyle w:val="af"/>
          </w:rPr>
          <w:t>[31]</w:t>
        </w:r>
      </w:hyperlink>
      <w:r>
        <w:t xml:space="preserve"> 11.07 | Rulebook</w:t>
      </w:r>
    </w:p>
    <w:p w14:paraId="51990652" w14:textId="77777777" w:rsidR="00B36EB7" w:rsidRDefault="00000000">
      <w:pPr>
        <w:pStyle w:val="a0"/>
      </w:pPr>
      <w:hyperlink r:id="rId118">
        <w:r>
          <w:rPr>
            <w:rStyle w:val="af"/>
          </w:rPr>
          <w:t>https://en-rules.hkex.com.hk/rulebook/1107-0?utm_source=chatgpt.com</w:t>
        </w:r>
      </w:hyperlink>
    </w:p>
    <w:p w14:paraId="76946136" w14:textId="77777777" w:rsidR="00B36EB7" w:rsidRDefault="00000000">
      <w:pPr>
        <w:pStyle w:val="a0"/>
      </w:pPr>
      <w:hyperlink r:id="rId119">
        <w:r>
          <w:rPr>
            <w:rStyle w:val="af"/>
          </w:rPr>
          <w:t>[4]</w:t>
        </w:r>
      </w:hyperlink>
      <w:r>
        <w:t xml:space="preserve"> </w:t>
      </w:r>
      <w:hyperlink r:id="rId120">
        <w:r>
          <w:rPr>
            <w:rStyle w:val="af"/>
          </w:rPr>
          <w:t>[9]</w:t>
        </w:r>
      </w:hyperlink>
      <w:r>
        <w:t xml:space="preserve"> </w:t>
      </w:r>
      <w:hyperlink r:id="rId121">
        <w:r>
          <w:rPr>
            <w:rStyle w:val="af"/>
          </w:rPr>
          <w:t>[13]</w:t>
        </w:r>
      </w:hyperlink>
      <w:r>
        <w:t xml:space="preserve"> </w:t>
      </w:r>
      <w:hyperlink r:id="rId122">
        <w:r>
          <w:rPr>
            <w:rStyle w:val="af"/>
          </w:rPr>
          <w:t>[38]</w:t>
        </w:r>
      </w:hyperlink>
      <w:r>
        <w:t xml:space="preserve"> 8A.37 | Rulebook</w:t>
      </w:r>
    </w:p>
    <w:p w14:paraId="35624443" w14:textId="77777777" w:rsidR="00B36EB7" w:rsidRDefault="00000000">
      <w:pPr>
        <w:pStyle w:val="a0"/>
      </w:pPr>
      <w:hyperlink r:id="rId123">
        <w:r>
          <w:rPr>
            <w:rStyle w:val="af"/>
          </w:rPr>
          <w:t>https://en-rules.hkex.com.hk/rulebook/8a37?utm_source=chatgpt.com</w:t>
        </w:r>
      </w:hyperlink>
    </w:p>
    <w:p w14:paraId="15E18AB2" w14:textId="77777777" w:rsidR="00B36EB7" w:rsidRDefault="00000000">
      <w:pPr>
        <w:pStyle w:val="a0"/>
      </w:pPr>
      <w:hyperlink r:id="rId124">
        <w:r>
          <w:rPr>
            <w:rStyle w:val="af"/>
          </w:rPr>
          <w:t>[5]</w:t>
        </w:r>
      </w:hyperlink>
      <w:r>
        <w:t xml:space="preserve"> </w:t>
      </w:r>
      <w:hyperlink r:id="rId125">
        <w:r>
          <w:rPr>
            <w:rStyle w:val="af"/>
          </w:rPr>
          <w:t>[15]</w:t>
        </w:r>
      </w:hyperlink>
      <w:r>
        <w:t xml:space="preserve"> </w:t>
      </w:r>
      <w:hyperlink r:id="rId126">
        <w:r>
          <w:rPr>
            <w:rStyle w:val="af"/>
          </w:rPr>
          <w:t>[25]</w:t>
        </w:r>
      </w:hyperlink>
      <w:r>
        <w:t xml:space="preserve"> 11.16 | Rulebook</w:t>
      </w:r>
    </w:p>
    <w:p w14:paraId="089285AA" w14:textId="77777777" w:rsidR="00B36EB7" w:rsidRDefault="00000000">
      <w:pPr>
        <w:pStyle w:val="a0"/>
      </w:pPr>
      <w:hyperlink r:id="rId127">
        <w:r>
          <w:rPr>
            <w:rStyle w:val="af"/>
          </w:rPr>
          <w:t>https://en-rules.hkex.com.hk/rulebook/1116-0?utm_source=chatgpt.com</w:t>
        </w:r>
      </w:hyperlink>
    </w:p>
    <w:p w14:paraId="781E8AAB" w14:textId="77777777" w:rsidR="00B36EB7" w:rsidRDefault="00000000">
      <w:pPr>
        <w:pStyle w:val="a0"/>
      </w:pPr>
      <w:hyperlink r:id="rId128">
        <w:r>
          <w:rPr>
            <w:rStyle w:val="af"/>
          </w:rPr>
          <w:t>[6]</w:t>
        </w:r>
      </w:hyperlink>
      <w:r>
        <w:t xml:space="preserve"> </w:t>
      </w:r>
      <w:hyperlink r:id="rId129">
        <w:r>
          <w:rPr>
            <w:rStyle w:val="af"/>
          </w:rPr>
          <w:t>[34]</w:t>
        </w:r>
      </w:hyperlink>
      <w:r>
        <w:t xml:space="preserve"> Listing of Specialist Technology Companies</w:t>
      </w:r>
    </w:p>
    <w:p w14:paraId="46BAC000" w14:textId="77777777" w:rsidR="00B36EB7" w:rsidRDefault="00000000">
      <w:pPr>
        <w:pStyle w:val="a0"/>
      </w:pPr>
      <w:hyperlink r:id="rId130">
        <w:r>
          <w:rPr>
            <w:rStyle w:val="af"/>
          </w:rPr>
          <w:t>https://www.hkex.com.hk/Listing/Rules-and-Resources/Guidance/IPO/Listing-of-Specialist-Technology-Companies?utm_source=chatgpt.com</w:t>
        </w:r>
      </w:hyperlink>
    </w:p>
    <w:p w14:paraId="05649FD6" w14:textId="77777777" w:rsidR="00B36EB7" w:rsidRDefault="00000000">
      <w:pPr>
        <w:pStyle w:val="a0"/>
      </w:pPr>
      <w:hyperlink r:id="rId131">
        <w:r>
          <w:rPr>
            <w:rStyle w:val="af"/>
          </w:rPr>
          <w:t>[8]</w:t>
        </w:r>
      </w:hyperlink>
      <w:r>
        <w:t xml:space="preserve"> </w:t>
      </w:r>
      <w:hyperlink r:id="rId132">
        <w:r>
          <w:rPr>
            <w:rStyle w:val="af"/>
          </w:rPr>
          <w:t>[21]</w:t>
        </w:r>
      </w:hyperlink>
      <w:r>
        <w:t xml:space="preserve"> Entire Section | Rulebook</w:t>
      </w:r>
    </w:p>
    <w:p w14:paraId="0054946F" w14:textId="77777777" w:rsidR="00B36EB7" w:rsidRDefault="00000000">
      <w:pPr>
        <w:pStyle w:val="a0"/>
      </w:pPr>
      <w:hyperlink r:id="rId133">
        <w:r>
          <w:rPr>
            <w:rStyle w:val="af"/>
          </w:rPr>
          <w:t>https://en-rules.hkex.com.hk/entiresection/1933?utm_source=chatgpt.com</w:t>
        </w:r>
      </w:hyperlink>
    </w:p>
    <w:p w14:paraId="47CF28EF" w14:textId="77777777" w:rsidR="00B36EB7" w:rsidRDefault="00000000">
      <w:pPr>
        <w:pStyle w:val="a0"/>
      </w:pPr>
      <w:hyperlink r:id="rId134">
        <w:r>
          <w:rPr>
            <w:rStyle w:val="af"/>
          </w:rPr>
          <w:t>[10]</w:t>
        </w:r>
      </w:hyperlink>
      <w:r>
        <w:t xml:space="preserve"> Code of Conduct for Persons</w:t>
      </w:r>
    </w:p>
    <w:p w14:paraId="71624505" w14:textId="77777777" w:rsidR="00B36EB7" w:rsidRDefault="00000000">
      <w:pPr>
        <w:pStyle w:val="a0"/>
      </w:pPr>
      <w:hyperlink r:id="rId135">
        <w:r>
          <w:rPr>
            <w:rStyle w:val="af"/>
          </w:rPr>
          <w:t>https://www.sfc.hk/-/media/EN/assets/components/codes/files-current/web/codes/code-of-conduct-for-persons-licensed-by-or-registered-with-the-securities-and-futures-commission/Code_of_conduct_05082022_Eng.pdf?rev=0fd396c657bc46feb94f3367d7f97a05&amp;utm_source=chatgpt.com</w:t>
        </w:r>
      </w:hyperlink>
    </w:p>
    <w:p w14:paraId="61FEC421" w14:textId="77777777" w:rsidR="00B36EB7" w:rsidRDefault="00000000">
      <w:pPr>
        <w:pStyle w:val="a0"/>
      </w:pPr>
      <w:hyperlink r:id="rId136">
        <w:r>
          <w:rPr>
            <w:rStyle w:val="af"/>
          </w:rPr>
          <w:t>[12]</w:t>
        </w:r>
      </w:hyperlink>
      <w:r>
        <w:t xml:space="preserve"> </w:t>
      </w:r>
      <w:hyperlink r:id="rId137">
        <w:r>
          <w:rPr>
            <w:rStyle w:val="af"/>
          </w:rPr>
          <w:t>[20]</w:t>
        </w:r>
      </w:hyperlink>
      <w:r>
        <w:t xml:space="preserve"> HKEX GUIDANCE LETTER</w:t>
      </w:r>
    </w:p>
    <w:p w14:paraId="05B714D0" w14:textId="77777777" w:rsidR="00B36EB7" w:rsidRDefault="00000000">
      <w:pPr>
        <w:pStyle w:val="a0"/>
      </w:pPr>
      <w:hyperlink r:id="rId138">
        <w:r>
          <w:rPr>
            <w:rStyle w:val="af"/>
          </w:rPr>
          <w:t>https://www.hkex.com.hk/-/media/HKEX-Market/Listing/Rules-and-Guidance/Archive/Guidance-Letters/GL98_18.pdf?utm_source=chatgpt.com</w:t>
        </w:r>
      </w:hyperlink>
    </w:p>
    <w:p w14:paraId="5BA6157A" w14:textId="77777777" w:rsidR="00B36EB7" w:rsidRDefault="00000000">
      <w:pPr>
        <w:pStyle w:val="a0"/>
      </w:pPr>
      <w:hyperlink r:id="rId139">
        <w:r>
          <w:rPr>
            <w:rStyle w:val="af"/>
          </w:rPr>
          <w:t>[14]</w:t>
        </w:r>
      </w:hyperlink>
      <w:r>
        <w:t xml:space="preserve"> </w:t>
      </w:r>
      <w:hyperlink r:id="rId140">
        <w:r>
          <w:rPr>
            <w:rStyle w:val="af"/>
          </w:rPr>
          <w:t>[39]</w:t>
        </w:r>
      </w:hyperlink>
      <w:r>
        <w:t xml:space="preserve"> 2.5 SPECIALIST TECHNOLOGY COMPANIES</w:t>
      </w:r>
    </w:p>
    <w:p w14:paraId="0D92BFB7" w14:textId="77777777" w:rsidR="00B36EB7" w:rsidRDefault="00000000">
      <w:pPr>
        <w:pStyle w:val="a0"/>
      </w:pPr>
      <w:hyperlink r:id="rId141">
        <w:r>
          <w:rPr>
            <w:rStyle w:val="af"/>
          </w:rPr>
          <w:t>https://www.hkex.com.hk/-/media/HKEX-Market/Listing/Rules-and-Guidance/Interpretation-and-Guidance/Guide-for-New-Listing-Applicants/chapter_2_5.pdf?utm_source=chatgpt.com</w:t>
        </w:r>
      </w:hyperlink>
    </w:p>
    <w:p w14:paraId="51D19384" w14:textId="77777777" w:rsidR="00B36EB7" w:rsidRDefault="00000000">
      <w:pPr>
        <w:pStyle w:val="a0"/>
      </w:pPr>
      <w:hyperlink r:id="rId142">
        <w:r>
          <w:rPr>
            <w:rStyle w:val="af"/>
          </w:rPr>
          <w:t>[16]</w:t>
        </w:r>
      </w:hyperlink>
      <w:r>
        <w:t xml:space="preserve"> </w:t>
      </w:r>
      <w:hyperlink r:id="rId143">
        <w:r>
          <w:rPr>
            <w:rStyle w:val="af"/>
          </w:rPr>
          <w:t>[18]</w:t>
        </w:r>
      </w:hyperlink>
      <w:r>
        <w:t xml:space="preserve"> </w:t>
      </w:r>
      <w:hyperlink r:id="rId144">
        <w:r>
          <w:rPr>
            <w:rStyle w:val="af"/>
          </w:rPr>
          <w:t>[24]</w:t>
        </w:r>
      </w:hyperlink>
      <w:r>
        <w:t xml:space="preserve"> </w:t>
      </w:r>
      <w:hyperlink r:id="rId145">
        <w:r>
          <w:rPr>
            <w:rStyle w:val="af"/>
          </w:rPr>
          <w:t>[28]</w:t>
        </w:r>
      </w:hyperlink>
      <w:r>
        <w:t xml:space="preserve"> Guide For</w:t>
      </w:r>
    </w:p>
    <w:p w14:paraId="70150618" w14:textId="77777777" w:rsidR="00B36EB7" w:rsidRDefault="00000000">
      <w:pPr>
        <w:pStyle w:val="a0"/>
      </w:pPr>
      <w:hyperlink r:id="rId146">
        <w:r>
          <w:rPr>
            <w:rStyle w:val="af"/>
          </w:rPr>
          <w:t>https://www.hkex.com.hk/-/media/HKEX-Market/Listing/Rules-and-Guidance/Interpretation-and-Guidance/Guide-for-New-Listing-Applicants/Guide_for_New_Listing_Applicants_%28clean%29.pdf?utm_source=chatgpt.com</w:t>
        </w:r>
      </w:hyperlink>
    </w:p>
    <w:p w14:paraId="7197AA12" w14:textId="77777777" w:rsidR="00B36EB7" w:rsidRDefault="00000000">
      <w:pPr>
        <w:pStyle w:val="a0"/>
      </w:pPr>
      <w:hyperlink r:id="rId147">
        <w:r>
          <w:rPr>
            <w:rStyle w:val="af"/>
          </w:rPr>
          <w:t>[17]</w:t>
        </w:r>
      </w:hyperlink>
      <w:r>
        <w:t xml:space="preserve"> </w:t>
      </w:r>
      <w:hyperlink r:id="rId148">
        <w:r>
          <w:rPr>
            <w:rStyle w:val="af"/>
          </w:rPr>
          <w:t>[32]</w:t>
        </w:r>
      </w:hyperlink>
      <w:r>
        <w:t xml:space="preserve"> </w:t>
      </w:r>
      <w:hyperlink r:id="rId149">
        <w:r>
          <w:rPr>
            <w:rStyle w:val="af"/>
          </w:rPr>
          <w:t>[37]</w:t>
        </w:r>
      </w:hyperlink>
      <w:r>
        <w:t xml:space="preserve"> HKEX GUIDANCE LETTER</w:t>
      </w:r>
    </w:p>
    <w:p w14:paraId="62646F58" w14:textId="77777777" w:rsidR="00B36EB7" w:rsidRDefault="00000000">
      <w:pPr>
        <w:pStyle w:val="a0"/>
      </w:pPr>
      <w:hyperlink r:id="rId150">
        <w:r>
          <w:rPr>
            <w:rStyle w:val="af"/>
          </w:rPr>
          <w:t>https://en-rules.hkex.com.hk/sites/default/files/net_file_store/gl115-23.pdf?utm_source=chatgpt.com</w:t>
        </w:r>
      </w:hyperlink>
    </w:p>
    <w:p w14:paraId="42107815" w14:textId="77777777" w:rsidR="00B36EB7" w:rsidRDefault="00000000">
      <w:pPr>
        <w:pStyle w:val="a0"/>
      </w:pPr>
      <w:hyperlink r:id="rId151">
        <w:r>
          <w:rPr>
            <w:rStyle w:val="af"/>
          </w:rPr>
          <w:t>[19]</w:t>
        </w:r>
      </w:hyperlink>
      <w:r>
        <w:t xml:space="preserve"> LCQ12: Initial public offering settlement platform "FINI"</w:t>
      </w:r>
    </w:p>
    <w:p w14:paraId="0CDB93CD" w14:textId="77777777" w:rsidR="00B36EB7" w:rsidRDefault="00000000">
      <w:pPr>
        <w:pStyle w:val="a0"/>
      </w:pPr>
      <w:hyperlink r:id="rId152">
        <w:r>
          <w:rPr>
            <w:rStyle w:val="af"/>
          </w:rPr>
          <w:t>https://www.info.gov.hk/gia/general/202311/15/P2023111500230.htm?utm_source=chatgpt.com</w:t>
        </w:r>
      </w:hyperlink>
    </w:p>
    <w:p w14:paraId="5EC1CE9A" w14:textId="77777777" w:rsidR="00B36EB7" w:rsidRDefault="00000000">
      <w:pPr>
        <w:pStyle w:val="a0"/>
      </w:pPr>
      <w:hyperlink r:id="rId153">
        <w:r>
          <w:rPr>
            <w:rStyle w:val="af"/>
          </w:rPr>
          <w:t>[23]</w:t>
        </w:r>
      </w:hyperlink>
      <w:r>
        <w:t xml:space="preserve"> </w:t>
      </w:r>
      <w:hyperlink r:id="rId154">
        <w:r>
          <w:rPr>
            <w:rStyle w:val="af"/>
          </w:rPr>
          <w:t>[29]</w:t>
        </w:r>
      </w:hyperlink>
      <w:r>
        <w:t xml:space="preserve"> | 3.7 BUSINESS</w:t>
      </w:r>
    </w:p>
    <w:p w14:paraId="4C1FCD73" w14:textId="77777777" w:rsidR="00B36EB7" w:rsidRDefault="00000000">
      <w:pPr>
        <w:pStyle w:val="a0"/>
      </w:pPr>
      <w:hyperlink r:id="rId155">
        <w:r>
          <w:rPr>
            <w:rStyle w:val="af"/>
          </w:rPr>
          <w:t>https://www.hkex.com.hk/-/media/HKEX-Market/Listing/Rules-and-Guidance/Interpretation-and-Guidance/Guide-for-New-Listing-Applicants/chapter_3_7.pdf?utm_source=chatgpt.com</w:t>
        </w:r>
      </w:hyperlink>
    </w:p>
    <w:p w14:paraId="7B199701" w14:textId="77777777" w:rsidR="00B36EB7" w:rsidRDefault="00000000">
      <w:pPr>
        <w:pStyle w:val="a0"/>
      </w:pPr>
      <w:hyperlink r:id="rId156">
        <w:r>
          <w:rPr>
            <w:rStyle w:val="af"/>
          </w:rPr>
          <w:t>[27]</w:t>
        </w:r>
      </w:hyperlink>
      <w:r>
        <w:t xml:space="preserve"> HKEX GUIDANCE LETTER HKEX-GL86-16 (February 2016) (Last updated in</w:t>
      </w:r>
    </w:p>
    <w:p w14:paraId="1FC30697" w14:textId="77777777" w:rsidR="00B36EB7" w:rsidRDefault="00000000">
      <w:pPr>
        <w:pStyle w:val="a0"/>
      </w:pPr>
      <w:hyperlink r:id="rId157">
        <w:r>
          <w:rPr>
            <w:rStyle w:val="af"/>
          </w:rPr>
          <w:t>https://en-rules.hkex.com.hk/sites/default/files/net_file_store/gl8616.pdf?utm_source=chatgpt.com</w:t>
        </w:r>
      </w:hyperlink>
    </w:p>
    <w:p w14:paraId="17E080D6" w14:textId="77777777" w:rsidR="00B36EB7" w:rsidRDefault="00000000">
      <w:pPr>
        <w:pStyle w:val="a0"/>
      </w:pPr>
      <w:hyperlink r:id="rId158">
        <w:r>
          <w:rPr>
            <w:rStyle w:val="af"/>
          </w:rPr>
          <w:t>[33]</w:t>
        </w:r>
      </w:hyperlink>
      <w:r>
        <w:t xml:space="preserve"> </w:t>
      </w:r>
      <w:hyperlink r:id="rId159">
        <w:r>
          <w:rPr>
            <w:rStyle w:val="af"/>
          </w:rPr>
          <w:t>[36]</w:t>
        </w:r>
      </w:hyperlink>
      <w:r>
        <w:t xml:space="preserve"> Entire Section | Rulebook</w:t>
      </w:r>
    </w:p>
    <w:p w14:paraId="1ABB4B24" w14:textId="77777777" w:rsidR="00B36EB7" w:rsidRDefault="00000000">
      <w:pPr>
        <w:pStyle w:val="a0"/>
      </w:pPr>
      <w:hyperlink r:id="rId160">
        <w:r>
          <w:rPr>
            <w:rStyle w:val="af"/>
          </w:rPr>
          <w:t>https://hkexen.thomsonreuters.com/entiresection/6063?utm_source=chatgpt.com</w:t>
        </w:r>
      </w:hyperlink>
    </w:p>
    <w:p w14:paraId="1E3E5CCD" w14:textId="77777777" w:rsidR="00B36EB7" w:rsidRDefault="00000000">
      <w:pPr>
        <w:pStyle w:val="a0"/>
      </w:pPr>
      <w:hyperlink r:id="rId161">
        <w:r>
          <w:rPr>
            <w:rStyle w:val="af"/>
          </w:rPr>
          <w:t>[40]</w:t>
        </w:r>
      </w:hyperlink>
      <w:r>
        <w:t xml:space="preserve"> HKEX GUIDANCE LETTER</w:t>
      </w:r>
    </w:p>
    <w:p w14:paraId="597AEB34" w14:textId="77777777" w:rsidR="00B36EB7" w:rsidRDefault="00000000">
      <w:pPr>
        <w:pStyle w:val="a0"/>
      </w:pPr>
      <w:hyperlink r:id="rId162">
        <w:r>
          <w:rPr>
            <w:rStyle w:val="af"/>
          </w:rPr>
          <w:t>https://www.hkex.com.hk/-/media/HKEX-Market/Listing/Rules-and-Guidance/Archive/Guidance-Letters/GL115_23.pdf?utm_source=chatgpt.com</w:t>
        </w:r>
      </w:hyperlink>
      <w:bookmarkEnd w:id="40"/>
    </w:p>
    <w:sectPr w:rsidR="00B36EB7">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AD4F31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5EA56D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10B20EC"/>
    <w:multiLevelType w:val="multilevel"/>
    <w:tmpl w:val="5144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136D1C"/>
    <w:multiLevelType w:val="multilevel"/>
    <w:tmpl w:val="3FDA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206219"/>
    <w:multiLevelType w:val="multilevel"/>
    <w:tmpl w:val="328E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496A5D"/>
    <w:multiLevelType w:val="multilevel"/>
    <w:tmpl w:val="973E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E447F1"/>
    <w:multiLevelType w:val="multilevel"/>
    <w:tmpl w:val="5556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1560E9"/>
    <w:multiLevelType w:val="multilevel"/>
    <w:tmpl w:val="4F96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33F3C99"/>
    <w:multiLevelType w:val="multilevel"/>
    <w:tmpl w:val="078E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464578"/>
    <w:multiLevelType w:val="multilevel"/>
    <w:tmpl w:val="A77A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FF0F8E"/>
    <w:multiLevelType w:val="multilevel"/>
    <w:tmpl w:val="C978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0F5294"/>
    <w:multiLevelType w:val="multilevel"/>
    <w:tmpl w:val="6ED6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101782"/>
    <w:multiLevelType w:val="multilevel"/>
    <w:tmpl w:val="32E2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E029AD"/>
    <w:multiLevelType w:val="multilevel"/>
    <w:tmpl w:val="39B4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F14B5C"/>
    <w:multiLevelType w:val="multilevel"/>
    <w:tmpl w:val="8932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496E89"/>
    <w:multiLevelType w:val="multilevel"/>
    <w:tmpl w:val="871E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751101"/>
    <w:multiLevelType w:val="multilevel"/>
    <w:tmpl w:val="1560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BD622E"/>
    <w:multiLevelType w:val="multilevel"/>
    <w:tmpl w:val="BA78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396EE0"/>
    <w:multiLevelType w:val="multilevel"/>
    <w:tmpl w:val="A76E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DC600F"/>
    <w:multiLevelType w:val="multilevel"/>
    <w:tmpl w:val="B640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4760B9"/>
    <w:multiLevelType w:val="multilevel"/>
    <w:tmpl w:val="D894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75A36FB"/>
    <w:multiLevelType w:val="multilevel"/>
    <w:tmpl w:val="0980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6D1E42"/>
    <w:multiLevelType w:val="multilevel"/>
    <w:tmpl w:val="059E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030D0A"/>
    <w:multiLevelType w:val="multilevel"/>
    <w:tmpl w:val="CB74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3E55BB"/>
    <w:multiLevelType w:val="multilevel"/>
    <w:tmpl w:val="3B30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635D01"/>
    <w:multiLevelType w:val="multilevel"/>
    <w:tmpl w:val="510C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9A2AD3"/>
    <w:multiLevelType w:val="multilevel"/>
    <w:tmpl w:val="1702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AB2EA6"/>
    <w:multiLevelType w:val="multilevel"/>
    <w:tmpl w:val="96B0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5D704E"/>
    <w:multiLevelType w:val="multilevel"/>
    <w:tmpl w:val="3A6C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AA64E8"/>
    <w:multiLevelType w:val="multilevel"/>
    <w:tmpl w:val="B1BA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EB265A"/>
    <w:multiLevelType w:val="multilevel"/>
    <w:tmpl w:val="268E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EE29CF"/>
    <w:multiLevelType w:val="multilevel"/>
    <w:tmpl w:val="4F18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D11288"/>
    <w:multiLevelType w:val="multilevel"/>
    <w:tmpl w:val="1962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A26F30"/>
    <w:multiLevelType w:val="multilevel"/>
    <w:tmpl w:val="B98A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555D30"/>
    <w:multiLevelType w:val="multilevel"/>
    <w:tmpl w:val="994C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EC5A6D"/>
    <w:multiLevelType w:val="multilevel"/>
    <w:tmpl w:val="8064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3D170C"/>
    <w:multiLevelType w:val="multilevel"/>
    <w:tmpl w:val="9856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033AEA"/>
    <w:multiLevelType w:val="multilevel"/>
    <w:tmpl w:val="A058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4E5969"/>
    <w:multiLevelType w:val="multilevel"/>
    <w:tmpl w:val="8FFA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9D401F"/>
    <w:multiLevelType w:val="multilevel"/>
    <w:tmpl w:val="2C9A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0E1B95"/>
    <w:multiLevelType w:val="multilevel"/>
    <w:tmpl w:val="912E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0177F8E"/>
    <w:multiLevelType w:val="multilevel"/>
    <w:tmpl w:val="86E6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8D16A5"/>
    <w:multiLevelType w:val="multilevel"/>
    <w:tmpl w:val="D5F0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B47926"/>
    <w:multiLevelType w:val="multilevel"/>
    <w:tmpl w:val="EFBE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1157979"/>
    <w:multiLevelType w:val="multilevel"/>
    <w:tmpl w:val="C928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AF0B52"/>
    <w:multiLevelType w:val="multilevel"/>
    <w:tmpl w:val="062A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1F34C88"/>
    <w:multiLevelType w:val="multilevel"/>
    <w:tmpl w:val="9E26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CA030F"/>
    <w:multiLevelType w:val="multilevel"/>
    <w:tmpl w:val="192A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3445875"/>
    <w:multiLevelType w:val="multilevel"/>
    <w:tmpl w:val="9E40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36E0BE8"/>
    <w:multiLevelType w:val="multilevel"/>
    <w:tmpl w:val="E3C2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A547D1"/>
    <w:multiLevelType w:val="multilevel"/>
    <w:tmpl w:val="E1E0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3A67580"/>
    <w:multiLevelType w:val="multilevel"/>
    <w:tmpl w:val="19C8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3D467D1"/>
    <w:multiLevelType w:val="multilevel"/>
    <w:tmpl w:val="15E4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51E4BFB"/>
    <w:multiLevelType w:val="multilevel"/>
    <w:tmpl w:val="5032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5311CA1"/>
    <w:multiLevelType w:val="multilevel"/>
    <w:tmpl w:val="05C0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58137AE"/>
    <w:multiLevelType w:val="multilevel"/>
    <w:tmpl w:val="7BFE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82583F"/>
    <w:multiLevelType w:val="multilevel"/>
    <w:tmpl w:val="3D4A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64E5328"/>
    <w:multiLevelType w:val="multilevel"/>
    <w:tmpl w:val="D456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64F77DF"/>
    <w:multiLevelType w:val="multilevel"/>
    <w:tmpl w:val="1100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BF52D6"/>
    <w:multiLevelType w:val="multilevel"/>
    <w:tmpl w:val="5200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E21CAF"/>
    <w:multiLevelType w:val="multilevel"/>
    <w:tmpl w:val="4BF8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7F24890"/>
    <w:multiLevelType w:val="multilevel"/>
    <w:tmpl w:val="2610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8621832"/>
    <w:multiLevelType w:val="multilevel"/>
    <w:tmpl w:val="E5CE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A3640CB"/>
    <w:multiLevelType w:val="multilevel"/>
    <w:tmpl w:val="BA5E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AB36868"/>
    <w:multiLevelType w:val="multilevel"/>
    <w:tmpl w:val="5B50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AB6658B"/>
    <w:multiLevelType w:val="multilevel"/>
    <w:tmpl w:val="AF0C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B24742D"/>
    <w:multiLevelType w:val="multilevel"/>
    <w:tmpl w:val="664A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B4F5B3D"/>
    <w:multiLevelType w:val="multilevel"/>
    <w:tmpl w:val="0938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B710428"/>
    <w:multiLevelType w:val="multilevel"/>
    <w:tmpl w:val="47B4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B7A417E"/>
    <w:multiLevelType w:val="multilevel"/>
    <w:tmpl w:val="62E8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C11739B"/>
    <w:multiLevelType w:val="multilevel"/>
    <w:tmpl w:val="9F6A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C577EFF"/>
    <w:multiLevelType w:val="multilevel"/>
    <w:tmpl w:val="83F4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D9634FB"/>
    <w:multiLevelType w:val="multilevel"/>
    <w:tmpl w:val="9A7E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EA30115"/>
    <w:multiLevelType w:val="multilevel"/>
    <w:tmpl w:val="3CE6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EB82FF9"/>
    <w:multiLevelType w:val="multilevel"/>
    <w:tmpl w:val="2C96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ED1775B"/>
    <w:multiLevelType w:val="multilevel"/>
    <w:tmpl w:val="56F8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EFA1264"/>
    <w:multiLevelType w:val="multilevel"/>
    <w:tmpl w:val="5EFA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F121B68"/>
    <w:multiLevelType w:val="multilevel"/>
    <w:tmpl w:val="544E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F140B7D"/>
    <w:multiLevelType w:val="multilevel"/>
    <w:tmpl w:val="F5BA8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F622D35"/>
    <w:multiLevelType w:val="multilevel"/>
    <w:tmpl w:val="F23C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0476EC9"/>
    <w:multiLevelType w:val="multilevel"/>
    <w:tmpl w:val="D50E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05E5E52"/>
    <w:multiLevelType w:val="multilevel"/>
    <w:tmpl w:val="78CC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1904450"/>
    <w:multiLevelType w:val="multilevel"/>
    <w:tmpl w:val="FEC0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1E04D1B"/>
    <w:multiLevelType w:val="multilevel"/>
    <w:tmpl w:val="785A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1E4630B"/>
    <w:multiLevelType w:val="multilevel"/>
    <w:tmpl w:val="CEA8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20F454B"/>
    <w:multiLevelType w:val="multilevel"/>
    <w:tmpl w:val="21DC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25B261D"/>
    <w:multiLevelType w:val="multilevel"/>
    <w:tmpl w:val="AA96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2653951"/>
    <w:multiLevelType w:val="multilevel"/>
    <w:tmpl w:val="2474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2735C46"/>
    <w:multiLevelType w:val="multilevel"/>
    <w:tmpl w:val="7E20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2857C74"/>
    <w:multiLevelType w:val="multilevel"/>
    <w:tmpl w:val="73A4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3843569"/>
    <w:multiLevelType w:val="multilevel"/>
    <w:tmpl w:val="5B68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5A74335"/>
    <w:multiLevelType w:val="multilevel"/>
    <w:tmpl w:val="34FE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5FF6180"/>
    <w:multiLevelType w:val="multilevel"/>
    <w:tmpl w:val="4AF2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6B65D7E"/>
    <w:multiLevelType w:val="multilevel"/>
    <w:tmpl w:val="D000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6EE1F33"/>
    <w:multiLevelType w:val="multilevel"/>
    <w:tmpl w:val="52A2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79368FC"/>
    <w:multiLevelType w:val="multilevel"/>
    <w:tmpl w:val="9538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88D71EB"/>
    <w:multiLevelType w:val="multilevel"/>
    <w:tmpl w:val="41FA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9D33891"/>
    <w:multiLevelType w:val="multilevel"/>
    <w:tmpl w:val="9408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A3033F5"/>
    <w:multiLevelType w:val="multilevel"/>
    <w:tmpl w:val="18B6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A5718EE"/>
    <w:multiLevelType w:val="multilevel"/>
    <w:tmpl w:val="16AA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B9B2443"/>
    <w:multiLevelType w:val="multilevel"/>
    <w:tmpl w:val="CF4E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C143A6F"/>
    <w:multiLevelType w:val="multilevel"/>
    <w:tmpl w:val="D70E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C2303FE"/>
    <w:multiLevelType w:val="multilevel"/>
    <w:tmpl w:val="9150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C740D85"/>
    <w:multiLevelType w:val="multilevel"/>
    <w:tmpl w:val="A9B4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D804E79"/>
    <w:multiLevelType w:val="multilevel"/>
    <w:tmpl w:val="8FA8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DDE4EE9"/>
    <w:multiLevelType w:val="multilevel"/>
    <w:tmpl w:val="276C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E6C183E"/>
    <w:multiLevelType w:val="multilevel"/>
    <w:tmpl w:val="7EE4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EEB1C29"/>
    <w:multiLevelType w:val="multilevel"/>
    <w:tmpl w:val="EF14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05D0B71"/>
    <w:multiLevelType w:val="multilevel"/>
    <w:tmpl w:val="3704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0A56310"/>
    <w:multiLevelType w:val="multilevel"/>
    <w:tmpl w:val="59E07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0EF7ACF"/>
    <w:multiLevelType w:val="multilevel"/>
    <w:tmpl w:val="51EA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1676758"/>
    <w:multiLevelType w:val="multilevel"/>
    <w:tmpl w:val="B468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1926027"/>
    <w:multiLevelType w:val="multilevel"/>
    <w:tmpl w:val="07E6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2385ABD"/>
    <w:multiLevelType w:val="multilevel"/>
    <w:tmpl w:val="A1B0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2581B10"/>
    <w:multiLevelType w:val="multilevel"/>
    <w:tmpl w:val="B118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32965ECB"/>
    <w:multiLevelType w:val="multilevel"/>
    <w:tmpl w:val="CA68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2B51A18"/>
    <w:multiLevelType w:val="multilevel"/>
    <w:tmpl w:val="A6F2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2B8013F"/>
    <w:multiLevelType w:val="multilevel"/>
    <w:tmpl w:val="DF76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4450564"/>
    <w:multiLevelType w:val="multilevel"/>
    <w:tmpl w:val="06DC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4BD781B"/>
    <w:multiLevelType w:val="multilevel"/>
    <w:tmpl w:val="ECF4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5497552"/>
    <w:multiLevelType w:val="multilevel"/>
    <w:tmpl w:val="1F2A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55237CC"/>
    <w:multiLevelType w:val="multilevel"/>
    <w:tmpl w:val="75A2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5A2524B"/>
    <w:multiLevelType w:val="multilevel"/>
    <w:tmpl w:val="9050F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5DA373E"/>
    <w:multiLevelType w:val="multilevel"/>
    <w:tmpl w:val="E34C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5FF2677"/>
    <w:multiLevelType w:val="multilevel"/>
    <w:tmpl w:val="D21E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64A7740"/>
    <w:multiLevelType w:val="multilevel"/>
    <w:tmpl w:val="40C8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6784EE3"/>
    <w:multiLevelType w:val="multilevel"/>
    <w:tmpl w:val="5A50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6F20D98"/>
    <w:multiLevelType w:val="multilevel"/>
    <w:tmpl w:val="8414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74932AA"/>
    <w:multiLevelType w:val="multilevel"/>
    <w:tmpl w:val="A7F0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74C20F8"/>
    <w:multiLevelType w:val="multilevel"/>
    <w:tmpl w:val="2A7A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80608D5"/>
    <w:multiLevelType w:val="multilevel"/>
    <w:tmpl w:val="0A8E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83B60F1"/>
    <w:multiLevelType w:val="multilevel"/>
    <w:tmpl w:val="78E2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8530030"/>
    <w:multiLevelType w:val="multilevel"/>
    <w:tmpl w:val="CB12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8BF2BFA"/>
    <w:multiLevelType w:val="multilevel"/>
    <w:tmpl w:val="B486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8C47364"/>
    <w:multiLevelType w:val="multilevel"/>
    <w:tmpl w:val="06F4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93A21E6"/>
    <w:multiLevelType w:val="multilevel"/>
    <w:tmpl w:val="3704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9EF3ACC"/>
    <w:multiLevelType w:val="multilevel"/>
    <w:tmpl w:val="E89E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B44721C"/>
    <w:multiLevelType w:val="multilevel"/>
    <w:tmpl w:val="B91C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B724616"/>
    <w:multiLevelType w:val="multilevel"/>
    <w:tmpl w:val="062E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BAF7B43"/>
    <w:multiLevelType w:val="multilevel"/>
    <w:tmpl w:val="1726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BDD5EB1"/>
    <w:multiLevelType w:val="multilevel"/>
    <w:tmpl w:val="F438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C8B6D90"/>
    <w:multiLevelType w:val="multilevel"/>
    <w:tmpl w:val="07D4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D204621"/>
    <w:multiLevelType w:val="multilevel"/>
    <w:tmpl w:val="2AAA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DBA4691"/>
    <w:multiLevelType w:val="multilevel"/>
    <w:tmpl w:val="CEC4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E1F5FAE"/>
    <w:multiLevelType w:val="multilevel"/>
    <w:tmpl w:val="E52A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3E2A1F02"/>
    <w:multiLevelType w:val="multilevel"/>
    <w:tmpl w:val="B38C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3EBB4EAC"/>
    <w:multiLevelType w:val="multilevel"/>
    <w:tmpl w:val="DE18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ECE24FC"/>
    <w:multiLevelType w:val="multilevel"/>
    <w:tmpl w:val="16B0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FE5632C"/>
    <w:multiLevelType w:val="multilevel"/>
    <w:tmpl w:val="DA6A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1620329"/>
    <w:multiLevelType w:val="multilevel"/>
    <w:tmpl w:val="D772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417A2A53"/>
    <w:multiLevelType w:val="multilevel"/>
    <w:tmpl w:val="C8D0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3607D28"/>
    <w:multiLevelType w:val="multilevel"/>
    <w:tmpl w:val="5296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45F2778"/>
    <w:multiLevelType w:val="multilevel"/>
    <w:tmpl w:val="A79C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448E411D"/>
    <w:multiLevelType w:val="multilevel"/>
    <w:tmpl w:val="934C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5796D24"/>
    <w:multiLevelType w:val="multilevel"/>
    <w:tmpl w:val="BCC20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58125EB"/>
    <w:multiLevelType w:val="multilevel"/>
    <w:tmpl w:val="D840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62D6438"/>
    <w:multiLevelType w:val="multilevel"/>
    <w:tmpl w:val="E60C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66E2773"/>
    <w:multiLevelType w:val="multilevel"/>
    <w:tmpl w:val="6626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772272D"/>
    <w:multiLevelType w:val="multilevel"/>
    <w:tmpl w:val="3AEE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492012D8"/>
    <w:multiLevelType w:val="multilevel"/>
    <w:tmpl w:val="33E2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49CB464D"/>
    <w:multiLevelType w:val="multilevel"/>
    <w:tmpl w:val="6B5E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9E04B31"/>
    <w:multiLevelType w:val="multilevel"/>
    <w:tmpl w:val="D066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A54357C"/>
    <w:multiLevelType w:val="multilevel"/>
    <w:tmpl w:val="1A10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A671132"/>
    <w:multiLevelType w:val="multilevel"/>
    <w:tmpl w:val="B4EA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B7D3D7D"/>
    <w:multiLevelType w:val="multilevel"/>
    <w:tmpl w:val="4B6C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4BF96268"/>
    <w:multiLevelType w:val="multilevel"/>
    <w:tmpl w:val="026A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C5F0FA7"/>
    <w:multiLevelType w:val="multilevel"/>
    <w:tmpl w:val="6B0A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CC574CA"/>
    <w:multiLevelType w:val="multilevel"/>
    <w:tmpl w:val="93D0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CE81DE3"/>
    <w:multiLevelType w:val="multilevel"/>
    <w:tmpl w:val="6F7A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E0B477D"/>
    <w:multiLevelType w:val="multilevel"/>
    <w:tmpl w:val="A1F8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4E4E4634"/>
    <w:multiLevelType w:val="multilevel"/>
    <w:tmpl w:val="F2B4A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E6F4154"/>
    <w:multiLevelType w:val="multilevel"/>
    <w:tmpl w:val="0E40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E7A62CC"/>
    <w:multiLevelType w:val="multilevel"/>
    <w:tmpl w:val="D4D4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ED75067"/>
    <w:multiLevelType w:val="multilevel"/>
    <w:tmpl w:val="93C4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F024028"/>
    <w:multiLevelType w:val="multilevel"/>
    <w:tmpl w:val="F8EC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F855D28"/>
    <w:multiLevelType w:val="multilevel"/>
    <w:tmpl w:val="357A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FE12F38"/>
    <w:multiLevelType w:val="multilevel"/>
    <w:tmpl w:val="8248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0301534"/>
    <w:multiLevelType w:val="multilevel"/>
    <w:tmpl w:val="331E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06F65EC"/>
    <w:multiLevelType w:val="multilevel"/>
    <w:tmpl w:val="C874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509E736A"/>
    <w:multiLevelType w:val="multilevel"/>
    <w:tmpl w:val="0836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13938F0"/>
    <w:multiLevelType w:val="multilevel"/>
    <w:tmpl w:val="36E0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1BC5D8B"/>
    <w:multiLevelType w:val="multilevel"/>
    <w:tmpl w:val="E9CC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3273362"/>
    <w:multiLevelType w:val="multilevel"/>
    <w:tmpl w:val="F6A2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374429D"/>
    <w:multiLevelType w:val="multilevel"/>
    <w:tmpl w:val="A970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37A3ECB"/>
    <w:multiLevelType w:val="multilevel"/>
    <w:tmpl w:val="83F6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53970D34"/>
    <w:multiLevelType w:val="multilevel"/>
    <w:tmpl w:val="4692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46C708A"/>
    <w:multiLevelType w:val="multilevel"/>
    <w:tmpl w:val="4C76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63165E5"/>
    <w:multiLevelType w:val="multilevel"/>
    <w:tmpl w:val="A77E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6F37F50"/>
    <w:multiLevelType w:val="multilevel"/>
    <w:tmpl w:val="EC8A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7522676"/>
    <w:multiLevelType w:val="multilevel"/>
    <w:tmpl w:val="5378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78A0CE0"/>
    <w:multiLevelType w:val="multilevel"/>
    <w:tmpl w:val="5BBC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84922F4"/>
    <w:multiLevelType w:val="multilevel"/>
    <w:tmpl w:val="5158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58BE3886"/>
    <w:multiLevelType w:val="multilevel"/>
    <w:tmpl w:val="44F4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91F33E8"/>
    <w:multiLevelType w:val="multilevel"/>
    <w:tmpl w:val="27F0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BE52775"/>
    <w:multiLevelType w:val="multilevel"/>
    <w:tmpl w:val="F380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C0331B5"/>
    <w:multiLevelType w:val="multilevel"/>
    <w:tmpl w:val="6B4A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C591CA2"/>
    <w:multiLevelType w:val="multilevel"/>
    <w:tmpl w:val="5D08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C8C381F"/>
    <w:multiLevelType w:val="multilevel"/>
    <w:tmpl w:val="57DA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D955BFA"/>
    <w:multiLevelType w:val="multilevel"/>
    <w:tmpl w:val="A22A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E55242A"/>
    <w:multiLevelType w:val="multilevel"/>
    <w:tmpl w:val="0DAA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F075960"/>
    <w:multiLevelType w:val="multilevel"/>
    <w:tmpl w:val="E7C62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F2B34FB"/>
    <w:multiLevelType w:val="multilevel"/>
    <w:tmpl w:val="5C74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F8662AA"/>
    <w:multiLevelType w:val="multilevel"/>
    <w:tmpl w:val="BA0E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0026670"/>
    <w:multiLevelType w:val="multilevel"/>
    <w:tmpl w:val="3626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16D57D1"/>
    <w:multiLevelType w:val="multilevel"/>
    <w:tmpl w:val="8FEC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2243B83"/>
    <w:multiLevelType w:val="multilevel"/>
    <w:tmpl w:val="81BED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42F3184"/>
    <w:multiLevelType w:val="multilevel"/>
    <w:tmpl w:val="C40A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5757D42"/>
    <w:multiLevelType w:val="multilevel"/>
    <w:tmpl w:val="32B4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5BF28BF"/>
    <w:multiLevelType w:val="multilevel"/>
    <w:tmpl w:val="D5A0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783587F"/>
    <w:multiLevelType w:val="multilevel"/>
    <w:tmpl w:val="7EE2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7B84FC1"/>
    <w:multiLevelType w:val="multilevel"/>
    <w:tmpl w:val="DD34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81F2AF2"/>
    <w:multiLevelType w:val="multilevel"/>
    <w:tmpl w:val="A106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8E90F3B"/>
    <w:multiLevelType w:val="multilevel"/>
    <w:tmpl w:val="06EE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95D573E"/>
    <w:multiLevelType w:val="multilevel"/>
    <w:tmpl w:val="5EE2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9EF4E49"/>
    <w:multiLevelType w:val="multilevel"/>
    <w:tmpl w:val="FC749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6A5207EF"/>
    <w:multiLevelType w:val="multilevel"/>
    <w:tmpl w:val="3F1E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C3A4E61"/>
    <w:multiLevelType w:val="multilevel"/>
    <w:tmpl w:val="2E66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C5B3AF9"/>
    <w:multiLevelType w:val="multilevel"/>
    <w:tmpl w:val="302A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CCC1926"/>
    <w:multiLevelType w:val="multilevel"/>
    <w:tmpl w:val="E20C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D8A186A"/>
    <w:multiLevelType w:val="multilevel"/>
    <w:tmpl w:val="9532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DBF1A65"/>
    <w:multiLevelType w:val="multilevel"/>
    <w:tmpl w:val="7470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EA04476"/>
    <w:multiLevelType w:val="multilevel"/>
    <w:tmpl w:val="5D42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EC4137D"/>
    <w:multiLevelType w:val="multilevel"/>
    <w:tmpl w:val="9C24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EFD3514"/>
    <w:multiLevelType w:val="multilevel"/>
    <w:tmpl w:val="DC0E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FD64771"/>
    <w:multiLevelType w:val="multilevel"/>
    <w:tmpl w:val="DA8C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02F0D74"/>
    <w:multiLevelType w:val="multilevel"/>
    <w:tmpl w:val="8C40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0942F1E"/>
    <w:multiLevelType w:val="multilevel"/>
    <w:tmpl w:val="8798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1BC02F4"/>
    <w:multiLevelType w:val="multilevel"/>
    <w:tmpl w:val="0E4C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1F80240"/>
    <w:multiLevelType w:val="multilevel"/>
    <w:tmpl w:val="E890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3097810"/>
    <w:multiLevelType w:val="multilevel"/>
    <w:tmpl w:val="9D00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3293EEA"/>
    <w:multiLevelType w:val="multilevel"/>
    <w:tmpl w:val="A152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374679B"/>
    <w:multiLevelType w:val="multilevel"/>
    <w:tmpl w:val="F860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3C9266C"/>
    <w:multiLevelType w:val="multilevel"/>
    <w:tmpl w:val="805A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52E3B7D"/>
    <w:multiLevelType w:val="multilevel"/>
    <w:tmpl w:val="AEEA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6E5081C"/>
    <w:multiLevelType w:val="multilevel"/>
    <w:tmpl w:val="959C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8E2566E"/>
    <w:multiLevelType w:val="multilevel"/>
    <w:tmpl w:val="E06A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91326BA"/>
    <w:multiLevelType w:val="multilevel"/>
    <w:tmpl w:val="CB76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A6018AA"/>
    <w:multiLevelType w:val="multilevel"/>
    <w:tmpl w:val="E36A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A735B33"/>
    <w:multiLevelType w:val="multilevel"/>
    <w:tmpl w:val="203C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B8872B9"/>
    <w:multiLevelType w:val="multilevel"/>
    <w:tmpl w:val="D638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BA07605"/>
    <w:multiLevelType w:val="multilevel"/>
    <w:tmpl w:val="F3D8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C076340"/>
    <w:multiLevelType w:val="multilevel"/>
    <w:tmpl w:val="D410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C2E4821"/>
    <w:multiLevelType w:val="multilevel"/>
    <w:tmpl w:val="C5AA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7C900233"/>
    <w:multiLevelType w:val="multilevel"/>
    <w:tmpl w:val="2D78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D0A4260"/>
    <w:multiLevelType w:val="multilevel"/>
    <w:tmpl w:val="5444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D5E4F85"/>
    <w:multiLevelType w:val="multilevel"/>
    <w:tmpl w:val="ABAE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E931301"/>
    <w:multiLevelType w:val="multilevel"/>
    <w:tmpl w:val="A634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ECA52CA"/>
    <w:multiLevelType w:val="multilevel"/>
    <w:tmpl w:val="A922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7FA4000D"/>
    <w:multiLevelType w:val="multilevel"/>
    <w:tmpl w:val="43A2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95791175">
    <w:abstractNumId w:val="0"/>
  </w:num>
  <w:num w:numId="2" w16cid:durableId="1820225389">
    <w:abstractNumId w:val="1"/>
  </w:num>
  <w:num w:numId="3" w16cid:durableId="1078938381">
    <w:abstractNumId w:val="1"/>
  </w:num>
  <w:num w:numId="4" w16cid:durableId="691884463">
    <w:abstractNumId w:val="1"/>
  </w:num>
  <w:num w:numId="5" w16cid:durableId="1068573265">
    <w:abstractNumId w:val="159"/>
  </w:num>
  <w:num w:numId="6" w16cid:durableId="1616406469">
    <w:abstractNumId w:val="158"/>
  </w:num>
  <w:num w:numId="7" w16cid:durableId="1918325348">
    <w:abstractNumId w:val="144"/>
  </w:num>
  <w:num w:numId="8" w16cid:durableId="734352718">
    <w:abstractNumId w:val="247"/>
  </w:num>
  <w:num w:numId="9" w16cid:durableId="741683379">
    <w:abstractNumId w:val="178"/>
  </w:num>
  <w:num w:numId="10" w16cid:durableId="955253607">
    <w:abstractNumId w:val="248"/>
  </w:num>
  <w:num w:numId="11" w16cid:durableId="440927492">
    <w:abstractNumId w:val="114"/>
  </w:num>
  <w:num w:numId="12" w16cid:durableId="389230521">
    <w:abstractNumId w:val="84"/>
  </w:num>
  <w:num w:numId="13" w16cid:durableId="731317109">
    <w:abstractNumId w:val="66"/>
  </w:num>
  <w:num w:numId="14" w16cid:durableId="1904096494">
    <w:abstractNumId w:val="164"/>
  </w:num>
  <w:num w:numId="15" w16cid:durableId="45641583">
    <w:abstractNumId w:val="184"/>
  </w:num>
  <w:num w:numId="16" w16cid:durableId="292060337">
    <w:abstractNumId w:val="152"/>
  </w:num>
  <w:num w:numId="17" w16cid:durableId="722632205">
    <w:abstractNumId w:val="191"/>
  </w:num>
  <w:num w:numId="18" w16cid:durableId="1890803276">
    <w:abstractNumId w:val="20"/>
  </w:num>
  <w:num w:numId="19" w16cid:durableId="1545556561">
    <w:abstractNumId w:val="169"/>
  </w:num>
  <w:num w:numId="20" w16cid:durableId="1644120850">
    <w:abstractNumId w:val="86"/>
  </w:num>
  <w:num w:numId="21" w16cid:durableId="1886260754">
    <w:abstractNumId w:val="145"/>
  </w:num>
  <w:num w:numId="22" w16cid:durableId="2028824723">
    <w:abstractNumId w:val="7"/>
  </w:num>
  <w:num w:numId="23" w16cid:durableId="1220901845">
    <w:abstractNumId w:val="98"/>
  </w:num>
  <w:num w:numId="24" w16cid:durableId="1271663883">
    <w:abstractNumId w:val="214"/>
  </w:num>
  <w:num w:numId="25" w16cid:durableId="1609315475">
    <w:abstractNumId w:val="43"/>
  </w:num>
  <w:num w:numId="26" w16cid:durableId="1177159086">
    <w:abstractNumId w:val="57"/>
  </w:num>
  <w:num w:numId="27" w16cid:durableId="1850754714">
    <w:abstractNumId w:val="48"/>
  </w:num>
  <w:num w:numId="28" w16cid:durableId="227809425">
    <w:abstractNumId w:val="123"/>
  </w:num>
  <w:num w:numId="29" w16cid:durableId="1760565750">
    <w:abstractNumId w:val="62"/>
  </w:num>
  <w:num w:numId="30" w16cid:durableId="493617579">
    <w:abstractNumId w:val="77"/>
  </w:num>
  <w:num w:numId="31" w16cid:durableId="1156452480">
    <w:abstractNumId w:val="70"/>
  </w:num>
  <w:num w:numId="32" w16cid:durableId="1648507944">
    <w:abstractNumId w:val="103"/>
  </w:num>
  <w:num w:numId="33" w16cid:durableId="1450006527">
    <w:abstractNumId w:val="45"/>
  </w:num>
  <w:num w:numId="34" w16cid:durableId="1094279988">
    <w:abstractNumId w:val="40"/>
  </w:num>
  <w:num w:numId="35" w16cid:durableId="907954499">
    <w:abstractNumId w:val="64"/>
  </w:num>
  <w:num w:numId="36" w16cid:durableId="569925872">
    <w:abstractNumId w:val="149"/>
  </w:num>
  <w:num w:numId="37" w16cid:durableId="1977250100">
    <w:abstractNumId w:val="109"/>
  </w:num>
  <w:num w:numId="38" w16cid:durableId="180558486">
    <w:abstractNumId w:val="117"/>
  </w:num>
  <w:num w:numId="39" w16cid:durableId="1672178634">
    <w:abstractNumId w:val="56"/>
  </w:num>
  <w:num w:numId="40" w16cid:durableId="707032211">
    <w:abstractNumId w:val="242"/>
  </w:num>
  <w:num w:numId="41" w16cid:durableId="1292249203">
    <w:abstractNumId w:val="194"/>
  </w:num>
  <w:num w:numId="42" w16cid:durableId="1407612380">
    <w:abstractNumId w:val="238"/>
  </w:num>
  <w:num w:numId="43" w16cid:durableId="1267075886">
    <w:abstractNumId w:val="156"/>
  </w:num>
  <w:num w:numId="44" w16cid:durableId="365447925">
    <w:abstractNumId w:val="51"/>
  </w:num>
  <w:num w:numId="45" w16cid:durableId="1417362587">
    <w:abstractNumId w:val="189"/>
  </w:num>
  <w:num w:numId="46" w16cid:durableId="210925136">
    <w:abstractNumId w:val="211"/>
  </w:num>
  <w:num w:numId="47" w16cid:durableId="115370238">
    <w:abstractNumId w:val="68"/>
  </w:num>
  <w:num w:numId="48" w16cid:durableId="1855878750">
    <w:abstractNumId w:val="97"/>
  </w:num>
  <w:num w:numId="49" w16cid:durableId="76484429">
    <w:abstractNumId w:val="176"/>
  </w:num>
  <w:num w:numId="50" w16cid:durableId="283081906">
    <w:abstractNumId w:val="127"/>
  </w:num>
  <w:num w:numId="51" w16cid:durableId="1297832208">
    <w:abstractNumId w:val="78"/>
  </w:num>
  <w:num w:numId="52" w16cid:durableId="2061319590">
    <w:abstractNumId w:val="46"/>
  </w:num>
  <w:num w:numId="53" w16cid:durableId="1183083142">
    <w:abstractNumId w:val="196"/>
  </w:num>
  <w:num w:numId="54" w16cid:durableId="1089499716">
    <w:abstractNumId w:val="183"/>
  </w:num>
  <w:num w:numId="55" w16cid:durableId="442698094">
    <w:abstractNumId w:val="221"/>
  </w:num>
  <w:num w:numId="56" w16cid:durableId="774132699">
    <w:abstractNumId w:val="23"/>
  </w:num>
  <w:num w:numId="57" w16cid:durableId="550579796">
    <w:abstractNumId w:val="116"/>
  </w:num>
  <w:num w:numId="58" w16cid:durableId="1560484059">
    <w:abstractNumId w:val="58"/>
  </w:num>
  <w:num w:numId="59" w16cid:durableId="1666931164">
    <w:abstractNumId w:val="115"/>
  </w:num>
  <w:num w:numId="60" w16cid:durableId="1740902412">
    <w:abstractNumId w:val="80"/>
  </w:num>
  <w:num w:numId="61" w16cid:durableId="1308433604">
    <w:abstractNumId w:val="197"/>
  </w:num>
  <w:num w:numId="62" w16cid:durableId="627782139">
    <w:abstractNumId w:val="126"/>
  </w:num>
  <w:num w:numId="63" w16cid:durableId="1335452069">
    <w:abstractNumId w:val="47"/>
  </w:num>
  <w:num w:numId="64" w16cid:durableId="1487475809">
    <w:abstractNumId w:val="128"/>
  </w:num>
  <w:num w:numId="65" w16cid:durableId="1064525479">
    <w:abstractNumId w:val="243"/>
  </w:num>
  <w:num w:numId="66" w16cid:durableId="729957680">
    <w:abstractNumId w:val="228"/>
  </w:num>
  <w:num w:numId="67" w16cid:durableId="1325819900">
    <w:abstractNumId w:val="15"/>
  </w:num>
  <w:num w:numId="68" w16cid:durableId="532114601">
    <w:abstractNumId w:val="234"/>
  </w:num>
  <w:num w:numId="69" w16cid:durableId="1100367966">
    <w:abstractNumId w:val="181"/>
  </w:num>
  <w:num w:numId="70" w16cid:durableId="1770272290">
    <w:abstractNumId w:val="25"/>
  </w:num>
  <w:num w:numId="71" w16cid:durableId="505947302">
    <w:abstractNumId w:val="204"/>
  </w:num>
  <w:num w:numId="72" w16cid:durableId="671762434">
    <w:abstractNumId w:val="118"/>
  </w:num>
  <w:num w:numId="73" w16cid:durableId="1613516464">
    <w:abstractNumId w:val="154"/>
  </w:num>
  <w:num w:numId="74" w16cid:durableId="582839124">
    <w:abstractNumId w:val="227"/>
  </w:num>
  <w:num w:numId="75" w16cid:durableId="481317344">
    <w:abstractNumId w:val="170"/>
  </w:num>
  <w:num w:numId="76" w16cid:durableId="1175804195">
    <w:abstractNumId w:val="135"/>
  </w:num>
  <w:num w:numId="77" w16cid:durableId="117072189">
    <w:abstractNumId w:val="155"/>
  </w:num>
  <w:num w:numId="78" w16cid:durableId="445543240">
    <w:abstractNumId w:val="131"/>
  </w:num>
  <w:num w:numId="79" w16cid:durableId="629290158">
    <w:abstractNumId w:val="195"/>
  </w:num>
  <w:num w:numId="80" w16cid:durableId="342705062">
    <w:abstractNumId w:val="102"/>
  </w:num>
  <w:num w:numId="81" w16cid:durableId="2083022257">
    <w:abstractNumId w:val="16"/>
  </w:num>
  <w:num w:numId="82" w16cid:durableId="1787432821">
    <w:abstractNumId w:val="14"/>
  </w:num>
  <w:num w:numId="83" w16cid:durableId="1443300799">
    <w:abstractNumId w:val="138"/>
  </w:num>
  <w:num w:numId="84" w16cid:durableId="192424208">
    <w:abstractNumId w:val="75"/>
  </w:num>
  <w:num w:numId="85" w16cid:durableId="1622762663">
    <w:abstractNumId w:val="148"/>
  </w:num>
  <w:num w:numId="86" w16cid:durableId="443427172">
    <w:abstractNumId w:val="67"/>
  </w:num>
  <w:num w:numId="87" w16cid:durableId="919800367">
    <w:abstractNumId w:val="101"/>
  </w:num>
  <w:num w:numId="88" w16cid:durableId="240725852">
    <w:abstractNumId w:val="173"/>
  </w:num>
  <w:num w:numId="89" w16cid:durableId="733428358">
    <w:abstractNumId w:val="38"/>
  </w:num>
  <w:num w:numId="90" w16cid:durableId="320696475">
    <w:abstractNumId w:val="208"/>
  </w:num>
  <w:num w:numId="91" w16cid:durableId="785734192">
    <w:abstractNumId w:val="166"/>
  </w:num>
  <w:num w:numId="92" w16cid:durableId="1883403003">
    <w:abstractNumId w:val="63"/>
  </w:num>
  <w:num w:numId="93" w16cid:durableId="235944179">
    <w:abstractNumId w:val="44"/>
  </w:num>
  <w:num w:numId="94" w16cid:durableId="476917025">
    <w:abstractNumId w:val="28"/>
  </w:num>
  <w:num w:numId="95" w16cid:durableId="1156996698">
    <w:abstractNumId w:val="9"/>
  </w:num>
  <w:num w:numId="96" w16cid:durableId="1895042034">
    <w:abstractNumId w:val="231"/>
  </w:num>
  <w:num w:numId="97" w16cid:durableId="1609661374">
    <w:abstractNumId w:val="18"/>
  </w:num>
  <w:num w:numId="98" w16cid:durableId="338847868">
    <w:abstractNumId w:val="220"/>
  </w:num>
  <w:num w:numId="99" w16cid:durableId="2059165926">
    <w:abstractNumId w:val="139"/>
  </w:num>
  <w:num w:numId="100" w16cid:durableId="1163661166">
    <w:abstractNumId w:val="83"/>
  </w:num>
  <w:num w:numId="101" w16cid:durableId="701788918">
    <w:abstractNumId w:val="93"/>
  </w:num>
  <w:num w:numId="102" w16cid:durableId="1264536193">
    <w:abstractNumId w:val="200"/>
  </w:num>
  <w:num w:numId="103" w16cid:durableId="1062555334">
    <w:abstractNumId w:val="5"/>
  </w:num>
  <w:num w:numId="104" w16cid:durableId="283655631">
    <w:abstractNumId w:val="140"/>
  </w:num>
  <w:num w:numId="105" w16cid:durableId="732197246">
    <w:abstractNumId w:val="235"/>
  </w:num>
  <w:num w:numId="106" w16cid:durableId="882715277">
    <w:abstractNumId w:val="153"/>
  </w:num>
  <w:num w:numId="107" w16cid:durableId="903376069">
    <w:abstractNumId w:val="73"/>
  </w:num>
  <w:num w:numId="108" w16cid:durableId="221136568">
    <w:abstractNumId w:val="50"/>
  </w:num>
  <w:num w:numId="109" w16cid:durableId="1800025095">
    <w:abstractNumId w:val="111"/>
  </w:num>
  <w:num w:numId="110" w16cid:durableId="549388528">
    <w:abstractNumId w:val="147"/>
  </w:num>
  <w:num w:numId="111" w16cid:durableId="10885336">
    <w:abstractNumId w:val="122"/>
  </w:num>
  <w:num w:numId="112" w16cid:durableId="232814475">
    <w:abstractNumId w:val="112"/>
  </w:num>
  <w:num w:numId="113" w16cid:durableId="988359003">
    <w:abstractNumId w:val="172"/>
  </w:num>
  <w:num w:numId="114" w16cid:durableId="1283338560">
    <w:abstractNumId w:val="125"/>
  </w:num>
  <w:num w:numId="115" w16cid:durableId="1677608451">
    <w:abstractNumId w:val="88"/>
  </w:num>
  <w:num w:numId="116" w16cid:durableId="1754278764">
    <w:abstractNumId w:val="52"/>
  </w:num>
  <w:num w:numId="117" w16cid:durableId="1729574880">
    <w:abstractNumId w:val="244"/>
  </w:num>
  <w:num w:numId="118" w16cid:durableId="1831098757">
    <w:abstractNumId w:val="132"/>
  </w:num>
  <w:num w:numId="119" w16cid:durableId="1773670961">
    <w:abstractNumId w:val="60"/>
  </w:num>
  <w:num w:numId="120" w16cid:durableId="1495759060">
    <w:abstractNumId w:val="10"/>
  </w:num>
  <w:num w:numId="121" w16cid:durableId="1606964254">
    <w:abstractNumId w:val="85"/>
  </w:num>
  <w:num w:numId="122" w16cid:durableId="1956594501">
    <w:abstractNumId w:val="129"/>
  </w:num>
  <w:num w:numId="123" w16cid:durableId="1195539395">
    <w:abstractNumId w:val="209"/>
  </w:num>
  <w:num w:numId="124" w16cid:durableId="1342389142">
    <w:abstractNumId w:val="161"/>
  </w:num>
  <w:num w:numId="125" w16cid:durableId="1164472567">
    <w:abstractNumId w:val="96"/>
  </w:num>
  <w:num w:numId="126" w16cid:durableId="1785731971">
    <w:abstractNumId w:val="11"/>
  </w:num>
  <w:num w:numId="127" w16cid:durableId="1331982171">
    <w:abstractNumId w:val="76"/>
  </w:num>
  <w:num w:numId="128" w16cid:durableId="1187060097">
    <w:abstractNumId w:val="168"/>
  </w:num>
  <w:num w:numId="129" w16cid:durableId="1257203817">
    <w:abstractNumId w:val="36"/>
  </w:num>
  <w:num w:numId="130" w16cid:durableId="204559262">
    <w:abstractNumId w:val="151"/>
  </w:num>
  <w:num w:numId="131" w16cid:durableId="771434466">
    <w:abstractNumId w:val="26"/>
  </w:num>
  <w:num w:numId="132" w16cid:durableId="2021007941">
    <w:abstractNumId w:val="167"/>
  </w:num>
  <w:num w:numId="133" w16cid:durableId="124125799">
    <w:abstractNumId w:val="199"/>
  </w:num>
  <w:num w:numId="134" w16cid:durableId="1761170324">
    <w:abstractNumId w:val="192"/>
  </w:num>
  <w:num w:numId="135" w16cid:durableId="2051218931">
    <w:abstractNumId w:val="106"/>
  </w:num>
  <w:num w:numId="136" w16cid:durableId="130441074">
    <w:abstractNumId w:val="61"/>
  </w:num>
  <w:num w:numId="137" w16cid:durableId="1929268718">
    <w:abstractNumId w:val="202"/>
  </w:num>
  <w:num w:numId="138" w16cid:durableId="206722144">
    <w:abstractNumId w:val="237"/>
  </w:num>
  <w:num w:numId="139" w16cid:durableId="1653833697">
    <w:abstractNumId w:val="4"/>
  </w:num>
  <w:num w:numId="140" w16cid:durableId="1513642158">
    <w:abstractNumId w:val="95"/>
  </w:num>
  <w:num w:numId="141" w16cid:durableId="1845168696">
    <w:abstractNumId w:val="190"/>
  </w:num>
  <w:num w:numId="142" w16cid:durableId="1987935061">
    <w:abstractNumId w:val="113"/>
  </w:num>
  <w:num w:numId="143" w16cid:durableId="1876696110">
    <w:abstractNumId w:val="157"/>
  </w:num>
  <w:num w:numId="144" w16cid:durableId="493490227">
    <w:abstractNumId w:val="124"/>
  </w:num>
  <w:num w:numId="145" w16cid:durableId="385878792">
    <w:abstractNumId w:val="54"/>
  </w:num>
  <w:num w:numId="146" w16cid:durableId="529342397">
    <w:abstractNumId w:val="201"/>
  </w:num>
  <w:num w:numId="147" w16cid:durableId="1290091202">
    <w:abstractNumId w:val="193"/>
  </w:num>
  <w:num w:numId="148" w16cid:durableId="928123616">
    <w:abstractNumId w:val="224"/>
  </w:num>
  <w:num w:numId="149" w16cid:durableId="1240212070">
    <w:abstractNumId w:val="188"/>
  </w:num>
  <w:num w:numId="150" w16cid:durableId="528303221">
    <w:abstractNumId w:val="37"/>
  </w:num>
  <w:num w:numId="151" w16cid:durableId="1862165592">
    <w:abstractNumId w:val="31"/>
  </w:num>
  <w:num w:numId="152" w16cid:durableId="1379208884">
    <w:abstractNumId w:val="146"/>
  </w:num>
  <w:num w:numId="153" w16cid:durableId="485904930">
    <w:abstractNumId w:val="171"/>
  </w:num>
  <w:num w:numId="154" w16cid:durableId="2036494738">
    <w:abstractNumId w:val="87"/>
  </w:num>
  <w:num w:numId="155" w16cid:durableId="506022744">
    <w:abstractNumId w:val="141"/>
  </w:num>
  <w:num w:numId="156" w16cid:durableId="1669289580">
    <w:abstractNumId w:val="82"/>
  </w:num>
  <w:num w:numId="157" w16cid:durableId="1026904694">
    <w:abstractNumId w:val="92"/>
  </w:num>
  <w:num w:numId="158" w16cid:durableId="1713068638">
    <w:abstractNumId w:val="163"/>
  </w:num>
  <w:num w:numId="159" w16cid:durableId="1678651837">
    <w:abstractNumId w:val="215"/>
  </w:num>
  <w:num w:numId="160" w16cid:durableId="489836473">
    <w:abstractNumId w:val="174"/>
  </w:num>
  <w:num w:numId="161" w16cid:durableId="904493542">
    <w:abstractNumId w:val="133"/>
  </w:num>
  <w:num w:numId="162" w16cid:durableId="225455511">
    <w:abstractNumId w:val="150"/>
  </w:num>
  <w:num w:numId="163" w16cid:durableId="1720980304">
    <w:abstractNumId w:val="137"/>
  </w:num>
  <w:num w:numId="164" w16cid:durableId="1725911434">
    <w:abstractNumId w:val="24"/>
  </w:num>
  <w:num w:numId="165" w16cid:durableId="1223641181">
    <w:abstractNumId w:val="177"/>
  </w:num>
  <w:num w:numId="166" w16cid:durableId="2050370999">
    <w:abstractNumId w:val="216"/>
  </w:num>
  <w:num w:numId="167" w16cid:durableId="149641969">
    <w:abstractNumId w:val="241"/>
  </w:num>
  <w:num w:numId="168" w16cid:durableId="1385907234">
    <w:abstractNumId w:val="74"/>
  </w:num>
  <w:num w:numId="169" w16cid:durableId="113133936">
    <w:abstractNumId w:val="207"/>
  </w:num>
  <w:num w:numId="170" w16cid:durableId="715081079">
    <w:abstractNumId w:val="8"/>
  </w:num>
  <w:num w:numId="171" w16cid:durableId="634795511">
    <w:abstractNumId w:val="91"/>
  </w:num>
  <w:num w:numId="172" w16cid:durableId="1722707728">
    <w:abstractNumId w:val="32"/>
  </w:num>
  <w:num w:numId="173" w16cid:durableId="1043868559">
    <w:abstractNumId w:val="17"/>
  </w:num>
  <w:num w:numId="174" w16cid:durableId="2133594031">
    <w:abstractNumId w:val="143"/>
  </w:num>
  <w:num w:numId="175" w16cid:durableId="298195791">
    <w:abstractNumId w:val="210"/>
  </w:num>
  <w:num w:numId="176" w16cid:durableId="1928029000">
    <w:abstractNumId w:val="179"/>
  </w:num>
  <w:num w:numId="177" w16cid:durableId="184443043">
    <w:abstractNumId w:val="6"/>
  </w:num>
  <w:num w:numId="178" w16cid:durableId="39323140">
    <w:abstractNumId w:val="29"/>
  </w:num>
  <w:num w:numId="179" w16cid:durableId="1824269895">
    <w:abstractNumId w:val="239"/>
  </w:num>
  <w:num w:numId="180" w16cid:durableId="2023582638">
    <w:abstractNumId w:val="99"/>
  </w:num>
  <w:num w:numId="181" w16cid:durableId="1752656709">
    <w:abstractNumId w:val="180"/>
  </w:num>
  <w:num w:numId="182" w16cid:durableId="1064986556">
    <w:abstractNumId w:val="59"/>
  </w:num>
  <w:num w:numId="183" w16cid:durableId="1589776391">
    <w:abstractNumId w:val="222"/>
  </w:num>
  <w:num w:numId="184" w16cid:durableId="1975210619">
    <w:abstractNumId w:val="53"/>
  </w:num>
  <w:num w:numId="185" w16cid:durableId="1269200240">
    <w:abstractNumId w:val="42"/>
  </w:num>
  <w:num w:numId="186" w16cid:durableId="395201489">
    <w:abstractNumId w:val="89"/>
  </w:num>
  <w:num w:numId="187" w16cid:durableId="2052919632">
    <w:abstractNumId w:val="162"/>
  </w:num>
  <w:num w:numId="188" w16cid:durableId="260534273">
    <w:abstractNumId w:val="206"/>
  </w:num>
  <w:num w:numId="189" w16cid:durableId="313989161">
    <w:abstractNumId w:val="104"/>
  </w:num>
  <w:num w:numId="190" w16cid:durableId="817308127">
    <w:abstractNumId w:val="49"/>
  </w:num>
  <w:num w:numId="191" w16cid:durableId="1399085538">
    <w:abstractNumId w:val="90"/>
  </w:num>
  <w:num w:numId="192" w16cid:durableId="2094424073">
    <w:abstractNumId w:val="218"/>
  </w:num>
  <w:num w:numId="193" w16cid:durableId="852842662">
    <w:abstractNumId w:val="232"/>
  </w:num>
  <w:num w:numId="194" w16cid:durableId="1386683334">
    <w:abstractNumId w:val="182"/>
  </w:num>
  <w:num w:numId="195" w16cid:durableId="532426844">
    <w:abstractNumId w:val="136"/>
  </w:num>
  <w:num w:numId="196" w16cid:durableId="1574505667">
    <w:abstractNumId w:val="19"/>
  </w:num>
  <w:num w:numId="197" w16cid:durableId="1041395753">
    <w:abstractNumId w:val="165"/>
  </w:num>
  <w:num w:numId="198" w16cid:durableId="1835340016">
    <w:abstractNumId w:val="100"/>
  </w:num>
  <w:num w:numId="199" w16cid:durableId="1319530983">
    <w:abstractNumId w:val="33"/>
  </w:num>
  <w:num w:numId="200" w16cid:durableId="790516120">
    <w:abstractNumId w:val="213"/>
  </w:num>
  <w:num w:numId="201" w16cid:durableId="1687443730">
    <w:abstractNumId w:val="21"/>
  </w:num>
  <w:num w:numId="202" w16cid:durableId="1946695459">
    <w:abstractNumId w:val="186"/>
  </w:num>
  <w:num w:numId="203" w16cid:durableId="1957565721">
    <w:abstractNumId w:val="130"/>
  </w:num>
  <w:num w:numId="204" w16cid:durableId="1085417626">
    <w:abstractNumId w:val="41"/>
  </w:num>
  <w:num w:numId="205" w16cid:durableId="2040692372">
    <w:abstractNumId w:val="175"/>
  </w:num>
  <w:num w:numId="206" w16cid:durableId="22751980">
    <w:abstractNumId w:val="160"/>
  </w:num>
  <w:num w:numId="207" w16cid:durableId="875042773">
    <w:abstractNumId w:val="212"/>
  </w:num>
  <w:num w:numId="208" w16cid:durableId="629047290">
    <w:abstractNumId w:val="236"/>
  </w:num>
  <w:num w:numId="209" w16cid:durableId="2128507097">
    <w:abstractNumId w:val="3"/>
  </w:num>
  <w:num w:numId="210" w16cid:durableId="1789012037">
    <w:abstractNumId w:val="229"/>
  </w:num>
  <w:num w:numId="211" w16cid:durableId="2033721768">
    <w:abstractNumId w:val="55"/>
  </w:num>
  <w:num w:numId="212" w16cid:durableId="1459446296">
    <w:abstractNumId w:val="185"/>
  </w:num>
  <w:num w:numId="213" w16cid:durableId="1153643206">
    <w:abstractNumId w:val="246"/>
  </w:num>
  <w:num w:numId="214" w16cid:durableId="1995138354">
    <w:abstractNumId w:val="30"/>
  </w:num>
  <w:num w:numId="215" w16cid:durableId="1657106213">
    <w:abstractNumId w:val="2"/>
  </w:num>
  <w:num w:numId="216" w16cid:durableId="1870799862">
    <w:abstractNumId w:val="81"/>
  </w:num>
  <w:num w:numId="217" w16cid:durableId="439958631">
    <w:abstractNumId w:val="203"/>
  </w:num>
  <w:num w:numId="218" w16cid:durableId="568228215">
    <w:abstractNumId w:val="217"/>
  </w:num>
  <w:num w:numId="219" w16cid:durableId="738332283">
    <w:abstractNumId w:val="94"/>
  </w:num>
  <w:num w:numId="220" w16cid:durableId="2136633271">
    <w:abstractNumId w:val="120"/>
  </w:num>
  <w:num w:numId="221" w16cid:durableId="1959333825">
    <w:abstractNumId w:val="65"/>
  </w:num>
  <w:num w:numId="222" w16cid:durableId="2115513471">
    <w:abstractNumId w:val="72"/>
  </w:num>
  <w:num w:numId="223" w16cid:durableId="343020648">
    <w:abstractNumId w:val="240"/>
  </w:num>
  <w:num w:numId="224" w16cid:durableId="2139911056">
    <w:abstractNumId w:val="245"/>
  </w:num>
  <w:num w:numId="225" w16cid:durableId="473761356">
    <w:abstractNumId w:val="79"/>
  </w:num>
  <w:num w:numId="226" w16cid:durableId="1203716046">
    <w:abstractNumId w:val="108"/>
  </w:num>
  <w:num w:numId="227" w16cid:durableId="1722821363">
    <w:abstractNumId w:val="12"/>
  </w:num>
  <w:num w:numId="228" w16cid:durableId="736394599">
    <w:abstractNumId w:val="198"/>
  </w:num>
  <w:num w:numId="229" w16cid:durableId="1483427305">
    <w:abstractNumId w:val="107"/>
  </w:num>
  <w:num w:numId="230" w16cid:durableId="2064062794">
    <w:abstractNumId w:val="121"/>
  </w:num>
  <w:num w:numId="231" w16cid:durableId="535504722">
    <w:abstractNumId w:val="205"/>
  </w:num>
  <w:num w:numId="232" w16cid:durableId="1371373083">
    <w:abstractNumId w:val="105"/>
  </w:num>
  <w:num w:numId="233" w16cid:durableId="179124442">
    <w:abstractNumId w:val="110"/>
  </w:num>
  <w:num w:numId="234" w16cid:durableId="1713847517">
    <w:abstractNumId w:val="142"/>
  </w:num>
  <w:num w:numId="235" w16cid:durableId="117263031">
    <w:abstractNumId w:val="69"/>
  </w:num>
  <w:num w:numId="236" w16cid:durableId="720130306">
    <w:abstractNumId w:val="39"/>
  </w:num>
  <w:num w:numId="237" w16cid:durableId="1781798031">
    <w:abstractNumId w:val="225"/>
  </w:num>
  <w:num w:numId="238" w16cid:durableId="1979995982">
    <w:abstractNumId w:val="223"/>
  </w:num>
  <w:num w:numId="239" w16cid:durableId="1985498368">
    <w:abstractNumId w:val="34"/>
  </w:num>
  <w:num w:numId="240" w16cid:durableId="1558666950">
    <w:abstractNumId w:val="13"/>
  </w:num>
  <w:num w:numId="241" w16cid:durableId="744884914">
    <w:abstractNumId w:val="35"/>
  </w:num>
  <w:num w:numId="242" w16cid:durableId="99187716">
    <w:abstractNumId w:val="219"/>
  </w:num>
  <w:num w:numId="243" w16cid:durableId="1742217320">
    <w:abstractNumId w:val="226"/>
  </w:num>
  <w:num w:numId="244" w16cid:durableId="334919806">
    <w:abstractNumId w:val="230"/>
  </w:num>
  <w:num w:numId="245" w16cid:durableId="137383064">
    <w:abstractNumId w:val="187"/>
  </w:num>
  <w:num w:numId="246" w16cid:durableId="1580095259">
    <w:abstractNumId w:val="134"/>
  </w:num>
  <w:num w:numId="247" w16cid:durableId="94400700">
    <w:abstractNumId w:val="233"/>
  </w:num>
  <w:num w:numId="248" w16cid:durableId="1503470445">
    <w:abstractNumId w:val="71"/>
  </w:num>
  <w:num w:numId="249" w16cid:durableId="224923028">
    <w:abstractNumId w:val="119"/>
  </w:num>
  <w:num w:numId="250" w16cid:durableId="10648500">
    <w:abstractNumId w:val="22"/>
  </w:num>
  <w:num w:numId="251" w16cid:durableId="204066007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36EB7"/>
    <w:rsid w:val="004C6EE1"/>
    <w:rsid w:val="006854E9"/>
    <w:rsid w:val="0074610B"/>
    <w:rsid w:val="00905D9E"/>
    <w:rsid w:val="00B36EB7"/>
    <w:rsid w:val="00C10144"/>
    <w:rsid w:val="00F77A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B1C696"/>
  <w15:docId w15:val="{3524DD36-839F-494A-84D6-E05F745C4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Normal (Web)"/>
    <w:basedOn w:val="a"/>
    <w:rsid w:val="00905D9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rules.hkex.com.hk/rulebook/1107-0?utm_source=chatgpt.com" TargetMode="External"/><Relationship Id="rId21" Type="http://schemas.openxmlformats.org/officeDocument/2006/relationships/hyperlink" Target="https://en-rules.hkex.com.hk/rulebook/1116-0?utm_source=chatgpt.com" TargetMode="External"/><Relationship Id="rId42" Type="http://schemas.openxmlformats.org/officeDocument/2006/relationships/hyperlink" Target="https://en-rules.hkex.com.hk/rulebook/1120-0?utm_source=chatgpt.com" TargetMode="External"/><Relationship Id="rId63" Type="http://schemas.openxmlformats.org/officeDocument/2006/relationships/hyperlink" Target="https://www.hkex.com.hk/-/media/HKEX-Market/Listing/Rules-and-Guidance/Other-Resources/New-Applicants/Listing-Document-Simplification-Guide/Guide-on-Producing-Simplified-Listing-Documents/gl8616.pdf?utm_source=chatgpt.com" TargetMode="External"/><Relationship Id="rId84" Type="http://schemas.openxmlformats.org/officeDocument/2006/relationships/hyperlink" Target="https://www.hkex.com.hk/-/media/HKEX-Market/Listing/Rules-and-Guidance/Other-Resources/New-Applicants/Listing-Document-Simplification-Guide/Guide-on-Producing-Simplified-Listing-Documents/gl8616.pdf?utm_source=chatgpt.com" TargetMode="External"/><Relationship Id="rId138" Type="http://schemas.openxmlformats.org/officeDocument/2006/relationships/hyperlink" Target="https://www.hkex.com.hk/-/media/HKEX-Market/Listing/Rules-and-Guidance/Archive/Guidance-Letters/GL98_18.pdf?utm_source=chatgpt.com" TargetMode="External"/><Relationship Id="rId159" Type="http://schemas.openxmlformats.org/officeDocument/2006/relationships/hyperlink" Target="https://hkexen.thomsonreuters.com/entiresection/6063?utm_source=chatgpt.com" TargetMode="External"/><Relationship Id="rId107" Type="http://schemas.openxmlformats.org/officeDocument/2006/relationships/hyperlink" Target="https://www.hkex.com.hk/-/media/HKEX-Market/Listing/Rules-and-Guidance/Other-Resources/New-Applicants/Listing-Document-Simplification-Guide/Guide-on-Producing-Simplified-Listing-Documents/gl8616.pdf?utm_source=chatgpt.com" TargetMode="External"/><Relationship Id="rId11" Type="http://schemas.openxmlformats.org/officeDocument/2006/relationships/hyperlink" Target="https://en-rules.hkex.com.hk/rulebook/1107-0?utm_source=chatgpt.com" TargetMode="External"/><Relationship Id="rId32" Type="http://schemas.openxmlformats.org/officeDocument/2006/relationships/hyperlink" Target="https://en-rules.hkex.com.hk/entiresection/1933?utm_source=chatgpt.com" TargetMode="External"/><Relationship Id="rId53" Type="http://schemas.openxmlformats.org/officeDocument/2006/relationships/hyperlink" Target="https://www.hkex.com.hk/-/media/HKEX-Market/Listing/Rules-and-Guidance/Interpretation-and-Guidance/Guide-for-New-Listing-Applicants/chapter_3_7.pdf?utm_source=chatgpt.com" TargetMode="External"/><Relationship Id="rId74" Type="http://schemas.openxmlformats.org/officeDocument/2006/relationships/hyperlink" Target="https://www.hkex.com.hk/-/media/HKEX-Market/Listing/Rules-and-Guidance/Interpretation-and-Guidance/Guide-for-New-Listing-Applicants/Guide_for_New_Listing_Applicants_%28clean%29.pdf?utm_source=chatgpt.com" TargetMode="External"/><Relationship Id="rId128" Type="http://schemas.openxmlformats.org/officeDocument/2006/relationships/hyperlink" Target="https://www.hkex.com.hk/Listing/Rules-and-Resources/Guidance/IPO/Listing-of-Specialist-Technology-Companies?utm_source=chatgpt.com" TargetMode="External"/><Relationship Id="rId149" Type="http://schemas.openxmlformats.org/officeDocument/2006/relationships/hyperlink" Target="https://en-rules.hkex.com.hk/sites/default/files/net_file_store/gl115-23.pdf?utm_source=chatgpt.com" TargetMode="External"/><Relationship Id="rId5" Type="http://schemas.openxmlformats.org/officeDocument/2006/relationships/hyperlink" Target="https://www.hkex.com.hk/-/media/HKEX-Market/Listing/Rules-and-Guidance/Other-Resources/New-Applicants/Listing-Document-Simplification-Guide/Guide-on-Producing-Simplified-Listing-Documents/gl8616.pdf?utm_source=chatgpt.com" TargetMode="External"/><Relationship Id="rId95" Type="http://schemas.openxmlformats.org/officeDocument/2006/relationships/hyperlink" Target="https://en-rules.hkex.com.hk/rulebook/8a37?utm_source=chatgpt.com" TargetMode="External"/><Relationship Id="rId160" Type="http://schemas.openxmlformats.org/officeDocument/2006/relationships/hyperlink" Target="https://hkexen.thomsonreuters.com/entiresection/6063?utm_source=chatgpt.com" TargetMode="External"/><Relationship Id="rId22" Type="http://schemas.openxmlformats.org/officeDocument/2006/relationships/hyperlink" Target="https://en-rules.hkex.com.hk/rulebook/1120-0?utm_source=chatgpt.com" TargetMode="External"/><Relationship Id="rId43" Type="http://schemas.openxmlformats.org/officeDocument/2006/relationships/hyperlink" Target="https://en-rules.hkex.com.hk/rulebook/8a37?utm_source=chatgpt.com" TargetMode="External"/><Relationship Id="rId64" Type="http://schemas.openxmlformats.org/officeDocument/2006/relationships/hyperlink" Target="https://www.hkex.com.hk/-/media/HKEX-Market/Listing/Rules-and-Guidance/Interpretation-and-Guidance/Guide-for-New-Listing-Applicants/Guide_for_New_Listing_Applicants_%28clean%29.pdf?utm_source=chatgpt.com" TargetMode="External"/><Relationship Id="rId118" Type="http://schemas.openxmlformats.org/officeDocument/2006/relationships/hyperlink" Target="https://en-rules.hkex.com.hk/rulebook/1107-0?utm_source=chatgpt.com" TargetMode="External"/><Relationship Id="rId139" Type="http://schemas.openxmlformats.org/officeDocument/2006/relationships/hyperlink" Target="https://www.hkex.com.hk/-/media/HKEX-Market/Listing/Rules-and-Guidance/Interpretation-and-Guidance/Guide-for-New-Listing-Applicants/chapter_2_5.pdf?utm_source=chatgpt.com" TargetMode="External"/><Relationship Id="rId85" Type="http://schemas.openxmlformats.org/officeDocument/2006/relationships/hyperlink" Target="https://www.hkex.com.hk/-/media/HKEX-Market/Listing/Rules-and-Guidance/Interpretation-and-Guidance/Guide-for-New-Listing-Applicants/Guide_for_New_Listing_Applicants_%28clean%29.pdf?utm_source=chatgpt.com" TargetMode="External"/><Relationship Id="rId150" Type="http://schemas.openxmlformats.org/officeDocument/2006/relationships/hyperlink" Target="https://en-rules.hkex.com.hk/sites/default/files/net_file_store/gl115-23.pdf?utm_source=chatgpt.com" TargetMode="External"/><Relationship Id="rId12" Type="http://schemas.openxmlformats.org/officeDocument/2006/relationships/hyperlink" Target="https://en-rules.hkex.com.hk/entiresection/1933?utm_source=chatgpt.com" TargetMode="External"/><Relationship Id="rId17" Type="http://schemas.openxmlformats.org/officeDocument/2006/relationships/hyperlink" Target="https://en-rules.hkex.com.hk/rulebook/8a37?utm_source=chatgpt.com" TargetMode="External"/><Relationship Id="rId33" Type="http://schemas.openxmlformats.org/officeDocument/2006/relationships/hyperlink" Target="https://www.hkex.com.hk/-/media/HKEX-Market/Listing/Rules-and-Guidance/Other-Resources/New-Applicants/Listing-Document-Simplification-Guide/Guide-on-Producing-Simplified-Listing-Documents/gl8616.pdf?utm_source=chatgpt.com" TargetMode="External"/><Relationship Id="rId38" Type="http://schemas.openxmlformats.org/officeDocument/2006/relationships/hyperlink" Target="https://www.hkex.com.hk/-/media/HKEX-Market/Listing/Rules-and-Guidance/Archive/Guidance-Letters/GL98_18.pdf?utm_source=chatgpt.com" TargetMode="External"/><Relationship Id="rId59" Type="http://schemas.openxmlformats.org/officeDocument/2006/relationships/hyperlink" Target="https://www.hkex.com.hk/-/media/HKEX-Market/Listing/Rules-and-Guidance/Interpretation-and-Guidance/Guide-for-New-Listing-Applicants/Guide_for_New_Listing_Applicants_%28clean%29.pdf?utm_source=chatgpt.com" TargetMode="External"/><Relationship Id="rId103" Type="http://schemas.openxmlformats.org/officeDocument/2006/relationships/hyperlink" Target="https://www.hkex.com.hk/-/media/HKEX-Market/Listing/Rules-and-Guidance/Other-Resources/New-Applicants/Listing-Document-Simplification-Guide/Guide-on-Producing-Simplified-Listing-Documents/gl8616.pdf?utm_source=chatgpt.com" TargetMode="External"/><Relationship Id="rId108" Type="http://schemas.openxmlformats.org/officeDocument/2006/relationships/hyperlink" Target="https://www.hkex.com.hk/-/media/HKEX-Market/Listing/Rules-and-Guidance/Other-Resources/New-Applicants/Listing-Document-Simplification-Guide/Guide-on-Producing-Simplified-Listing-Documents/gl8616.pdf?utm_source=chatgpt.com" TargetMode="External"/><Relationship Id="rId124" Type="http://schemas.openxmlformats.org/officeDocument/2006/relationships/hyperlink" Target="https://en-rules.hkex.com.hk/rulebook/1116-0?utm_source=chatgpt.com" TargetMode="External"/><Relationship Id="rId129" Type="http://schemas.openxmlformats.org/officeDocument/2006/relationships/hyperlink" Target="https://www.hkex.com.hk/Listing/Rules-and-Resources/Guidance/IPO/Listing-of-Specialist-Technology-Companies?utm_source=chatgpt.com" TargetMode="External"/><Relationship Id="rId54" Type="http://schemas.openxmlformats.org/officeDocument/2006/relationships/hyperlink" Target="https://www.hkex.com.hk/-/media/HKEX-Market/Listing/Rules-and-Guidance/Interpretation-and-Guidance/Guide-for-New-Listing-Applicants/chapter_3_7.pdf?utm_source=chatgpt.com" TargetMode="External"/><Relationship Id="rId70" Type="http://schemas.openxmlformats.org/officeDocument/2006/relationships/hyperlink" Target="https://en-rules.hkex.com.hk/rulebook/1116-0?utm_source=chatgpt.com" TargetMode="External"/><Relationship Id="rId75" Type="http://schemas.openxmlformats.org/officeDocument/2006/relationships/hyperlink" Target="https://www.hkex.com.hk/-/media/HKEX-Market/Listing/Rules-and-Guidance/Other-Resources/New-Applicants/Listing-Document-Simplification-Guide/Guide-on-Producing-Simplified-Listing-Documents/gl8616.pdf?utm_source=chatgpt.com" TargetMode="External"/><Relationship Id="rId91" Type="http://schemas.openxmlformats.org/officeDocument/2006/relationships/hyperlink" Target="https://en-rules.hkex.com.hk/rulebook/8a37?utm_source=chatgpt.com" TargetMode="External"/><Relationship Id="rId96" Type="http://schemas.openxmlformats.org/officeDocument/2006/relationships/hyperlink" Target="https://en-rules.hkex.com.hk/rulebook/1116-0?utm_source=chatgpt.com" TargetMode="External"/><Relationship Id="rId140" Type="http://schemas.openxmlformats.org/officeDocument/2006/relationships/hyperlink" Target="https://www.hkex.com.hk/-/media/HKEX-Market/Listing/Rules-and-Guidance/Interpretation-and-Guidance/Guide-for-New-Listing-Applicants/chapter_2_5.pdf?utm_source=chatgpt.com" TargetMode="External"/><Relationship Id="rId145" Type="http://schemas.openxmlformats.org/officeDocument/2006/relationships/hyperlink" Target="https://www.hkex.com.hk/-/media/HKEX-Market/Listing/Rules-and-Guidance/Interpretation-and-Guidance/Guide-for-New-Listing-Applicants/Guide_for_New_Listing_Applicants_%28clean%29.pdf?utm_source=chatgpt.com" TargetMode="External"/><Relationship Id="rId161" Type="http://schemas.openxmlformats.org/officeDocument/2006/relationships/hyperlink" Target="https://www.hkex.com.hk/-/media/HKEX-Market/Listing/Rules-and-Guidance/Archive/Guidance-Letters/GL115_23.pdf?utm_source=chatgpt.com" TargetMode="External"/><Relationship Id="rId1" Type="http://schemas.openxmlformats.org/officeDocument/2006/relationships/numbering" Target="numbering.xml"/><Relationship Id="rId6" Type="http://schemas.openxmlformats.org/officeDocument/2006/relationships/hyperlink" Target="https://en-rules.hkex.com.hk/rulebook/1120-0?utm_source=chatgpt.com" TargetMode="External"/><Relationship Id="rId23" Type="http://schemas.openxmlformats.org/officeDocument/2006/relationships/hyperlink" Target="https://en-rules.hkex.com.hk/rulebook/8a37?utm_source=chatgpt.com" TargetMode="External"/><Relationship Id="rId28" Type="http://schemas.openxmlformats.org/officeDocument/2006/relationships/hyperlink" Target="https://en-rules.hkex.com.hk/entiresection/1933?utm_source=chatgpt.com" TargetMode="External"/><Relationship Id="rId49" Type="http://schemas.openxmlformats.org/officeDocument/2006/relationships/hyperlink" Target="https://www.hkex.com.hk/-/media/HKEX-Market/Listing/Rules-and-Guidance/Archive/Guidance-Letters/GL98_18.pdf?utm_source=chatgpt.com" TargetMode="External"/><Relationship Id="rId114" Type="http://schemas.openxmlformats.org/officeDocument/2006/relationships/hyperlink" Target="https://en-rules.hkex.com.hk/rulebook/1120-0?utm_source=chatgpt.com" TargetMode="External"/><Relationship Id="rId119" Type="http://schemas.openxmlformats.org/officeDocument/2006/relationships/hyperlink" Target="https://en-rules.hkex.com.hk/rulebook/8a37?utm_source=chatgpt.com" TargetMode="External"/><Relationship Id="rId44" Type="http://schemas.openxmlformats.org/officeDocument/2006/relationships/hyperlink" Target="https://en-rules.hkex.com.hk/sites/default/files/net_file_store/gl115-23.pdf?utm_source=chatgpt.com" TargetMode="External"/><Relationship Id="rId60" Type="http://schemas.openxmlformats.org/officeDocument/2006/relationships/hyperlink" Target="https://www.hkex.com.hk/-/media/HKEX-Market/Listing/Rules-and-Guidance/Other-Resources/New-Applicants/Listing-Document-Simplification-Guide/Guide-on-Producing-Simplified-Listing-Documents/gl8616.pdf?utm_source=chatgpt.com" TargetMode="External"/><Relationship Id="rId65" Type="http://schemas.openxmlformats.org/officeDocument/2006/relationships/hyperlink" Target="https://en-rules.hkex.com.hk/rulebook/1107-0?utm_source=chatgpt.com" TargetMode="External"/><Relationship Id="rId81" Type="http://schemas.openxmlformats.org/officeDocument/2006/relationships/hyperlink" Target="https://en-rules.hkex.com.hk/sites/default/files/net_file_store/gl115-23.pdf?utm_source=chatgpt.com" TargetMode="External"/><Relationship Id="rId86" Type="http://schemas.openxmlformats.org/officeDocument/2006/relationships/hyperlink" Target="https://hkexen.thomsonreuters.com/entiresection/6063?utm_source=chatgpt.com" TargetMode="External"/><Relationship Id="rId130" Type="http://schemas.openxmlformats.org/officeDocument/2006/relationships/hyperlink" Target="https://www.hkex.com.hk/Listing/Rules-and-Resources/Guidance/IPO/Listing-of-Specialist-Technology-Companies?utm_source=chatgpt.com" TargetMode="External"/><Relationship Id="rId135" Type="http://schemas.openxmlformats.org/officeDocument/2006/relationships/hyperlink" Target="https://www.sfc.hk/-/media/EN/assets/components/codes/files-current/web/codes/code-of-conduct-for-persons-licensed-by-or-registered-with-the-securities-and-futures-commission/Code_of_conduct_05082022_Eng.pdf?rev=0fd396c657bc46feb94f3367d7f97a05&amp;utm_source=chatgpt.com" TargetMode="External"/><Relationship Id="rId151" Type="http://schemas.openxmlformats.org/officeDocument/2006/relationships/hyperlink" Target="https://www.info.gov.hk/gia/general/202311/15/P2023111500230.htm?utm_source=chatgpt.com" TargetMode="External"/><Relationship Id="rId156" Type="http://schemas.openxmlformats.org/officeDocument/2006/relationships/hyperlink" Target="https://en-rules.hkex.com.hk/sites/default/files/net_file_store/gl8616.pdf?utm_source=chatgpt.com" TargetMode="External"/><Relationship Id="rId13" Type="http://schemas.openxmlformats.org/officeDocument/2006/relationships/hyperlink" Target="https://en-rules.hkex.com.hk/rulebook/8a37?utm_source=chatgpt.com" TargetMode="External"/><Relationship Id="rId18" Type="http://schemas.openxmlformats.org/officeDocument/2006/relationships/hyperlink" Target="https://www.hkex.com.hk/-/media/HKEX-Market/Listing/Rules-and-Guidance/Interpretation-and-Guidance/Guide-for-New-Listing-Applicants/chapter_2_5.pdf?utm_source=chatgpt.com" TargetMode="External"/><Relationship Id="rId39" Type="http://schemas.openxmlformats.org/officeDocument/2006/relationships/hyperlink" Target="https://www.hkex.com.hk/-/media/HKEX-Market/Listing/Rules-and-Guidance/Archive/Guidance-Letters/GL98_18.pdf?utm_source=chatgpt.com" TargetMode="External"/><Relationship Id="rId109" Type="http://schemas.openxmlformats.org/officeDocument/2006/relationships/hyperlink" Target="https://www.hkex.com.hk/-/media/HKEX-Market/Listing/Rules-and-Guidance/Other-Resources/New-Applicants/Listing-Document-Simplification-Guide/Guide-on-Producing-Simplified-Listing-Documents/gl8616.pdf?utm_source=chatgpt.com" TargetMode="External"/><Relationship Id="rId34" Type="http://schemas.openxmlformats.org/officeDocument/2006/relationships/hyperlink" Target="https://www.hkex.com.hk/-/media/HKEX-Market/Listing/Rules-and-Guidance/Interpretation-and-Guidance/Guide-for-New-Listing-Applicants/chapter_3_7.pdf?utm_source=chatgpt.com" TargetMode="External"/><Relationship Id="rId50" Type="http://schemas.openxmlformats.org/officeDocument/2006/relationships/hyperlink" Target="https://www.hkex.com.hk/-/media/HKEX-Market/Listing/Rules-and-Guidance/Interpretation-and-Guidance/Guide-for-New-Listing-Applicants/Guide_for_New_Listing_Applicants_%28clean%29.pdf?utm_source=chatgpt.com" TargetMode="External"/><Relationship Id="rId55" Type="http://schemas.openxmlformats.org/officeDocument/2006/relationships/hyperlink" Target="https://en-rules.hkex.com.hk/entiresection/1933?utm_source=chatgpt.com" TargetMode="External"/><Relationship Id="rId76" Type="http://schemas.openxmlformats.org/officeDocument/2006/relationships/hyperlink" Target="https://www.hkex.com.hk/-/media/HKEX-Market/Listing/Rules-and-Guidance/Interpretation-and-Guidance/Guide-for-New-Listing-Applicants/chapter_3_7.pdf?utm_source=chatgpt.com" TargetMode="External"/><Relationship Id="rId97" Type="http://schemas.openxmlformats.org/officeDocument/2006/relationships/hyperlink" Target="https://hkexen.thomsonreuters.com/entiresection/6063?utm_source=chatgpt.com" TargetMode="External"/><Relationship Id="rId104" Type="http://schemas.openxmlformats.org/officeDocument/2006/relationships/hyperlink" Target="https://www.sfc.hk/-/media/EN/assets/components/codes/files-current/web/codes/code-of-conduct-for-persons-licensed-by-or-registered-with-the-securities-and-futures-commission/Code_of_conduct_05082022_Eng.pdf?rev=0fd396c657bc46feb94f3367d7f97a05&amp;utm_source=chatgpt.com" TargetMode="External"/><Relationship Id="rId120" Type="http://schemas.openxmlformats.org/officeDocument/2006/relationships/hyperlink" Target="https://en-rules.hkex.com.hk/rulebook/8a37?utm_source=chatgpt.com" TargetMode="External"/><Relationship Id="rId125" Type="http://schemas.openxmlformats.org/officeDocument/2006/relationships/hyperlink" Target="https://en-rules.hkex.com.hk/rulebook/1116-0?utm_source=chatgpt.com" TargetMode="External"/><Relationship Id="rId141" Type="http://schemas.openxmlformats.org/officeDocument/2006/relationships/hyperlink" Target="https://www.hkex.com.hk/-/media/HKEX-Market/Listing/Rules-and-Guidance/Interpretation-and-Guidance/Guide-for-New-Listing-Applicants/chapter_2_5.pdf?utm_source=chatgpt.com" TargetMode="External"/><Relationship Id="rId146" Type="http://schemas.openxmlformats.org/officeDocument/2006/relationships/hyperlink" Target="https://www.hkex.com.hk/-/media/HKEX-Market/Listing/Rules-and-Guidance/Interpretation-and-Guidance/Guide-for-New-Listing-Applicants/Guide_for_New_Listing_Applicants_%28clean%29.pdf?utm_source=chatgpt.com" TargetMode="External"/><Relationship Id="rId7" Type="http://schemas.openxmlformats.org/officeDocument/2006/relationships/hyperlink" Target="https://en-rules.hkex.com.hk/rulebook/1107-0?utm_source=chatgpt.com" TargetMode="External"/><Relationship Id="rId71" Type="http://schemas.openxmlformats.org/officeDocument/2006/relationships/hyperlink" Target="https://en-rules.hkex.com.hk/entiresection/1933?utm_source=chatgpt.com" TargetMode="External"/><Relationship Id="rId92" Type="http://schemas.openxmlformats.org/officeDocument/2006/relationships/hyperlink" Target="https://en-rules.hkex.com.hk/rulebook/1107-0?utm_source=chatgpt.com" TargetMode="External"/><Relationship Id="rId162" Type="http://schemas.openxmlformats.org/officeDocument/2006/relationships/hyperlink" Target="https://www.hkex.com.hk/-/media/HKEX-Market/Listing/Rules-and-Guidance/Archive/Guidance-Letters/GL115_23.pdf?utm_source=chatgpt.com" TargetMode="External"/><Relationship Id="rId2" Type="http://schemas.openxmlformats.org/officeDocument/2006/relationships/styles" Target="styles.xml"/><Relationship Id="rId29" Type="http://schemas.openxmlformats.org/officeDocument/2006/relationships/hyperlink" Target="https://www.hkex.com.hk/-/media/HKEX-Market/Listing/Rules-and-Guidance/Archive/Guidance-Letters/GL98_18.pdf?utm_source=chatgpt.com" TargetMode="External"/><Relationship Id="rId24" Type="http://schemas.openxmlformats.org/officeDocument/2006/relationships/hyperlink" Target="https://en-rules.hkex.com.hk/sites/default/files/net_file_store/gl115-23.pdf?utm_source=chatgpt.com" TargetMode="External"/><Relationship Id="rId40" Type="http://schemas.openxmlformats.org/officeDocument/2006/relationships/hyperlink" Target="https://en-rules.hkex.com.hk/entiresection/1933?utm_source=chatgpt.com" TargetMode="External"/><Relationship Id="rId45" Type="http://schemas.openxmlformats.org/officeDocument/2006/relationships/hyperlink" Target="https://en-rules.hkex.com.hk/rulebook/1120-0?utm_source=chatgpt.com" TargetMode="External"/><Relationship Id="rId66" Type="http://schemas.openxmlformats.org/officeDocument/2006/relationships/hyperlink" Target="https://en-rules.hkex.com.hk/rulebook/1120-0?utm_source=chatgpt.com" TargetMode="External"/><Relationship Id="rId87" Type="http://schemas.openxmlformats.org/officeDocument/2006/relationships/hyperlink" Target="https://www.hkex.com.hk/-/media/HKEX-Market/Listing/Rules-and-Guidance/Interpretation-and-Guidance/Guide-for-New-Listing-Applicants/chapter_3_7.pdf?utm_source=chatgpt.com" TargetMode="External"/><Relationship Id="rId110" Type="http://schemas.openxmlformats.org/officeDocument/2006/relationships/hyperlink" Target="https://www.hkex.com.hk/-/media/HKEX-Market/Listing/Rules-and-Guidance/Other-Resources/New-Applicants/Listing-Document-Simplification-Guide/Guide-on-Producing-Simplified-Listing-Documents/gl8616.pdf?utm_source=chatgpt.com" TargetMode="External"/><Relationship Id="rId115" Type="http://schemas.openxmlformats.org/officeDocument/2006/relationships/hyperlink" Target="https://en-rules.hkex.com.hk/rulebook/1107-0?utm_source=chatgpt.com" TargetMode="External"/><Relationship Id="rId131" Type="http://schemas.openxmlformats.org/officeDocument/2006/relationships/hyperlink" Target="https://en-rules.hkex.com.hk/entiresection/1933?utm_source=chatgpt.com" TargetMode="External"/><Relationship Id="rId136" Type="http://schemas.openxmlformats.org/officeDocument/2006/relationships/hyperlink" Target="https://www.hkex.com.hk/-/media/HKEX-Market/Listing/Rules-and-Guidance/Archive/Guidance-Letters/GL98_18.pdf?utm_source=chatgpt.com" TargetMode="External"/><Relationship Id="rId157" Type="http://schemas.openxmlformats.org/officeDocument/2006/relationships/hyperlink" Target="https://en-rules.hkex.com.hk/sites/default/files/net_file_store/gl8616.pdf?utm_source=chatgpt.com" TargetMode="External"/><Relationship Id="rId61" Type="http://schemas.openxmlformats.org/officeDocument/2006/relationships/hyperlink" Target="https://www.hkex.com.hk/-/media/HKEX-Market/Listing/Rules-and-Guidance/Other-Resources/New-Applicants/Listing-Document-Simplification-Guide/Guide-on-Producing-Simplified-Listing-Documents/gl8616.pdf?utm_source=chatgpt.com" TargetMode="External"/><Relationship Id="rId82" Type="http://schemas.openxmlformats.org/officeDocument/2006/relationships/hyperlink" Target="https://en-rules.hkex.com.hk/rulebook/8a37?utm_source=chatgpt.com" TargetMode="External"/><Relationship Id="rId152" Type="http://schemas.openxmlformats.org/officeDocument/2006/relationships/hyperlink" Target="https://www.info.gov.hk/gia/general/202311/15/P2023111500230.htm?utm_source=chatgpt.com" TargetMode="External"/><Relationship Id="rId19" Type="http://schemas.openxmlformats.org/officeDocument/2006/relationships/hyperlink" Target="https://en-rules.hkex.com.hk/rulebook/1116-0?utm_source=chatgpt.com" TargetMode="External"/><Relationship Id="rId14" Type="http://schemas.openxmlformats.org/officeDocument/2006/relationships/hyperlink" Target="https://www.sfc.hk/-/media/EN/assets/components/codes/files-current/web/codes/code-of-conduct-for-persons-licensed-by-or-registered-with-the-securities-and-futures-commission/Code_of_conduct_05082022_Eng.pdf?rev=0fd396c657bc46feb94f3367d7f97a05&amp;utm_source=chatgpt.com" TargetMode="External"/><Relationship Id="rId30" Type="http://schemas.openxmlformats.org/officeDocument/2006/relationships/hyperlink" Target="https://en-rules.hkex.com.hk/entiresection/1933?utm_source=chatgpt.com" TargetMode="External"/><Relationship Id="rId35" Type="http://schemas.openxmlformats.org/officeDocument/2006/relationships/hyperlink" Target="https://en-rules.hkex.com.hk/entiresection/1933?utm_source=chatgpt.com" TargetMode="External"/><Relationship Id="rId56" Type="http://schemas.openxmlformats.org/officeDocument/2006/relationships/hyperlink" Target="https://en-rules.hkex.com.hk/rulebook/1116-0?utm_source=chatgpt.com" TargetMode="External"/><Relationship Id="rId77" Type="http://schemas.openxmlformats.org/officeDocument/2006/relationships/hyperlink" Target="https://en-rules.hkex.com.hk/sites/default/files/net_file_store/gl8616.pdf?utm_source=chatgpt.com" TargetMode="External"/><Relationship Id="rId100" Type="http://schemas.openxmlformats.org/officeDocument/2006/relationships/hyperlink" Target="https://www.hkex.com.hk/-/media/HKEX-Market/Listing/Rules-and-Guidance/Interpretation-and-Guidance/Guide-for-New-Listing-Applicants/chapter_3_7.pdf?utm_source=chatgpt.com" TargetMode="External"/><Relationship Id="rId105" Type="http://schemas.openxmlformats.org/officeDocument/2006/relationships/hyperlink" Target="https://www.info.gov.hk/gia/general/202311/15/P2023111500230.htm?utm_source=chatgpt.com" TargetMode="External"/><Relationship Id="rId126" Type="http://schemas.openxmlformats.org/officeDocument/2006/relationships/hyperlink" Target="https://en-rules.hkex.com.hk/rulebook/1116-0?utm_source=chatgpt.com" TargetMode="External"/><Relationship Id="rId147" Type="http://schemas.openxmlformats.org/officeDocument/2006/relationships/hyperlink" Target="https://en-rules.hkex.com.hk/sites/default/files/net_file_store/gl115-23.pdf?utm_source=chatgpt.com" TargetMode="External"/><Relationship Id="rId8" Type="http://schemas.openxmlformats.org/officeDocument/2006/relationships/hyperlink" Target="https://en-rules.hkex.com.hk/rulebook/8a37?utm_source=chatgpt.com" TargetMode="External"/><Relationship Id="rId51" Type="http://schemas.openxmlformats.org/officeDocument/2006/relationships/hyperlink" Target="https://www.hkex.com.hk/-/media/HKEX-Market/Listing/Rules-and-Guidance/Archive/Guidance-Letters/GL98_18.pdf?utm_source=chatgpt.com" TargetMode="External"/><Relationship Id="rId72" Type="http://schemas.openxmlformats.org/officeDocument/2006/relationships/hyperlink" Target="https://www.hkex.com.hk/-/media/HKEX-Market/Listing/Rules-and-Guidance/Archive/Guidance-Letters/GL98_18.pdf?utm_source=chatgpt.com" TargetMode="External"/><Relationship Id="rId93" Type="http://schemas.openxmlformats.org/officeDocument/2006/relationships/hyperlink" Target="https://en-rules.hkex.com.hk/entiresection/1933?utm_source=chatgpt.com" TargetMode="External"/><Relationship Id="rId98" Type="http://schemas.openxmlformats.org/officeDocument/2006/relationships/hyperlink" Target="https://www.hkex.com.hk/-/media/HKEX-Market/Listing/Rules-and-Guidance/Interpretation-and-Guidance/Guide-for-New-Listing-Applicants/chapter_2_5.pdf?utm_source=chatgpt.com" TargetMode="External"/><Relationship Id="rId121" Type="http://schemas.openxmlformats.org/officeDocument/2006/relationships/hyperlink" Target="https://en-rules.hkex.com.hk/rulebook/8a37?utm_source=chatgpt.com" TargetMode="External"/><Relationship Id="rId142" Type="http://schemas.openxmlformats.org/officeDocument/2006/relationships/hyperlink" Target="https://www.hkex.com.hk/-/media/HKEX-Market/Listing/Rules-and-Guidance/Interpretation-and-Guidance/Guide-for-New-Listing-Applicants/Guide_for_New_Listing_Applicants_%28clean%29.pdf?utm_source=chatgpt.com" TargetMode="External"/><Relationship Id="rId163"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https://en-rules.hkex.com.hk/entiresection/1933?utm_source=chatgpt.com" TargetMode="External"/><Relationship Id="rId46" Type="http://schemas.openxmlformats.org/officeDocument/2006/relationships/hyperlink" Target="https://www.info.gov.hk/gia/general/202311/15/P2023111500230.htm?utm_source=chatgpt.com" TargetMode="External"/><Relationship Id="rId67" Type="http://schemas.openxmlformats.org/officeDocument/2006/relationships/hyperlink" Target="https://en-rules.hkex.com.hk/rulebook/8a37?utm_source=chatgpt.com" TargetMode="External"/><Relationship Id="rId116" Type="http://schemas.openxmlformats.org/officeDocument/2006/relationships/hyperlink" Target="https://en-rules.hkex.com.hk/rulebook/1107-0?utm_source=chatgpt.com" TargetMode="External"/><Relationship Id="rId137" Type="http://schemas.openxmlformats.org/officeDocument/2006/relationships/hyperlink" Target="https://www.hkex.com.hk/-/media/HKEX-Market/Listing/Rules-and-Guidance/Archive/Guidance-Letters/GL98_18.pdf?utm_source=chatgpt.com" TargetMode="External"/><Relationship Id="rId158" Type="http://schemas.openxmlformats.org/officeDocument/2006/relationships/hyperlink" Target="https://hkexen.thomsonreuters.com/entiresection/6063?utm_source=chatgpt.com" TargetMode="External"/><Relationship Id="rId20" Type="http://schemas.openxmlformats.org/officeDocument/2006/relationships/hyperlink" Target="https://www.hkex.com.hk/-/media/HKEX-Market/Listing/Rules-and-Guidance/Interpretation-and-Guidance/Guide-for-New-Listing-Applicants/Guide_for_New_Listing_Applicants_%28clean%29.pdf?utm_source=chatgpt.com" TargetMode="External"/><Relationship Id="rId41" Type="http://schemas.openxmlformats.org/officeDocument/2006/relationships/hyperlink" Target="https://www.hkex.com.hk/-/media/HKEX-Market/Listing/Rules-and-Guidance/Archive/Guidance-Letters/GL98_18.pdf?utm_source=chatgpt.com" TargetMode="External"/><Relationship Id="rId62" Type="http://schemas.openxmlformats.org/officeDocument/2006/relationships/hyperlink" Target="https://www.hkex.com.hk/-/media/HKEX-Market/Listing/Rules-and-Guidance/Interpretation-and-Guidance/Guide-for-New-Listing-Applicants/Guide_for_New_Listing_Applicants_%28clean%29.pdf?utm_source=chatgpt.com" TargetMode="External"/><Relationship Id="rId83" Type="http://schemas.openxmlformats.org/officeDocument/2006/relationships/hyperlink" Target="https://www.hkex.com.hk/-/media/HKEX-Market/Listing/Rules-and-Guidance/Interpretation-and-Guidance/Guide-for-New-Listing-Applicants/chapter_3_7.pdf?utm_source=chatgpt.com" TargetMode="External"/><Relationship Id="rId88" Type="http://schemas.openxmlformats.org/officeDocument/2006/relationships/hyperlink" Target="https://www.hkex.com.hk/-/media/HKEX-Market/Listing/Rules-and-Guidance/Interpretation-and-Guidance/Guide-for-New-Listing-Applicants/chapter_3_7.pdf?utm_source=chatgpt.com" TargetMode="External"/><Relationship Id="rId111" Type="http://schemas.openxmlformats.org/officeDocument/2006/relationships/hyperlink" Target="https://en-rules.hkex.com.hk/rulebook/1120-0?utm_source=chatgpt.com" TargetMode="External"/><Relationship Id="rId132" Type="http://schemas.openxmlformats.org/officeDocument/2006/relationships/hyperlink" Target="https://en-rules.hkex.com.hk/entiresection/1933?utm_source=chatgpt.com" TargetMode="External"/><Relationship Id="rId153" Type="http://schemas.openxmlformats.org/officeDocument/2006/relationships/hyperlink" Target="https://www.hkex.com.hk/-/media/HKEX-Market/Listing/Rules-and-Guidance/Interpretation-and-Guidance/Guide-for-New-Listing-Applicants/chapter_3_7.pdf?utm_source=chatgpt.com" TargetMode="External"/><Relationship Id="rId15" Type="http://schemas.openxmlformats.org/officeDocument/2006/relationships/hyperlink" Target="https://en-rules.hkex.com.hk/rulebook/1120-0?utm_source=chatgpt.com" TargetMode="External"/><Relationship Id="rId36" Type="http://schemas.openxmlformats.org/officeDocument/2006/relationships/hyperlink" Target="https://www.hkex.com.hk/-/media/HKEX-Market/Listing/Rules-and-Guidance/Interpretation-and-Guidance/Guide-for-New-Listing-Applicants/Guide_for_New_Listing_Applicants_%28clean%29.pdf?utm_source=chatgpt.com" TargetMode="External"/><Relationship Id="rId57" Type="http://schemas.openxmlformats.org/officeDocument/2006/relationships/hyperlink" Target="https://en-rules.hkex.com.hk/entiresection/1933?utm_source=chatgpt.com" TargetMode="External"/><Relationship Id="rId106" Type="http://schemas.openxmlformats.org/officeDocument/2006/relationships/hyperlink" Target="https://www.hkex.com.hk/-/media/HKEX-Market/Listing/Rules-and-Guidance/Other-Resources/New-Applicants/Listing-Document-Simplification-Guide/Guide-on-Producing-Simplified-Listing-Documents/gl8616.pdf?utm_source=chatgpt.com" TargetMode="External"/><Relationship Id="rId127" Type="http://schemas.openxmlformats.org/officeDocument/2006/relationships/hyperlink" Target="https://en-rules.hkex.com.hk/rulebook/1116-0?utm_source=chatgpt.com" TargetMode="External"/><Relationship Id="rId10" Type="http://schemas.openxmlformats.org/officeDocument/2006/relationships/hyperlink" Target="https://www.hkex.com.hk/Listing/Rules-and-Resources/Guidance/IPO/Listing-of-Specialist-Technology-Companies?utm_source=chatgpt.com" TargetMode="External"/><Relationship Id="rId31" Type="http://schemas.openxmlformats.org/officeDocument/2006/relationships/hyperlink" Target="https://en-rules.hkex.com.hk/entiresection/1933?utm_source=chatgpt.com" TargetMode="External"/><Relationship Id="rId52" Type="http://schemas.openxmlformats.org/officeDocument/2006/relationships/hyperlink" Target="https://en-rules.hkex.com.hk/entiresection/1933?utm_source=chatgpt.com" TargetMode="External"/><Relationship Id="rId73" Type="http://schemas.openxmlformats.org/officeDocument/2006/relationships/hyperlink" Target="https://www.hkex.com.hk/-/media/HKEX-Market/Listing/Rules-and-Guidance/Archive/Guidance-Letters/GL98_18.pdf?utm_source=chatgpt.com" TargetMode="External"/><Relationship Id="rId78" Type="http://schemas.openxmlformats.org/officeDocument/2006/relationships/hyperlink" Target="https://en-rules.hkex.com.hk/entiresection/1933?utm_source=chatgpt.com" TargetMode="External"/><Relationship Id="rId94" Type="http://schemas.openxmlformats.org/officeDocument/2006/relationships/hyperlink" Target="https://en-rules.hkex.com.hk/rulebook/1120-0?utm_source=chatgpt.com" TargetMode="External"/><Relationship Id="rId99" Type="http://schemas.openxmlformats.org/officeDocument/2006/relationships/hyperlink" Target="https://www.hkex.com.hk/-/media/HKEX-Market/Listing/Rules-and-Guidance/Interpretation-and-Guidance/Guide-for-New-Listing-Applicants/Guide_for_New_Listing_Applicants_%28clean%29.pdf?utm_source=chatgpt.com" TargetMode="External"/><Relationship Id="rId101" Type="http://schemas.openxmlformats.org/officeDocument/2006/relationships/hyperlink" Target="https://www.hkex.com.hk/-/media/HKEX-Market/Listing/Rules-and-Guidance/Archive/Guidance-Letters/GL115_23.pdf?utm_source=chatgpt.com" TargetMode="External"/><Relationship Id="rId122" Type="http://schemas.openxmlformats.org/officeDocument/2006/relationships/hyperlink" Target="https://en-rules.hkex.com.hk/rulebook/8a37?utm_source=chatgpt.com" TargetMode="External"/><Relationship Id="rId143" Type="http://schemas.openxmlformats.org/officeDocument/2006/relationships/hyperlink" Target="https://www.hkex.com.hk/-/media/HKEX-Market/Listing/Rules-and-Guidance/Interpretation-and-Guidance/Guide-for-New-Listing-Applicants/Guide_for_New_Listing_Applicants_%28clean%29.pdf?utm_source=chatgpt.com" TargetMode="External"/><Relationship Id="rId148" Type="http://schemas.openxmlformats.org/officeDocument/2006/relationships/hyperlink" Target="https://en-rules.hkex.com.hk/sites/default/files/net_file_store/gl115-23.pdf?utm_source=chatgpt.com" TargetMode="External"/><Relationship Id="rId16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rules.hkex.com.hk/rulebook/1116-0?utm_source=chatgpt.com" TargetMode="External"/><Relationship Id="rId26" Type="http://schemas.openxmlformats.org/officeDocument/2006/relationships/hyperlink" Target="https://www.hkex.com.hk/-/media/HKEX-Market/Listing/Rules-and-Guidance/Interpretation-and-Guidance/Guide-for-New-Listing-Applicants/Guide_for_New_Listing_Applicants_%28clean%29.pdf?utm_source=chatgpt.com" TargetMode="External"/><Relationship Id="rId47" Type="http://schemas.openxmlformats.org/officeDocument/2006/relationships/hyperlink" Target="https://www.info.gov.hk/gia/general/202311/15/P2023111500230.htm?utm_source=chatgpt.com" TargetMode="External"/><Relationship Id="rId68" Type="http://schemas.openxmlformats.org/officeDocument/2006/relationships/hyperlink" Target="https://en-rules.hkex.com.hk/sites/default/files/net_file_store/gl115-23.pdf?utm_source=chatgpt.com" TargetMode="External"/><Relationship Id="rId89" Type="http://schemas.openxmlformats.org/officeDocument/2006/relationships/hyperlink" Target="https://en-rules.hkex.com.hk/entiresection/1933?utm_source=chatgpt.com" TargetMode="External"/><Relationship Id="rId112" Type="http://schemas.openxmlformats.org/officeDocument/2006/relationships/hyperlink" Target="https://en-rules.hkex.com.hk/rulebook/1120-0?utm_source=chatgpt.com" TargetMode="External"/><Relationship Id="rId133" Type="http://schemas.openxmlformats.org/officeDocument/2006/relationships/hyperlink" Target="https://en-rules.hkex.com.hk/entiresection/1933?utm_source=chatgpt.com" TargetMode="External"/><Relationship Id="rId154" Type="http://schemas.openxmlformats.org/officeDocument/2006/relationships/hyperlink" Target="https://www.hkex.com.hk/-/media/HKEX-Market/Listing/Rules-and-Guidance/Interpretation-and-Guidance/Guide-for-New-Listing-Applicants/chapter_3_7.pdf?utm_source=chatgpt.com" TargetMode="External"/><Relationship Id="rId16" Type="http://schemas.openxmlformats.org/officeDocument/2006/relationships/hyperlink" Target="https://www.hkex.com.hk/-/media/HKEX-Market/Listing/Rules-and-Guidance/Archive/Guidance-Letters/GL98_18.pdf?utm_source=chatgpt.com" TargetMode="External"/><Relationship Id="rId37" Type="http://schemas.openxmlformats.org/officeDocument/2006/relationships/hyperlink" Target="https://en-rules.hkex.com.hk/rulebook/1116-0?utm_source=chatgpt.com" TargetMode="External"/><Relationship Id="rId58" Type="http://schemas.openxmlformats.org/officeDocument/2006/relationships/hyperlink" Target="https://www.hkex.com.hk/-/media/HKEX-Market/Listing/Rules-and-Guidance/Interpretation-and-Guidance/Guide-for-New-Listing-Applicants/Guide_for_New_Listing_Applicants_%28clean%29.pdf?utm_source=chatgpt.com" TargetMode="External"/><Relationship Id="rId79" Type="http://schemas.openxmlformats.org/officeDocument/2006/relationships/hyperlink" Target="https://www.hkex.com.hk/Listing/Rules-and-Resources/Guidance/IPO/Listing-of-Specialist-Technology-Companies?utm_source=chatgpt.com" TargetMode="External"/><Relationship Id="rId102" Type="http://schemas.openxmlformats.org/officeDocument/2006/relationships/hyperlink" Target="https://www.hkex.com.hk/-/media/HKEX-Market/Listing/Rules-and-Guidance/Archive/Guidance-Letters/GL98_18.pdf?utm_source=chatgpt.com" TargetMode="External"/><Relationship Id="rId123" Type="http://schemas.openxmlformats.org/officeDocument/2006/relationships/hyperlink" Target="https://en-rules.hkex.com.hk/rulebook/8a37?utm_source=chatgpt.com" TargetMode="External"/><Relationship Id="rId144" Type="http://schemas.openxmlformats.org/officeDocument/2006/relationships/hyperlink" Target="https://www.hkex.com.hk/-/media/HKEX-Market/Listing/Rules-and-Guidance/Interpretation-and-Guidance/Guide-for-New-Listing-Applicants/Guide_for_New_Listing_Applicants_%28clean%29.pdf?utm_source=chatgpt.com" TargetMode="External"/><Relationship Id="rId90" Type="http://schemas.openxmlformats.org/officeDocument/2006/relationships/hyperlink" Target="https://en-rules.hkex.com.hk/sites/default/files/net_file_store/gl115-23.pdf?utm_source=chatgpt.com" TargetMode="External"/><Relationship Id="rId27" Type="http://schemas.openxmlformats.org/officeDocument/2006/relationships/hyperlink" Target="https://www.info.gov.hk/gia/general/202311/15/P2023111500230.htm?utm_source=chatgpt.com" TargetMode="External"/><Relationship Id="rId48" Type="http://schemas.openxmlformats.org/officeDocument/2006/relationships/hyperlink" Target="https://en-rules.hkex.com.hk/sites/default/files/net_file_store/gl8616.pdf?utm_source=chatgpt.com" TargetMode="External"/><Relationship Id="rId69" Type="http://schemas.openxmlformats.org/officeDocument/2006/relationships/hyperlink" Target="https://hkexen.thomsonreuters.com/entiresection/6063?utm_source=chatgpt.com" TargetMode="External"/><Relationship Id="rId113" Type="http://schemas.openxmlformats.org/officeDocument/2006/relationships/hyperlink" Target="https://en-rules.hkex.com.hk/rulebook/1120-0?utm_source=chatgpt.com" TargetMode="External"/><Relationship Id="rId134" Type="http://schemas.openxmlformats.org/officeDocument/2006/relationships/hyperlink" Target="https://www.sfc.hk/-/media/EN/assets/components/codes/files-current/web/codes/code-of-conduct-for-persons-licensed-by-or-registered-with-the-securities-and-futures-commission/Code_of_conduct_05082022_Eng.pdf?rev=0fd396c657bc46feb94f3367d7f97a05&amp;utm_source=chatgpt.com" TargetMode="External"/><Relationship Id="rId80" Type="http://schemas.openxmlformats.org/officeDocument/2006/relationships/hyperlink" Target="https://hkexen.thomsonreuters.com/entiresection/6063?utm_source=chatgpt.com" TargetMode="External"/><Relationship Id="rId155" Type="http://schemas.openxmlformats.org/officeDocument/2006/relationships/hyperlink" Target="https://www.hkex.com.hk/-/media/HKEX-Market/Listing/Rules-and-Guidance/Interpretation-and-Guidance/Guide-for-New-Listing-Applicants/chapter_3_7.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TotalTime>
  <Pages>74</Pages>
  <Words>23718</Words>
  <Characters>149188</Characters>
  <Application>Microsoft Office Word</Application>
  <DocSecurity>0</DocSecurity>
  <Lines>2331</Lines>
  <Paragraphs>442</Paragraphs>
  <ScaleCrop>false</ScaleCrop>
  <Company/>
  <LinksUpToDate>false</LinksUpToDate>
  <CharactersWithSpaces>172464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Xieling Li</cp:lastModifiedBy>
  <cp:revision>3</cp:revision>
  <dcterms:created xsi:type="dcterms:W3CDTF">2026-02-27T01:59:00Z</dcterms:created>
  <dcterms:modified xsi:type="dcterms:W3CDTF">2026-02-27T04:59:00Z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