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C7C94" w14:textId="77777777" w:rsidR="00E82D4E" w:rsidRPr="00E82D4E" w:rsidRDefault="00E82D4E" w:rsidP="00E82D4E">
      <w:pPr>
        <w:widowControl/>
        <w:spacing w:before="400" w:after="80"/>
        <w:jc w:val="left"/>
        <w:outlineLvl w:val="0"/>
        <w:rPr>
          <w:rFonts w:ascii="宋体" w:eastAsia="宋体" w:hAnsi="宋体" w:cs="宋体"/>
          <w:b/>
          <w:bCs/>
          <w:kern w:val="36"/>
          <w:sz w:val="48"/>
          <w:szCs w:val="48"/>
          <w14:ligatures w14:val="none"/>
        </w:rPr>
      </w:pPr>
      <w:r w:rsidRPr="00E82D4E">
        <w:rPr>
          <w:rFonts w:ascii="Times New Roman" w:eastAsia="宋体" w:hAnsi="Times New Roman" w:cs="Times New Roman"/>
          <w:b/>
          <w:bCs/>
          <w:color w:val="000000"/>
          <w:kern w:val="36"/>
          <w:sz w:val="34"/>
          <w:szCs w:val="34"/>
          <w14:ligatures w14:val="none"/>
        </w:rPr>
        <w:t>Guidelines for Writing Prospectus Sections</w:t>
      </w:r>
    </w:p>
    <w:p w14:paraId="19441E3F" w14:textId="77777777" w:rsidR="00E82D4E" w:rsidRPr="00E82D4E" w:rsidRDefault="00324029" w:rsidP="00E82D4E">
      <w:pPr>
        <w:widowControl/>
        <w:jc w:val="left"/>
        <w:outlineLvl w:val="0"/>
        <w:rPr>
          <w:rFonts w:ascii="宋体" w:eastAsia="宋体" w:hAnsi="宋体" w:cs="宋体"/>
          <w:b/>
          <w:bCs/>
          <w:kern w:val="36"/>
          <w:sz w:val="48"/>
          <w:szCs w:val="48"/>
          <w14:ligatures w14:val="none"/>
        </w:rPr>
      </w:pPr>
      <w:r w:rsidRPr="00324029">
        <w:rPr>
          <w:rFonts w:ascii="宋体" w:eastAsia="宋体" w:hAnsi="宋体" w:cs="宋体"/>
          <w:b/>
          <w:bCs/>
          <w:noProof/>
          <w:kern w:val="36"/>
          <w:sz w:val="48"/>
          <w:szCs w:val="48"/>
        </w:rPr>
        <w:pict w14:anchorId="75B4DC75">
          <v:rect id="_x0000_i1051" alt="" style="width:415.3pt;height:.05pt;mso-width-percent:0;mso-height-percent:0;mso-width-percent:0;mso-height-percent:0" o:hralign="center" o:hrstd="t" o:hr="t" fillcolor="#a0a0a0" stroked="f"/>
        </w:pict>
      </w:r>
    </w:p>
    <w:p w14:paraId="6549209D"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Expected Timetable</w:t>
      </w:r>
    </w:p>
    <w:p w14:paraId="41751D0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 &amp; format</w:t>
      </w:r>
    </w:p>
    <w:p w14:paraId="44E8326C" w14:textId="77777777" w:rsidR="00E82D4E" w:rsidRPr="00E82D4E" w:rsidRDefault="00E82D4E" w:rsidP="00E82D4E">
      <w:pPr>
        <w:widowControl/>
        <w:numPr>
          <w:ilvl w:val="0"/>
          <w:numId w:val="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should present a clear timeline of key events and dates for the offering process.</w:t>
      </w:r>
    </w:p>
    <w:p w14:paraId="1AE323A4" w14:textId="77777777" w:rsidR="00E82D4E" w:rsidRPr="00E82D4E" w:rsidRDefault="00E82D4E" w:rsidP="00E82D4E">
      <w:pPr>
        <w:widowControl/>
        <w:numPr>
          <w:ilvl w:val="0"/>
          <w:numId w:val="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information is typically formatted as a list or table of milestones (with times and dates) in chronological order.</w:t>
      </w:r>
    </w:p>
    <w:p w14:paraId="16DB0C3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must be listed</w:t>
      </w:r>
    </w:p>
    <w:p w14:paraId="6C707850" w14:textId="77777777" w:rsidR="00E82D4E" w:rsidRPr="00E82D4E" w:rsidRDefault="00E82D4E" w:rsidP="00E82D4E">
      <w:pPr>
        <w:widowControl/>
        <w:numPr>
          <w:ilvl w:val="0"/>
          <w:numId w:val="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it should list when the public offering opens and closes, the pricing/allocation announcement date, refund and share certificate dispatch dates, and the expected listing date.</w:t>
      </w:r>
    </w:p>
    <w:p w14:paraId="31C48934" w14:textId="77777777" w:rsidR="00E82D4E" w:rsidRPr="00E82D4E" w:rsidRDefault="00E82D4E" w:rsidP="00E82D4E">
      <w:pPr>
        <w:widowControl/>
        <w:numPr>
          <w:ilvl w:val="0"/>
          <w:numId w:val="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Every event entry must include the specific date and local time it occurs to ensure precision.</w:t>
      </w:r>
    </w:p>
    <w:p w14:paraId="5BD0583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Required precision &amp; standard notes</w:t>
      </w:r>
    </w:p>
    <w:p w14:paraId="62D45ADE" w14:textId="77777777" w:rsidR="00E82D4E" w:rsidRPr="00E82D4E" w:rsidRDefault="00E82D4E" w:rsidP="00E82D4E">
      <w:pPr>
        <w:widowControl/>
        <w:numPr>
          <w:ilvl w:val="0"/>
          <w:numId w:val="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 standard feature is a cautionary note that if the schedule changes, the company will issue an official announcement to notify investors.</w:t>
      </w:r>
    </w:p>
    <w:p w14:paraId="07AED549" w14:textId="77777777" w:rsidR="00E82D4E" w:rsidRPr="00E82D4E" w:rsidRDefault="00E82D4E" w:rsidP="00E82D4E">
      <w:pPr>
        <w:widowControl/>
        <w:numPr>
          <w:ilvl w:val="0"/>
          <w:numId w:val="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content’s granularity is exact – including specific times (e.g. “9:00 a.m. on Tuesday, December 1, 2020”) and the full date for each step.</w:t>
      </w:r>
    </w:p>
    <w:p w14:paraId="593914C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Language &amp; additional explanations</w:t>
      </w:r>
    </w:p>
    <w:p w14:paraId="7DE00104" w14:textId="77777777" w:rsidR="00E82D4E" w:rsidRPr="00E82D4E" w:rsidRDefault="00E82D4E" w:rsidP="00E82D4E">
      <w:pPr>
        <w:widowControl/>
        <w:numPr>
          <w:ilvl w:val="0"/>
          <w:numId w:val="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language should be factual and concise, directly informing investors of when each crucial step of the offering will take place.</w:t>
      </w:r>
    </w:p>
    <w:p w14:paraId="15940306" w14:textId="77777777" w:rsidR="00E82D4E" w:rsidRPr="00E82D4E" w:rsidRDefault="00E82D4E" w:rsidP="00E82D4E">
      <w:pPr>
        <w:widowControl/>
        <w:numPr>
          <w:ilvl w:val="0"/>
          <w:numId w:val="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Footnotes may be used for additional explanation (for instance, to explain any contingencies or adjustments to the timetable).</w:t>
      </w:r>
    </w:p>
    <w:p w14:paraId="6A44A75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Investor value</w:t>
      </w:r>
    </w:p>
    <w:p w14:paraId="66D57EBD" w14:textId="77777777" w:rsidR="00E82D4E" w:rsidRPr="00E82D4E" w:rsidRDefault="00E82D4E" w:rsidP="00E82D4E">
      <w:pPr>
        <w:widowControl/>
        <w:numPr>
          <w:ilvl w:val="0"/>
          <w:numId w:val="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providing a precise and complete schedule of the offering in an easy-to-scan format, this section ensures investors know all important deadlines and events in the IPO process.</w:t>
      </w:r>
    </w:p>
    <w:p w14:paraId="276BFE57"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367A6BB7">
          <v:rect id="_x0000_i1050" alt="" style="width:415.3pt;height:.05pt;mso-width-percent:0;mso-height-percent:0;mso-width-percent:0;mso-height-percent:0" o:hralign="center" o:hrstd="t" o:hr="t" fillcolor="#a0a0a0" stroked="f"/>
        </w:pict>
      </w:r>
    </w:p>
    <w:p w14:paraId="750915BC"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Contents</w:t>
      </w:r>
    </w:p>
    <w:p w14:paraId="7893CE1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Core function</w:t>
      </w:r>
    </w:p>
    <w:p w14:paraId="59567836" w14:textId="77777777" w:rsidR="00E82D4E" w:rsidRPr="00E82D4E" w:rsidRDefault="00E82D4E" w:rsidP="00E82D4E">
      <w:pPr>
        <w:widowControl/>
        <w:numPr>
          <w:ilvl w:val="0"/>
          <w:numId w:val="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In the Contents section, the prospectus provides a structured table of contents mapping out all chapters, sections, and appendices along with their corresponding page numbers.</w:t>
      </w:r>
    </w:p>
    <w:p w14:paraId="654E957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Output requirements</w:t>
      </w:r>
    </w:p>
    <w:p w14:paraId="12C80A7D" w14:textId="77777777" w:rsidR="00E82D4E" w:rsidRPr="00E82D4E" w:rsidRDefault="00E82D4E" w:rsidP="00E82D4E">
      <w:pPr>
        <w:widowControl/>
        <w:numPr>
          <w:ilvl w:val="0"/>
          <w:numId w:val="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generate this as an ordered list of section titles exactly as they appear (e.g. “SUMMARY – Page 1”, “RISK FACTORS – Page 44”, etc.), mirroring the official format.</w:t>
      </w:r>
    </w:p>
    <w:p w14:paraId="1F47093F" w14:textId="77777777" w:rsidR="00E82D4E" w:rsidRPr="00E82D4E" w:rsidRDefault="00E82D4E" w:rsidP="00E82D4E">
      <w:pPr>
        <w:widowControl/>
        <w:numPr>
          <w:ilvl w:val="0"/>
          <w:numId w:val="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entry should align with the actual titles and page numbering of the prospectus.</w:t>
      </w:r>
    </w:p>
    <w:p w14:paraId="033A735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Coverage &amp; granularity</w:t>
      </w:r>
    </w:p>
    <w:p w14:paraId="74673541" w14:textId="77777777" w:rsidR="00E82D4E" w:rsidRPr="00E82D4E" w:rsidRDefault="00E82D4E" w:rsidP="00E82D4E">
      <w:pPr>
        <w:widowControl/>
        <w:numPr>
          <w:ilvl w:val="0"/>
          <w:numId w:val="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information framework is straightforward: it includes every major heading and sub-heading (often down to second-level headings) in the document, in sequence.</w:t>
      </w:r>
    </w:p>
    <w:p w14:paraId="3672F35B" w14:textId="77777777" w:rsidR="00E82D4E" w:rsidRPr="00E82D4E" w:rsidRDefault="00E82D4E" w:rsidP="00E82D4E">
      <w:pPr>
        <w:widowControl/>
        <w:numPr>
          <w:ilvl w:val="0"/>
          <w:numId w:val="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standard content range covers all sections from the front of the prospectus through the appendices, giving readers an overview of the document’s structure.</w:t>
      </w:r>
    </w:p>
    <w:p w14:paraId="72EEB44F" w14:textId="77777777" w:rsidR="00E82D4E" w:rsidRPr="00E82D4E" w:rsidRDefault="00E82D4E" w:rsidP="00E82D4E">
      <w:pPr>
        <w:widowControl/>
        <w:numPr>
          <w:ilvl w:val="0"/>
          <w:numId w:val="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Information granularity here means including every relevant heading and its page, ensuring no section is omitted.</w:t>
      </w:r>
    </w:p>
    <w:p w14:paraId="4A883B2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Examples of included headings</w:t>
      </w:r>
    </w:p>
    <w:p w14:paraId="67512133" w14:textId="77777777" w:rsidR="00E82D4E" w:rsidRPr="00E82D4E" w:rsidRDefault="00E82D4E" w:rsidP="00E82D4E">
      <w:pPr>
        <w:widowControl/>
        <w:numPr>
          <w:ilvl w:val="0"/>
          <w:numId w:val="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the contents should list sections like “Summary”, “Definitions”, “Risk Factors”, “Business”, “Financial Information”, etc., each with the page number where that section begins.</w:t>
      </w:r>
    </w:p>
    <w:p w14:paraId="2E7394E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Formatting expectations</w:t>
      </w:r>
    </w:p>
    <w:p w14:paraId="2324CAB9" w14:textId="77777777" w:rsidR="00E82D4E" w:rsidRPr="00E82D4E" w:rsidRDefault="00E82D4E" w:rsidP="00E82D4E">
      <w:pPr>
        <w:widowControl/>
        <w:numPr>
          <w:ilvl w:val="0"/>
          <w:numId w:val="1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output should exactly reflect the final document’s sectional breakdown, maintaining the formatting (often leaders or dot lines connecting section titles to page numbers) for a professional, compliant appearance.</w:t>
      </w:r>
    </w:p>
    <w:p w14:paraId="5581DC65"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11832506">
          <v:rect id="_x0000_i1049" alt="" style="width:415.3pt;height:.05pt;mso-width-percent:0;mso-height-percent:0;mso-width-percent:0;mso-height-percent:0" o:hralign="center" o:hrstd="t" o:hr="t" fillcolor="#a0a0a0" stroked="f"/>
        </w:pict>
      </w:r>
    </w:p>
    <w:p w14:paraId="71F0E994"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Summary</w:t>
      </w:r>
    </w:p>
    <w:p w14:paraId="423DB94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Role of the section</w:t>
      </w:r>
    </w:p>
    <w:p w14:paraId="54F95220" w14:textId="77777777" w:rsidR="00E82D4E" w:rsidRPr="00E82D4E" w:rsidRDefault="00E82D4E" w:rsidP="00E82D4E">
      <w:pPr>
        <w:widowControl/>
        <w:numPr>
          <w:ilvl w:val="0"/>
          <w:numId w:val="1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Summary section provides a high-level overview of the company and the offering, condensing critical information for a quick read.</w:t>
      </w:r>
    </w:p>
    <w:p w14:paraId="7BD0691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Structure &amp; required elements</w:t>
      </w:r>
    </w:p>
    <w:p w14:paraId="055CA4E6" w14:textId="77777777" w:rsidR="00E82D4E" w:rsidRPr="00E82D4E" w:rsidRDefault="00E82D4E" w:rsidP="00E82D4E">
      <w:pPr>
        <w:widowControl/>
        <w:numPr>
          <w:ilvl w:val="0"/>
          <w:numId w:val="1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structure this as a narrative that touches on all essential points: a brief introduction to the company’s business and industry, key financial figures, major strengths, strategies, and significant risks, as well as basic details of the offering.</w:t>
      </w:r>
    </w:p>
    <w:p w14:paraId="4E2EC3AD" w14:textId="77777777" w:rsidR="00E82D4E" w:rsidRPr="00E82D4E" w:rsidRDefault="00E82D4E" w:rsidP="00E82D4E">
      <w:pPr>
        <w:widowControl/>
        <w:numPr>
          <w:ilvl w:val="0"/>
          <w:numId w:val="1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begin with a statement of purpose (e.g. “This summary aims to give you an overview of the information contained in this prospectus... You should read the entire document before making any investment decision”) to remind readers that it’s only a synopsis.</w:t>
      </w:r>
    </w:p>
    <w:p w14:paraId="73159F8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Scope and content range</w:t>
      </w:r>
    </w:p>
    <w:p w14:paraId="1F971761" w14:textId="77777777" w:rsidR="00E82D4E" w:rsidRPr="00E82D4E" w:rsidRDefault="00E82D4E" w:rsidP="00E82D4E">
      <w:pPr>
        <w:widowControl/>
        <w:numPr>
          <w:ilvl w:val="0"/>
          <w:numId w:val="1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range must cover the company’s core business model and market position in a few sentences, highlight revenue/profit trends or other important financial metrics, and mention any distinctive aspects (for instance, the presence of a unique selling point or competitive advantage).</w:t>
      </w:r>
    </w:p>
    <w:p w14:paraId="0268A368" w14:textId="77777777" w:rsidR="00E82D4E" w:rsidRPr="00E82D4E" w:rsidRDefault="00E82D4E" w:rsidP="00E82D4E">
      <w:pPr>
        <w:widowControl/>
        <w:numPr>
          <w:ilvl w:val="0"/>
          <w:numId w:val="13"/>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include summarized financial information, often in table form, for the track record period (e.g. summary of income statements, balance sheets, and cash flows) to give investors a snapshot of performance.</w:t>
      </w:r>
    </w:p>
    <w:p w14:paraId="035184FB" w14:textId="77777777" w:rsidR="00E82D4E" w:rsidRPr="00E82D4E" w:rsidRDefault="00E82D4E" w:rsidP="00E82D4E">
      <w:pPr>
        <w:widowControl/>
        <w:numPr>
          <w:ilvl w:val="0"/>
          <w:numId w:val="1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summary also typically outlines a few material risk factors in brief, alerting investors to key risks (with a cross-reference to the Risk Factors section).</w:t>
      </w:r>
    </w:p>
    <w:p w14:paraId="69674D8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If applicable</w:t>
      </w:r>
    </w:p>
    <w:p w14:paraId="3B1520CE" w14:textId="77777777" w:rsidR="00E82D4E" w:rsidRPr="00E82D4E" w:rsidRDefault="00E82D4E" w:rsidP="00E82D4E">
      <w:pPr>
        <w:widowControl/>
        <w:numPr>
          <w:ilvl w:val="0"/>
          <w:numId w:val="1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applicable, it should note recent developments (such as significant post-period events or industry changes that affect the company) and the expected impact.</w:t>
      </w:r>
    </w:p>
    <w:p w14:paraId="349853F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&amp; level of detail</w:t>
      </w:r>
    </w:p>
    <w:p w14:paraId="52D99EAB" w14:textId="77777777" w:rsidR="00E82D4E" w:rsidRPr="00E82D4E" w:rsidRDefault="00E82D4E" w:rsidP="00E82D4E">
      <w:pPr>
        <w:widowControl/>
        <w:numPr>
          <w:ilvl w:val="0"/>
          <w:numId w:val="1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All information should be presented in a balanced, factual tone without marketing hype, and with enough granularity that an investor gains a solid understanding of the company’s profile and the offering terms – but not so detailed that it overwhelms (each point is concise, since fuller details appear in later sections).</w:t>
      </w:r>
    </w:p>
    <w:p w14:paraId="01A8D69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Overall purpose</w:t>
      </w:r>
    </w:p>
    <w:p w14:paraId="453D6234" w14:textId="77777777" w:rsidR="00E82D4E" w:rsidRPr="00E82D4E" w:rsidRDefault="00E82D4E" w:rsidP="00E82D4E">
      <w:pPr>
        <w:widowControl/>
        <w:numPr>
          <w:ilvl w:val="0"/>
          <w:numId w:val="1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Essentially, this section acts as an informative “executive summary” of the prospectus, covering business overview, financial highlights, key risks, and offering details in a structured, reader-friendly manner.</w:t>
      </w:r>
    </w:p>
    <w:p w14:paraId="5EED4EB0"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6F300CFA">
          <v:rect id="_x0000_i1048" alt="" style="width:415.3pt;height:.05pt;mso-width-percent:0;mso-height-percent:0;mso-width-percent:0;mso-height-percent:0" o:hralign="center" o:hrstd="t" o:hr="t" fillcolor="#a0a0a0" stroked="f"/>
        </w:pict>
      </w:r>
    </w:p>
    <w:p w14:paraId="50F0AD86"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Definitions</w:t>
      </w:r>
    </w:p>
    <w:p w14:paraId="3C3DC39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it is</w:t>
      </w:r>
    </w:p>
    <w:p w14:paraId="288691B7" w14:textId="77777777" w:rsidR="00E82D4E" w:rsidRPr="00E82D4E" w:rsidRDefault="00E82D4E" w:rsidP="00E82D4E">
      <w:pPr>
        <w:widowControl/>
        <w:numPr>
          <w:ilvl w:val="0"/>
          <w:numId w:val="1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Definitions section is a comprehensive glossary of defined terms used throughout the prospectus.</w:t>
      </w:r>
    </w:p>
    <w:p w14:paraId="4D90E2F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Required format</w:t>
      </w:r>
    </w:p>
    <w:p w14:paraId="4A60BEA7" w14:textId="77777777" w:rsidR="00E82D4E" w:rsidRPr="00E82D4E" w:rsidRDefault="00E82D4E" w:rsidP="00E82D4E">
      <w:pPr>
        <w:widowControl/>
        <w:numPr>
          <w:ilvl w:val="0"/>
          <w:numId w:val="1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output it as an alphabetical list of terms, each followed by a clear definition.</w:t>
      </w:r>
    </w:p>
    <w:p w14:paraId="7C7EF617" w14:textId="77777777" w:rsidR="00E82D4E" w:rsidRPr="00E82D4E" w:rsidRDefault="00E82D4E" w:rsidP="00E82D4E">
      <w:pPr>
        <w:widowControl/>
        <w:numPr>
          <w:ilvl w:val="0"/>
          <w:numId w:val="1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information framework is essentially a dictionary-style format: term on the left (often in quotation marks or bold), and its meaning on the right.</w:t>
      </w:r>
    </w:p>
    <w:p w14:paraId="2DB3C00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gets defined</w:t>
      </w:r>
    </w:p>
    <w:p w14:paraId="63D98C33" w14:textId="77777777" w:rsidR="00E82D4E" w:rsidRPr="00E82D4E" w:rsidRDefault="00E82D4E" w:rsidP="00E82D4E">
      <w:pPr>
        <w:widowControl/>
        <w:numPr>
          <w:ilvl w:val="0"/>
          <w:numId w:val="1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For example, it will define the company name (e.g. “Company Name” means the issuer and its subsidiaries), technical abbreviations, names of significant entities, and other repeated phrases.</w:t>
      </w:r>
    </w:p>
    <w:p w14:paraId="2BE47651" w14:textId="77777777" w:rsidR="00E82D4E" w:rsidRPr="00E82D4E" w:rsidRDefault="00E82D4E" w:rsidP="00E82D4E">
      <w:pPr>
        <w:widowControl/>
        <w:numPr>
          <w:ilvl w:val="0"/>
          <w:numId w:val="1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Standard content includes names of key people (“Mr. X” – followed by the person’s full name and title), company entities, regulatory authorities, industry terms, abbreviations for financial or legal terms, and any other jargon or short-form that appears in the document.</w:t>
      </w:r>
    </w:p>
    <w:p w14:paraId="769BC99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Accuracy &amp; completeness</w:t>
      </w:r>
    </w:p>
    <w:p w14:paraId="51912FE5" w14:textId="77777777" w:rsidR="00E82D4E" w:rsidRPr="00E82D4E" w:rsidRDefault="00E82D4E" w:rsidP="00E82D4E">
      <w:pPr>
        <w:widowControl/>
        <w:numPr>
          <w:ilvl w:val="0"/>
          <w:numId w:val="2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definition should be accurate and succinct, capturing the essence (for instance, defining “PRC” as “the People’s Republic of China, excluding for the purpose of this prospectus Hong Kong, Macau and Taiwan”).</w:t>
      </w:r>
    </w:p>
    <w:p w14:paraId="49E74B11" w14:textId="77777777" w:rsidR="00E82D4E" w:rsidRPr="00E82D4E" w:rsidRDefault="00E82D4E" w:rsidP="00E82D4E">
      <w:pPr>
        <w:widowControl/>
        <w:numPr>
          <w:ilvl w:val="0"/>
          <w:numId w:val="20"/>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requirement is that every significant term that could be unfamiliar or have a specific meaning in the context of this company/industry is included, to ensure the prospectus is self-contained in clarity.</w:t>
      </w:r>
    </w:p>
    <w:p w14:paraId="4937B413" w14:textId="77777777" w:rsidR="00E82D4E" w:rsidRPr="00E82D4E" w:rsidRDefault="00E82D4E" w:rsidP="00E82D4E">
      <w:pPr>
        <w:widowControl/>
        <w:numPr>
          <w:ilvl w:val="0"/>
          <w:numId w:val="2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output should maintain the exact phrasing used in the prospectus for consistency and legal precision.</w:t>
      </w:r>
    </w:p>
    <w:p w14:paraId="7904222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Style note</w:t>
      </w:r>
    </w:p>
    <w:p w14:paraId="2E9E350A" w14:textId="77777777" w:rsidR="00E82D4E" w:rsidRPr="00E82D4E" w:rsidRDefault="00E82D4E" w:rsidP="00E82D4E">
      <w:pPr>
        <w:widowControl/>
        <w:numPr>
          <w:ilvl w:val="0"/>
          <w:numId w:val="2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does not use narrative sentences, but rather a list format with each term’s definition separated, enabling readers to easily look up meanings of terms as they proceed through the document.</w:t>
      </w:r>
    </w:p>
    <w:p w14:paraId="06658D70"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216EBCB2">
          <v:rect id="_x0000_i1047" alt="" style="width:415.3pt;height:.05pt;mso-width-percent:0;mso-height-percent:0;mso-width-percent:0;mso-height-percent:0" o:hralign="center" o:hrstd="t" o:hr="t" fillcolor="#a0a0a0" stroked="f"/>
        </w:pict>
      </w:r>
    </w:p>
    <w:p w14:paraId="00EFBC23"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Glossary of Technical Terms</w:t>
      </w:r>
    </w:p>
    <w:p w14:paraId="081131E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How it differs from Definitions</w:t>
      </w:r>
    </w:p>
    <w:p w14:paraId="16B444B0" w14:textId="77777777" w:rsidR="00E82D4E" w:rsidRPr="00E82D4E" w:rsidRDefault="00E82D4E" w:rsidP="00E82D4E">
      <w:pPr>
        <w:widowControl/>
        <w:numPr>
          <w:ilvl w:val="0"/>
          <w:numId w:val="2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resembles the Definitions section but focuses on industry- or technical-specific terminology that a general investor might not know.</w:t>
      </w:r>
    </w:p>
    <w:p w14:paraId="1CBBC3C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Required format &amp; tone</w:t>
      </w:r>
    </w:p>
    <w:p w14:paraId="6A529573" w14:textId="77777777" w:rsidR="00E82D4E" w:rsidRPr="00E82D4E" w:rsidRDefault="00E82D4E" w:rsidP="00E82D4E">
      <w:pPr>
        <w:widowControl/>
        <w:numPr>
          <w:ilvl w:val="0"/>
          <w:numId w:val="2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produce an alphabetized list of technical terms or acronyms, each with a brief explanation.</w:t>
      </w:r>
    </w:p>
    <w:p w14:paraId="7D3C5166" w14:textId="77777777" w:rsidR="00E82D4E" w:rsidRPr="00E82D4E" w:rsidRDefault="00E82D4E" w:rsidP="00E82D4E">
      <w:pPr>
        <w:widowControl/>
        <w:numPr>
          <w:ilvl w:val="0"/>
          <w:numId w:val="23"/>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information framework is </w:t>
      </w:r>
      <w:proofErr w:type="gramStart"/>
      <w:r w:rsidRPr="00E82D4E">
        <w:rPr>
          <w:rFonts w:ascii="Times New Roman" w:eastAsia="宋体" w:hAnsi="Times New Roman" w:cs="Times New Roman"/>
          <w:color w:val="000000"/>
          <w:kern w:val="0"/>
          <w:sz w:val="22"/>
          <w:szCs w:val="22"/>
          <w14:ligatures w14:val="none"/>
        </w:rPr>
        <w:t>similar to</w:t>
      </w:r>
      <w:proofErr w:type="gramEnd"/>
      <w:r w:rsidRPr="00E82D4E">
        <w:rPr>
          <w:rFonts w:ascii="Times New Roman" w:eastAsia="宋体" w:hAnsi="Times New Roman" w:cs="Times New Roman"/>
          <w:color w:val="000000"/>
          <w:kern w:val="0"/>
          <w:sz w:val="22"/>
          <w:szCs w:val="22"/>
          <w14:ligatures w14:val="none"/>
        </w:rPr>
        <w:t xml:space="preserve"> a glossary entry: term followed by a one-line or short paragraph definition explaining it in plain language.</w:t>
      </w:r>
    </w:p>
    <w:p w14:paraId="0E0BBEE1" w14:textId="77777777" w:rsidR="00E82D4E" w:rsidRPr="00E82D4E" w:rsidRDefault="00E82D4E" w:rsidP="00E82D4E">
      <w:pPr>
        <w:widowControl/>
        <w:numPr>
          <w:ilvl w:val="0"/>
          <w:numId w:val="2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is factual and explanatory.</w:t>
      </w:r>
    </w:p>
    <w:p w14:paraId="73A664C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Content scope &amp; examples</w:t>
      </w:r>
    </w:p>
    <w:p w14:paraId="5174F21F" w14:textId="77777777" w:rsidR="00E82D4E" w:rsidRPr="00E82D4E" w:rsidRDefault="00E82D4E" w:rsidP="00E82D4E">
      <w:pPr>
        <w:widowControl/>
        <w:numPr>
          <w:ilvl w:val="0"/>
          <w:numId w:val="2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scope covers jargon, scientific or product terms, and industry-specific concepts related to the company’s business.</w:t>
      </w:r>
    </w:p>
    <w:p w14:paraId="0E796236" w14:textId="77777777" w:rsidR="00E82D4E" w:rsidRPr="00E82D4E" w:rsidRDefault="00E82D4E" w:rsidP="00E82D4E">
      <w:pPr>
        <w:widowControl/>
        <w:numPr>
          <w:ilvl w:val="0"/>
          <w:numId w:val="24"/>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in a technology company’s prospectus this might include definitions of technical standards or in a biotech prospectus, definitions of medical terms.</w:t>
      </w:r>
    </w:p>
    <w:p w14:paraId="61B96803" w14:textId="77777777" w:rsidR="00E82D4E" w:rsidRPr="00E82D4E" w:rsidRDefault="00E82D4E" w:rsidP="00E82D4E">
      <w:pPr>
        <w:widowControl/>
        <w:numPr>
          <w:ilvl w:val="0"/>
          <w:numId w:val="2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the case of Pop Mart, terms related to pop culture toys and IP might be included (e.g. definitions of “IP” in the context of Intellectual Property characters, or specific product category names).</w:t>
      </w:r>
    </w:p>
    <w:p w14:paraId="20D8365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Granularity &amp; consistency</w:t>
      </w:r>
    </w:p>
    <w:p w14:paraId="21A9C675" w14:textId="77777777" w:rsidR="00E82D4E" w:rsidRPr="00E82D4E" w:rsidRDefault="00E82D4E" w:rsidP="00E82D4E">
      <w:pPr>
        <w:widowControl/>
        <w:numPr>
          <w:ilvl w:val="0"/>
          <w:numId w:val="2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should be enough to give a reader basic understanding of each term – not a full essay, just a concise clarification.</w:t>
      </w:r>
    </w:p>
    <w:p w14:paraId="092F2CFB" w14:textId="77777777" w:rsidR="00E82D4E" w:rsidRPr="00E82D4E" w:rsidRDefault="00E82D4E" w:rsidP="00E82D4E">
      <w:pPr>
        <w:widowControl/>
        <w:numPr>
          <w:ilvl w:val="0"/>
          <w:numId w:val="25"/>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ensure consistency with how these terms are later used in the Business or Industry sections.</w:t>
      </w:r>
    </w:p>
    <w:p w14:paraId="71DD4EAE" w14:textId="77777777" w:rsidR="00E82D4E" w:rsidRPr="00E82D4E" w:rsidRDefault="00E82D4E" w:rsidP="00E82D4E">
      <w:pPr>
        <w:widowControl/>
        <w:numPr>
          <w:ilvl w:val="0"/>
          <w:numId w:val="2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if “blind box” or “pop toy” is a technical term, it should be defined (e.g. “Pop toys – toys infused with pop culture and trendy content, often sold in blind boxes”).</w:t>
      </w:r>
    </w:p>
    <w:p w14:paraId="52205D9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Why it matters</w:t>
      </w:r>
    </w:p>
    <w:p w14:paraId="3EB2ADB0" w14:textId="77777777" w:rsidR="00E82D4E" w:rsidRPr="00E82D4E" w:rsidRDefault="00E82D4E" w:rsidP="00E82D4E">
      <w:pPr>
        <w:widowControl/>
        <w:numPr>
          <w:ilvl w:val="0"/>
          <w:numId w:val="2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including this section, the prospectus ensures that all readers, regardless of background, can understand specialized terms used in describing the business and its industry.</w:t>
      </w:r>
    </w:p>
    <w:p w14:paraId="67BE183F"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3049C578">
          <v:rect id="_x0000_i1046" alt="" style="width:415.3pt;height:.05pt;mso-width-percent:0;mso-height-percent:0;mso-width-percent:0;mso-height-percent:0" o:hralign="center" o:hrstd="t" o:hr="t" fillcolor="#a0a0a0" stroked="f"/>
        </w:pict>
      </w:r>
    </w:p>
    <w:p w14:paraId="02B50487"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Forward-Looking Statements</w:t>
      </w:r>
    </w:p>
    <w:p w14:paraId="757B682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1A56F04B" w14:textId="77777777" w:rsidR="00E82D4E" w:rsidRPr="00E82D4E" w:rsidRDefault="00E82D4E" w:rsidP="00E82D4E">
      <w:pPr>
        <w:widowControl/>
        <w:numPr>
          <w:ilvl w:val="0"/>
          <w:numId w:val="2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Forward-Looking Statements section is a cautionary disclaimer explaining that certain statements in the prospectus are predictive or based on future expectations.</w:t>
      </w:r>
    </w:p>
    <w:p w14:paraId="144D351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Drafting requirements</w:t>
      </w:r>
    </w:p>
    <w:p w14:paraId="70FB07B3" w14:textId="77777777" w:rsidR="00E82D4E" w:rsidRPr="00E82D4E" w:rsidRDefault="00E82D4E" w:rsidP="00E82D4E">
      <w:pPr>
        <w:widowControl/>
        <w:numPr>
          <w:ilvl w:val="0"/>
          <w:numId w:val="2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draft this in formal, legal language, making clear that any statements about </w:t>
      </w:r>
      <w:proofErr w:type="gramStart"/>
      <w:r w:rsidRPr="00E82D4E">
        <w:rPr>
          <w:rFonts w:ascii="Times New Roman" w:eastAsia="宋体" w:hAnsi="Times New Roman" w:cs="Times New Roman"/>
          <w:color w:val="000000"/>
          <w:kern w:val="0"/>
          <w:sz w:val="22"/>
          <w:szCs w:val="22"/>
          <w14:ligatures w14:val="none"/>
        </w:rPr>
        <w:t>future plans</w:t>
      </w:r>
      <w:proofErr w:type="gramEnd"/>
      <w:r w:rsidRPr="00E82D4E">
        <w:rPr>
          <w:rFonts w:ascii="Times New Roman" w:eastAsia="宋体" w:hAnsi="Times New Roman" w:cs="Times New Roman"/>
          <w:color w:val="000000"/>
          <w:kern w:val="0"/>
          <w:sz w:val="22"/>
          <w:szCs w:val="22"/>
          <w14:ligatures w14:val="none"/>
        </w:rPr>
        <w:t>, prospects, or performance are not guarantees.</w:t>
      </w:r>
    </w:p>
    <w:p w14:paraId="69635563" w14:textId="77777777" w:rsidR="00E82D4E" w:rsidRPr="00E82D4E" w:rsidRDefault="00E82D4E" w:rsidP="00E82D4E">
      <w:pPr>
        <w:widowControl/>
        <w:numPr>
          <w:ilvl w:val="0"/>
          <w:numId w:val="2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typically states that forward-looking statements are based on assumptions and information currently available to the company, which may prove to be inaccurate.</w:t>
      </w:r>
    </w:p>
    <w:p w14:paraId="22CF9E7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must be covered</w:t>
      </w:r>
    </w:p>
    <w:p w14:paraId="11FE28F9" w14:textId="77777777" w:rsidR="00E82D4E" w:rsidRPr="00E82D4E" w:rsidRDefault="00E82D4E" w:rsidP="00E82D4E">
      <w:pPr>
        <w:widowControl/>
        <w:numPr>
          <w:ilvl w:val="0"/>
          <w:numId w:val="2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enumerate the kinds of statements that qualify (e.g. those regarding future growth, market demand, expansion plans, financial projections) and then warn that actual results could differ materially due to known or unknown risks and uncertainties.</w:t>
      </w:r>
    </w:p>
    <w:p w14:paraId="5E769CB7" w14:textId="77777777" w:rsidR="00E82D4E" w:rsidRPr="00E82D4E" w:rsidRDefault="00E82D4E" w:rsidP="00E82D4E">
      <w:pPr>
        <w:widowControl/>
        <w:numPr>
          <w:ilvl w:val="0"/>
          <w:numId w:val="2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 standard phrase would be that investors are cautioned not to place undue reliance on these forward-looking statements.</w:t>
      </w:r>
    </w:p>
    <w:p w14:paraId="0767048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Timing &amp; updating</w:t>
      </w:r>
    </w:p>
    <w:p w14:paraId="1625860A" w14:textId="77777777" w:rsidR="00E82D4E" w:rsidRPr="00E82D4E" w:rsidRDefault="00E82D4E" w:rsidP="00E82D4E">
      <w:pPr>
        <w:widowControl/>
        <w:numPr>
          <w:ilvl w:val="0"/>
          <w:numId w:val="3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section also often mentions that all forward-looking statements speak only as of the date of the prospectus, and the company undertakes no obligation to update them unless required by law.</w:t>
      </w:r>
    </w:p>
    <w:p w14:paraId="3893DCB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Typical structure</w:t>
      </w:r>
    </w:p>
    <w:p w14:paraId="1B86287A" w14:textId="77777777" w:rsidR="00E82D4E" w:rsidRPr="00E82D4E" w:rsidRDefault="00E82D4E" w:rsidP="00E82D4E">
      <w:pPr>
        <w:widowControl/>
        <w:numPr>
          <w:ilvl w:val="0"/>
          <w:numId w:val="3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information framework is generally a few cautionary paragraphs – starting by identifying forward-looking statements, then highlighting risk factors that could cause </w:t>
      </w:r>
      <w:r w:rsidRPr="00E82D4E">
        <w:rPr>
          <w:rFonts w:ascii="Times New Roman" w:eastAsia="宋体" w:hAnsi="Times New Roman" w:cs="Times New Roman"/>
          <w:color w:val="000000"/>
          <w:kern w:val="0"/>
          <w:sz w:val="22"/>
          <w:szCs w:val="22"/>
          <w14:ligatures w14:val="none"/>
        </w:rPr>
        <w:lastRenderedPageBreak/>
        <w:t>outcomes to differ, and ending with the qualification that the statements are expressly qualified by these cautionary notes.</w:t>
      </w:r>
    </w:p>
    <w:p w14:paraId="04CB905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level</w:t>
      </w:r>
    </w:p>
    <w:p w14:paraId="106C0530" w14:textId="77777777" w:rsidR="00E82D4E" w:rsidRPr="00E82D4E" w:rsidRDefault="00E82D4E" w:rsidP="00E82D4E">
      <w:pPr>
        <w:widowControl/>
        <w:numPr>
          <w:ilvl w:val="0"/>
          <w:numId w:val="3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is moderate: it doesn’t list every risk (since the Risk Factors section does that), but it provides enough examples of uncertainties (macroeconomic conditions, competition, regulatory changes, etc.) that could impact forward-looking information.</w:t>
      </w:r>
    </w:p>
    <w:p w14:paraId="1B0FB7C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Compliance emphasis</w:t>
      </w:r>
    </w:p>
    <w:p w14:paraId="450A8072" w14:textId="77777777" w:rsidR="00E82D4E" w:rsidRPr="00E82D4E" w:rsidRDefault="00E82D4E" w:rsidP="00E82D4E">
      <w:pPr>
        <w:widowControl/>
        <w:numPr>
          <w:ilvl w:val="0"/>
          <w:numId w:val="3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language should be highly precise and compliant, often mirroring standard safe-harbor disclaimers.</w:t>
      </w:r>
    </w:p>
    <w:p w14:paraId="3EEE7ADE" w14:textId="77777777" w:rsidR="00E82D4E" w:rsidRPr="00E82D4E" w:rsidRDefault="00E82D4E" w:rsidP="00E82D4E">
      <w:pPr>
        <w:widowControl/>
        <w:numPr>
          <w:ilvl w:val="0"/>
          <w:numId w:val="3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Essentially, this section serves to legally protect the company by alerting readers that predictions are subject to change and should be viewed with caution.</w:t>
      </w:r>
    </w:p>
    <w:p w14:paraId="5DEC6E3D"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1929470A">
          <v:rect id="_x0000_i1045" alt="" style="width:415.3pt;height:.05pt;mso-width-percent:0;mso-height-percent:0;mso-width-percent:0;mso-height-percent:0" o:hralign="center" o:hrstd="t" o:hr="t" fillcolor="#a0a0a0" stroked="f"/>
        </w:pict>
      </w:r>
    </w:p>
    <w:p w14:paraId="524E00F6"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Risk Factors</w:t>
      </w:r>
    </w:p>
    <w:p w14:paraId="1587BF4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Role and tone</w:t>
      </w:r>
    </w:p>
    <w:p w14:paraId="13C2AFF6" w14:textId="77777777" w:rsidR="00E82D4E" w:rsidRPr="00E82D4E" w:rsidRDefault="00E82D4E" w:rsidP="00E82D4E">
      <w:pPr>
        <w:widowControl/>
        <w:numPr>
          <w:ilvl w:val="0"/>
          <w:numId w:val="3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Risk Factors section contains a detailed discussion of all significant risks associated with the company’s business and the investment, written in a frank and thorough manner.</w:t>
      </w:r>
    </w:p>
    <w:p w14:paraId="2EE532A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Structure</w:t>
      </w:r>
    </w:p>
    <w:p w14:paraId="29D60D89" w14:textId="77777777" w:rsidR="00E82D4E" w:rsidRPr="00E82D4E" w:rsidRDefault="00E82D4E" w:rsidP="00E82D4E">
      <w:pPr>
        <w:widowControl/>
        <w:numPr>
          <w:ilvl w:val="0"/>
          <w:numId w:val="3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structure this as a series of sub-sections or bullet points (usually formatted as descriptive sub-headings with explanatory paragraphs) for each major risk.</w:t>
      </w:r>
    </w:p>
    <w:p w14:paraId="13D20FD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Coverage requirements</w:t>
      </w:r>
    </w:p>
    <w:p w14:paraId="7CB5B6F7" w14:textId="77777777" w:rsidR="00E82D4E" w:rsidRPr="00E82D4E" w:rsidRDefault="00E82D4E" w:rsidP="00E82D4E">
      <w:pPr>
        <w:widowControl/>
        <w:numPr>
          <w:ilvl w:val="0"/>
          <w:numId w:val="3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range must be comprehensive: covering industry-related risks, business and operational risks, financial and market risks, regulatory and legal risks, and any investment-specific risks (such as risks related to the offering structure or share price volatility).</w:t>
      </w:r>
    </w:p>
    <w:p w14:paraId="62390D1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Per-risk content</w:t>
      </w:r>
    </w:p>
    <w:p w14:paraId="41B88386" w14:textId="77777777" w:rsidR="00E82D4E" w:rsidRPr="00E82D4E" w:rsidRDefault="00E82D4E" w:rsidP="00E82D4E">
      <w:pPr>
        <w:widowControl/>
        <w:numPr>
          <w:ilvl w:val="0"/>
          <w:numId w:val="3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risk factor typically has a heading that states the risk in a crisp statement, followed by one or more paragraphs explaining why this is a risk and how it could adversely affect the company or investors.</w:t>
      </w:r>
    </w:p>
    <w:p w14:paraId="5E9A86CA" w14:textId="77777777" w:rsidR="00E82D4E" w:rsidRPr="00E82D4E" w:rsidRDefault="00E82D4E" w:rsidP="00E82D4E">
      <w:pPr>
        <w:widowControl/>
        <w:numPr>
          <w:ilvl w:val="0"/>
          <w:numId w:val="3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a risk factor heading might be, “We cannot assure you that our pop culture products will continue to be popular, and a decline in consumer interest could adversely affect our sales,” followed by details supporting that statement.</w:t>
      </w:r>
    </w:p>
    <w:p w14:paraId="6931EECA" w14:textId="77777777" w:rsidR="00E82D4E" w:rsidRPr="00E82D4E" w:rsidRDefault="00E82D4E" w:rsidP="00E82D4E">
      <w:pPr>
        <w:widowControl/>
        <w:numPr>
          <w:ilvl w:val="0"/>
          <w:numId w:val="3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output for each risk should include the context or cause of the risk, the potential negative outcome (impact on revenue, profit, reputation, regulatory compliance, etc.), and sometimes mitigating factors or the company’s response (though usually emphasis is on the downside).</w:t>
      </w:r>
    </w:p>
    <w:p w14:paraId="3BA29B7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Organization</w:t>
      </w:r>
    </w:p>
    <w:p w14:paraId="683212A5" w14:textId="77777777" w:rsidR="00E82D4E" w:rsidRPr="00E82D4E" w:rsidRDefault="00E82D4E" w:rsidP="00E82D4E">
      <w:pPr>
        <w:widowControl/>
        <w:numPr>
          <w:ilvl w:val="0"/>
          <w:numId w:val="38"/>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information framework is often grouped by type of risk, starting with those relating to the business/industry, then financial matters, then regulatory environment, and finally risks relating to the shares or the offering.</w:t>
      </w:r>
    </w:p>
    <w:p w14:paraId="6402208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w:t>
      </w:r>
    </w:p>
    <w:p w14:paraId="40A7AE8B" w14:textId="77777777" w:rsidR="00E82D4E" w:rsidRPr="00E82D4E" w:rsidRDefault="00E82D4E" w:rsidP="00E82D4E">
      <w:pPr>
        <w:widowControl/>
        <w:numPr>
          <w:ilvl w:val="0"/>
          <w:numId w:val="3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requirement is high: this section should err on the side of full disclosure, meaning each risk is described with sufficient detail and specific examples or figures (if relevant) to convey its seriousness.</w:t>
      </w:r>
    </w:p>
    <w:p w14:paraId="7BDFE4DB" w14:textId="77777777" w:rsidR="00E82D4E" w:rsidRPr="00E82D4E" w:rsidRDefault="00E82D4E" w:rsidP="00E82D4E">
      <w:pPr>
        <w:widowControl/>
        <w:numPr>
          <w:ilvl w:val="0"/>
          <w:numId w:val="3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if the company is heavily dependent on one product or one market, the risk factor will quantify that dependence and describe consequences of its change.</w:t>
      </w:r>
    </w:p>
    <w:p w14:paraId="575BA80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Compliance requirements</w:t>
      </w:r>
    </w:p>
    <w:p w14:paraId="724937B4" w14:textId="77777777" w:rsidR="00E82D4E" w:rsidRPr="00E82D4E" w:rsidRDefault="00E82D4E" w:rsidP="00E82D4E">
      <w:pPr>
        <w:widowControl/>
        <w:numPr>
          <w:ilvl w:val="0"/>
          <w:numId w:val="4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remains cautionary and factual, avoiding optimistic language.</w:t>
      </w:r>
    </w:p>
    <w:p w14:paraId="7DEAF291" w14:textId="77777777" w:rsidR="00E82D4E" w:rsidRPr="00E82D4E" w:rsidRDefault="00E82D4E" w:rsidP="00E82D4E">
      <w:pPr>
        <w:widowControl/>
        <w:numPr>
          <w:ilvl w:val="0"/>
          <w:numId w:val="4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It’s important the AI agent does not downplay any risk – compliance standards require that all material risks be clearly disclosed.</w:t>
      </w:r>
    </w:p>
    <w:p w14:paraId="3968A06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Investor value</w:t>
      </w:r>
    </w:p>
    <w:p w14:paraId="7DDDA53E" w14:textId="77777777" w:rsidR="00E82D4E" w:rsidRPr="00E82D4E" w:rsidRDefault="00E82D4E" w:rsidP="00E82D4E">
      <w:pPr>
        <w:widowControl/>
        <w:numPr>
          <w:ilvl w:val="0"/>
          <w:numId w:val="4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structuring the risk factors with clear headings and in-depth explanation, the AI’s output will ensure investors are well-informed of potential downsides before making an investment decision.</w:t>
      </w:r>
    </w:p>
    <w:p w14:paraId="3B192CF7"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5F97182F">
          <v:rect id="_x0000_i1044" alt="" style="width:415.3pt;height:.05pt;mso-width-percent:0;mso-height-percent:0;mso-width-percent:0;mso-height-percent:0" o:hralign="center" o:hrstd="t" o:hr="t" fillcolor="#a0a0a0" stroked="f"/>
        </w:pict>
      </w:r>
    </w:p>
    <w:p w14:paraId="4FDED9B8"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Waivers from Strict Compliance with Listing Rules (Waivers and Exemptions)</w:t>
      </w:r>
    </w:p>
    <w:p w14:paraId="3353477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1CE8FE4A" w14:textId="77777777" w:rsidR="00E82D4E" w:rsidRPr="00E82D4E" w:rsidRDefault="00E82D4E" w:rsidP="00E82D4E">
      <w:pPr>
        <w:widowControl/>
        <w:numPr>
          <w:ilvl w:val="0"/>
          <w:numId w:val="4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this section, the prospectus discloses any special dispensations the company has obtained from the stock exchange or regulators regarding listing requirements.</w:t>
      </w:r>
    </w:p>
    <w:p w14:paraId="31702BD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How to structure</w:t>
      </w:r>
    </w:p>
    <w:p w14:paraId="374F5BA2" w14:textId="77777777" w:rsidR="00E82D4E" w:rsidRPr="00E82D4E" w:rsidRDefault="00E82D4E" w:rsidP="00E82D4E">
      <w:pPr>
        <w:widowControl/>
        <w:numPr>
          <w:ilvl w:val="0"/>
          <w:numId w:val="4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enumerate each waiver or exemption the company sought, usually structured by the specific rule waived.</w:t>
      </w:r>
    </w:p>
    <w:p w14:paraId="7A7B1EF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Required components for each waiver</w:t>
      </w:r>
    </w:p>
    <w:p w14:paraId="606067D0" w14:textId="77777777" w:rsidR="00E82D4E" w:rsidRPr="00E82D4E" w:rsidRDefault="00E82D4E" w:rsidP="00E82D4E">
      <w:pPr>
        <w:widowControl/>
        <w:numPr>
          <w:ilvl w:val="0"/>
          <w:numId w:val="4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standard content includes a brief description of the requirement from which the company is exempted, the justification for seeking the waiver, and confirmation that the exchange or regulator granted it.</w:t>
      </w:r>
    </w:p>
    <w:p w14:paraId="6D7B6E4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Example pattern</w:t>
      </w:r>
    </w:p>
    <w:p w14:paraId="334374B6" w14:textId="77777777" w:rsidR="00E82D4E" w:rsidRPr="00E82D4E" w:rsidRDefault="00E82D4E" w:rsidP="00E82D4E">
      <w:pPr>
        <w:widowControl/>
        <w:numPr>
          <w:ilvl w:val="0"/>
          <w:numId w:val="4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For example, a common waiver in Hong Kong IPOs is for management presence in Hong Kong (if most directors reside outside Hong Kong) – the prospectus would explain this rule (Listing Rule X.Y requiring certain executives to reside in HK) and why the company cannot meet it, then note that a waiver was granted subject to conditions.</w:t>
      </w:r>
    </w:p>
    <w:p w14:paraId="3DE143C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&amp; rule referencing</w:t>
      </w:r>
    </w:p>
    <w:p w14:paraId="05F31FF0" w14:textId="77777777" w:rsidR="00E82D4E" w:rsidRPr="00E82D4E" w:rsidRDefault="00E82D4E" w:rsidP="00E82D4E">
      <w:pPr>
        <w:widowControl/>
        <w:numPr>
          <w:ilvl w:val="0"/>
          <w:numId w:val="4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waiver is typically presented as a sub-section with a heading (often the topic, like “Management Presence in Hong Kong”) followed by paragraphs detailing the situation.</w:t>
      </w:r>
    </w:p>
    <w:p w14:paraId="5B1CF574" w14:textId="77777777" w:rsidR="00E82D4E" w:rsidRPr="00E82D4E" w:rsidRDefault="00E82D4E" w:rsidP="00E82D4E">
      <w:pPr>
        <w:widowControl/>
        <w:numPr>
          <w:ilvl w:val="0"/>
          <w:numId w:val="4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output should provide the reason for each waiver (e.g., “due to the Company’s operations being primarily in the PRC, all executive Directors are based in the PRC, making strict compliance with the Hong Kong residency requirement impracticable”) and any conditions attached to the waiver (such as appointing a Hong Kong communication agent as an alternative measure).</w:t>
      </w:r>
    </w:p>
    <w:p w14:paraId="010156FC" w14:textId="77777777" w:rsidR="00E82D4E" w:rsidRPr="00E82D4E" w:rsidRDefault="00E82D4E" w:rsidP="00E82D4E">
      <w:pPr>
        <w:widowControl/>
        <w:numPr>
          <w:ilvl w:val="0"/>
          <w:numId w:val="4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information framework is factual and itemized; it may reference the exact Listing Rule numbers and their titles.</w:t>
      </w:r>
    </w:p>
    <w:p w14:paraId="2B72ADFB" w14:textId="77777777" w:rsidR="00E82D4E" w:rsidRPr="00E82D4E" w:rsidRDefault="00E82D4E" w:rsidP="00E82D4E">
      <w:pPr>
        <w:widowControl/>
        <w:numPr>
          <w:ilvl w:val="0"/>
          <w:numId w:val="4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is specific – it should cite the rule number and title, describe the extent of non-compliance, and the mitigation or alternative steps the company is taking due to the waiver.</w:t>
      </w:r>
    </w:p>
    <w:p w14:paraId="6989450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Transparency &amp; edge cases</w:t>
      </w:r>
    </w:p>
    <w:p w14:paraId="5229465D" w14:textId="77777777" w:rsidR="00E82D4E" w:rsidRPr="00E82D4E" w:rsidRDefault="00E82D4E" w:rsidP="00E82D4E">
      <w:pPr>
        <w:widowControl/>
        <w:numPr>
          <w:ilvl w:val="0"/>
          <w:numId w:val="4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ensures transparency about regulatory compliance: investors learn that the company does not fully meet certain standard rules but has obtained official permission to proceed anyway.</w:t>
      </w:r>
    </w:p>
    <w:p w14:paraId="147D3DD9" w14:textId="77777777" w:rsidR="00E82D4E" w:rsidRPr="00E82D4E" w:rsidRDefault="00E82D4E" w:rsidP="00E82D4E">
      <w:pPr>
        <w:widowControl/>
        <w:numPr>
          <w:ilvl w:val="0"/>
          <w:numId w:val="4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must ensure the explanation is clear that without these waivers, the company would not meet listing criteria, but with them, the listing is permitted.</w:t>
      </w:r>
    </w:p>
    <w:p w14:paraId="23BA5C11" w14:textId="77777777" w:rsidR="00E82D4E" w:rsidRPr="00E82D4E" w:rsidRDefault="00E82D4E" w:rsidP="00E82D4E">
      <w:pPr>
        <w:widowControl/>
        <w:numPr>
          <w:ilvl w:val="0"/>
          <w:numId w:val="4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Clarity and completeness in describing waivers (including any that were sought but not granted, if applicable) is crucial for compliance.</w:t>
      </w:r>
    </w:p>
    <w:p w14:paraId="3F6AAE6D"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42879CD7">
          <v:rect id="_x0000_i1043" alt="" style="width:415.3pt;height:.05pt;mso-width-percent:0;mso-height-percent:0;mso-width-percent:0;mso-height-percent:0" o:hralign="center" o:hrstd="t" o:hr="t" fillcolor="#a0a0a0" stroked="f"/>
        </w:pict>
      </w:r>
    </w:p>
    <w:p w14:paraId="7AB2528D"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Information about this Prospectus and the Global Offering</w:t>
      </w:r>
    </w:p>
    <w:p w14:paraId="2615EBF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3209A55E" w14:textId="77777777" w:rsidR="00E82D4E" w:rsidRPr="00E82D4E" w:rsidRDefault="00E82D4E" w:rsidP="00E82D4E">
      <w:pPr>
        <w:widowControl/>
        <w:numPr>
          <w:ilvl w:val="0"/>
          <w:numId w:val="48"/>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provides important notices to investors on how to interpret the document and details about the offering process.</w:t>
      </w:r>
    </w:p>
    <w:p w14:paraId="3719C3B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w:t>
      </w:r>
    </w:p>
    <w:p w14:paraId="72752E25" w14:textId="77777777" w:rsidR="00E82D4E" w:rsidRPr="00E82D4E" w:rsidRDefault="00E82D4E" w:rsidP="00E82D4E">
      <w:pPr>
        <w:widowControl/>
        <w:numPr>
          <w:ilvl w:val="0"/>
          <w:numId w:val="4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write it as a series of informational points or short paragraphs.</w:t>
      </w:r>
    </w:p>
    <w:p w14:paraId="1478414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Standard content that must appear</w:t>
      </w:r>
    </w:p>
    <w:p w14:paraId="646CC942" w14:textId="77777777" w:rsidR="00E82D4E" w:rsidRPr="00E82D4E" w:rsidRDefault="00E82D4E" w:rsidP="00E82D4E">
      <w:pPr>
        <w:widowControl/>
        <w:numPr>
          <w:ilvl w:val="0"/>
          <w:numId w:val="5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Standard content </w:t>
      </w:r>
      <w:proofErr w:type="gramStart"/>
      <w:r w:rsidRPr="00E82D4E">
        <w:rPr>
          <w:rFonts w:ascii="Times New Roman" w:eastAsia="宋体" w:hAnsi="Times New Roman" w:cs="Times New Roman"/>
          <w:color w:val="000000"/>
          <w:kern w:val="0"/>
          <w:sz w:val="22"/>
          <w:szCs w:val="22"/>
          <w14:ligatures w14:val="none"/>
        </w:rPr>
        <w:t>includes:</w:t>
      </w:r>
      <w:proofErr w:type="gramEnd"/>
      <w:r w:rsidRPr="00E82D4E">
        <w:rPr>
          <w:rFonts w:ascii="Times New Roman" w:eastAsia="宋体" w:hAnsi="Times New Roman" w:cs="Times New Roman"/>
          <w:color w:val="000000"/>
          <w:kern w:val="0"/>
          <w:sz w:val="22"/>
          <w:szCs w:val="22"/>
          <w14:ligatures w14:val="none"/>
        </w:rPr>
        <w:t xml:space="preserve"> distribution and reliance – a statement that the prospectus is the only authorized source of information and that no one is authorized to provide different information (investors should not rely on any other sources).</w:t>
      </w:r>
    </w:p>
    <w:p w14:paraId="3C71D6F9" w14:textId="77777777" w:rsidR="00E82D4E" w:rsidRPr="00E82D4E" w:rsidRDefault="00E82D4E" w:rsidP="00E82D4E">
      <w:pPr>
        <w:widowControl/>
        <w:numPr>
          <w:ilvl w:val="0"/>
          <w:numId w:val="5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It often clarifies that the prospectus does not constitute an offer in any jurisdiction where it’s not permitted, cautioning investors regarding the distribution of the document across borders.</w:t>
      </w:r>
    </w:p>
    <w:p w14:paraId="7650DAC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Offering mechanics references</w:t>
      </w:r>
    </w:p>
    <w:p w14:paraId="16E71490" w14:textId="77777777" w:rsidR="00E82D4E" w:rsidRPr="00E82D4E" w:rsidRDefault="00E82D4E" w:rsidP="00E82D4E">
      <w:pPr>
        <w:widowControl/>
        <w:numPr>
          <w:ilvl w:val="0"/>
          <w:numId w:val="5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also discloses arrangements for the offering, such as how the shares will be delivered and traded.</w:t>
      </w:r>
    </w:p>
    <w:p w14:paraId="3A0C983A" w14:textId="77777777" w:rsidR="00E82D4E" w:rsidRPr="00E82D4E" w:rsidRDefault="00E82D4E" w:rsidP="00E82D4E">
      <w:pPr>
        <w:widowControl/>
        <w:numPr>
          <w:ilvl w:val="0"/>
          <w:numId w:val="5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in a Hong Kong offering, it would mention that the shares will be listed on Exchange and that they will be admitted into CCASS (the Central Clearing and Settlement System) – indicating clearing and settlement arrangements.</w:t>
      </w:r>
    </w:p>
    <w:p w14:paraId="1038C097" w14:textId="77777777" w:rsidR="00E82D4E" w:rsidRPr="00E82D4E" w:rsidRDefault="00E82D4E" w:rsidP="00E82D4E">
      <w:pPr>
        <w:widowControl/>
        <w:numPr>
          <w:ilvl w:val="0"/>
          <w:numId w:val="5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section might mention the procedures for the Hong Kong Public Offering vs. international tranche in broad </w:t>
      </w:r>
      <w:proofErr w:type="gramStart"/>
      <w:r w:rsidRPr="00E82D4E">
        <w:rPr>
          <w:rFonts w:ascii="Times New Roman" w:eastAsia="宋体" w:hAnsi="Times New Roman" w:cs="Times New Roman"/>
          <w:color w:val="000000"/>
          <w:kern w:val="0"/>
          <w:sz w:val="22"/>
          <w:szCs w:val="22"/>
          <w14:ligatures w14:val="none"/>
        </w:rPr>
        <w:t>terms, or</w:t>
      </w:r>
      <w:proofErr w:type="gramEnd"/>
      <w:r w:rsidRPr="00E82D4E">
        <w:rPr>
          <w:rFonts w:ascii="Times New Roman" w:eastAsia="宋体" w:hAnsi="Times New Roman" w:cs="Times New Roman"/>
          <w:color w:val="000000"/>
          <w:kern w:val="0"/>
          <w:sz w:val="22"/>
          <w:szCs w:val="22"/>
          <w14:ligatures w14:val="none"/>
        </w:rPr>
        <w:t xml:space="preserve"> refer to where those details are found.</w:t>
      </w:r>
    </w:p>
    <w:p w14:paraId="6C411A5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Currency and exchange rate disclosure</w:t>
      </w:r>
    </w:p>
    <w:p w14:paraId="189BC835" w14:textId="77777777" w:rsidR="00E82D4E" w:rsidRPr="00E82D4E" w:rsidRDefault="00E82D4E" w:rsidP="00E82D4E">
      <w:pPr>
        <w:widowControl/>
        <w:numPr>
          <w:ilvl w:val="0"/>
          <w:numId w:val="5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Another key element is currency and exchange rate information: the prospectus usually states the exchange rate assumptions used for any conversions (e.g., amounts in USD have been converted to HKD at a specified rate for illustration).</w:t>
      </w:r>
    </w:p>
    <w:p w14:paraId="2B5C5BDE" w14:textId="77777777" w:rsidR="00E82D4E" w:rsidRPr="00E82D4E" w:rsidRDefault="00E82D4E" w:rsidP="00E82D4E">
      <w:pPr>
        <w:widowControl/>
        <w:numPr>
          <w:ilvl w:val="0"/>
          <w:numId w:val="5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include a note on exchange rate conversion if the document contains figures in multiple currencies, ensuring investors understand how foreign currency amounts are translated.</w:t>
      </w:r>
    </w:p>
    <w:p w14:paraId="113D197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possible notices</w:t>
      </w:r>
    </w:p>
    <w:p w14:paraId="7007689C" w14:textId="77777777" w:rsidR="00E82D4E" w:rsidRPr="00E82D4E" w:rsidRDefault="00E82D4E" w:rsidP="00E82D4E">
      <w:pPr>
        <w:widowControl/>
        <w:numPr>
          <w:ilvl w:val="0"/>
          <w:numId w:val="5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Additionally, any references to legal registration of the prospectus (such as it </w:t>
      </w:r>
      <w:proofErr w:type="gramStart"/>
      <w:r w:rsidRPr="00E82D4E">
        <w:rPr>
          <w:rFonts w:ascii="Times New Roman" w:eastAsia="宋体" w:hAnsi="Times New Roman" w:cs="Times New Roman"/>
          <w:color w:val="000000"/>
          <w:kern w:val="0"/>
          <w:sz w:val="22"/>
          <w:szCs w:val="22"/>
          <w14:ligatures w14:val="none"/>
        </w:rPr>
        <w:t>having</w:t>
      </w:r>
      <w:proofErr w:type="gramEnd"/>
      <w:r w:rsidRPr="00E82D4E">
        <w:rPr>
          <w:rFonts w:ascii="Times New Roman" w:eastAsia="宋体" w:hAnsi="Times New Roman" w:cs="Times New Roman"/>
          <w:color w:val="000000"/>
          <w:kern w:val="0"/>
          <w:sz w:val="22"/>
          <w:szCs w:val="22"/>
          <w14:ligatures w14:val="none"/>
        </w:rPr>
        <w:t xml:space="preserve"> been registered with the Companies Registry) or the availability of the document (website info, etc.) might be mentioned.</w:t>
      </w:r>
    </w:p>
    <w:p w14:paraId="67451C3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and legal responsibility</w:t>
      </w:r>
    </w:p>
    <w:p w14:paraId="615820E7" w14:textId="77777777" w:rsidR="00E82D4E" w:rsidRPr="00E82D4E" w:rsidRDefault="00E82D4E" w:rsidP="00E82D4E">
      <w:pPr>
        <w:widowControl/>
        <w:numPr>
          <w:ilvl w:val="0"/>
          <w:numId w:val="5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here is moderate: each point should be clear and not overly detailed, since this is largely a reference section.</w:t>
      </w:r>
    </w:p>
    <w:p w14:paraId="0CF31D3B" w14:textId="77777777" w:rsidR="00E82D4E" w:rsidRPr="00E82D4E" w:rsidRDefault="00E82D4E" w:rsidP="00E82D4E">
      <w:pPr>
        <w:widowControl/>
        <w:numPr>
          <w:ilvl w:val="0"/>
          <w:numId w:val="5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But it must not omit any standard notice or legal requirement – for instance, statements about the responsibility of directors for the contents of the prospectus (directors collectively accept responsibility for accuracy) often appear around here or in a similar introductory section.</w:t>
      </w:r>
    </w:p>
    <w:p w14:paraId="65B515B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&amp; investor value</w:t>
      </w:r>
    </w:p>
    <w:p w14:paraId="6F0EA036" w14:textId="77777777" w:rsidR="00E82D4E" w:rsidRPr="00E82D4E" w:rsidRDefault="00E82D4E" w:rsidP="00E82D4E">
      <w:pPr>
        <w:widowControl/>
        <w:numPr>
          <w:ilvl w:val="0"/>
          <w:numId w:val="5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remains formal and explanatory.</w:t>
      </w:r>
    </w:p>
    <w:p w14:paraId="1F252132" w14:textId="77777777" w:rsidR="00E82D4E" w:rsidRPr="00E82D4E" w:rsidRDefault="00E82D4E" w:rsidP="00E82D4E">
      <w:pPr>
        <w:widowControl/>
        <w:numPr>
          <w:ilvl w:val="0"/>
          <w:numId w:val="5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covering how to use the prospectus, legal notices, and key offering arrangements, this section guides investors in understanding the context and validity of the information presented.</w:t>
      </w:r>
    </w:p>
    <w:p w14:paraId="6E772C17"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6798AECF">
          <v:rect id="_x0000_i1042" alt="" style="width:415.3pt;height:.05pt;mso-width-percent:0;mso-height-percent:0;mso-width-percent:0;mso-height-percent:0" o:hralign="center" o:hrstd="t" o:hr="t" fillcolor="#a0a0a0" stroked="f"/>
        </w:pict>
      </w:r>
    </w:p>
    <w:p w14:paraId="6CE35FA5"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Directors and Parties Involved in the Global Offering</w:t>
      </w:r>
    </w:p>
    <w:p w14:paraId="69D92F5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 &amp; format</w:t>
      </w:r>
    </w:p>
    <w:p w14:paraId="4BFA9DFC" w14:textId="77777777" w:rsidR="00E82D4E" w:rsidRPr="00E82D4E" w:rsidRDefault="00E82D4E" w:rsidP="00E82D4E">
      <w:pPr>
        <w:widowControl/>
        <w:numPr>
          <w:ilvl w:val="0"/>
          <w:numId w:val="5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This section lists the key individuals and firms involved in the IPO.</w:t>
      </w:r>
    </w:p>
    <w:p w14:paraId="688BA3E9" w14:textId="77777777" w:rsidR="00E82D4E" w:rsidRPr="00E82D4E" w:rsidRDefault="00E82D4E" w:rsidP="00E82D4E">
      <w:pPr>
        <w:widowControl/>
        <w:numPr>
          <w:ilvl w:val="0"/>
          <w:numId w:val="5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format this as a directory of names and roles.</w:t>
      </w:r>
    </w:p>
    <w:p w14:paraId="501C19E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Overall framework</w:t>
      </w:r>
    </w:p>
    <w:p w14:paraId="611AA136" w14:textId="77777777" w:rsidR="00E82D4E" w:rsidRPr="00E82D4E" w:rsidRDefault="00E82D4E" w:rsidP="00E82D4E">
      <w:pPr>
        <w:widowControl/>
        <w:numPr>
          <w:ilvl w:val="0"/>
          <w:numId w:val="5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framework is typically divided into two parts: the Company’s directors and senior management, and the professional advisors/parties.</w:t>
      </w:r>
    </w:p>
    <w:p w14:paraId="55A77CD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Directors and their details</w:t>
      </w:r>
    </w:p>
    <w:p w14:paraId="156D3759" w14:textId="77777777" w:rsidR="00E82D4E" w:rsidRPr="00E82D4E" w:rsidRDefault="00E82D4E" w:rsidP="00E82D4E">
      <w:pPr>
        <w:widowControl/>
        <w:numPr>
          <w:ilvl w:val="0"/>
          <w:numId w:val="5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First, it names the directors of the company (often with their titles).</w:t>
      </w:r>
    </w:p>
    <w:p w14:paraId="19F112BF" w14:textId="77777777" w:rsidR="00E82D4E" w:rsidRPr="00E82D4E" w:rsidRDefault="00E82D4E" w:rsidP="00E82D4E">
      <w:pPr>
        <w:widowControl/>
        <w:numPr>
          <w:ilvl w:val="0"/>
          <w:numId w:val="5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Hong Kong prospectuses, this may include a table with columns for Name, Address, and Nationality of each director.</w:t>
      </w:r>
    </w:p>
    <w:p w14:paraId="5068F2D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Transaction parties</w:t>
      </w:r>
    </w:p>
    <w:p w14:paraId="65381610" w14:textId="77777777" w:rsidR="00E82D4E" w:rsidRPr="00E82D4E" w:rsidRDefault="00E82D4E" w:rsidP="00E82D4E">
      <w:pPr>
        <w:widowControl/>
        <w:numPr>
          <w:ilvl w:val="0"/>
          <w:numId w:val="5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Right after directors, it may list the Joint Sponsors, Global Coordinators, Bookrunners, and Lead Managers, naming each investment bank involved in those underwriting roles.</w:t>
      </w:r>
    </w:p>
    <w:p w14:paraId="33B3515C" w14:textId="77777777" w:rsidR="00E82D4E" w:rsidRPr="00E82D4E" w:rsidRDefault="00E82D4E" w:rsidP="00E82D4E">
      <w:pPr>
        <w:widowControl/>
        <w:numPr>
          <w:ilvl w:val="0"/>
          <w:numId w:val="5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it includes other professional parties: the legal advisors (Hong Kong counsel, international counsel, PRC counsel – naming the law firms), the auditors/reporting accountants, valuers (if any), and other experts.</w:t>
      </w:r>
    </w:p>
    <w:p w14:paraId="0144FF5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Per-entry requirements</w:t>
      </w:r>
    </w:p>
    <w:p w14:paraId="4F04093D" w14:textId="77777777" w:rsidR="00E82D4E" w:rsidRPr="00E82D4E" w:rsidRDefault="00E82D4E" w:rsidP="00E82D4E">
      <w:pPr>
        <w:widowControl/>
        <w:numPr>
          <w:ilvl w:val="0"/>
          <w:numId w:val="6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entry should include the name of the firm or person and their role or capacity.</w:t>
      </w:r>
    </w:p>
    <w:p w14:paraId="68E34D30" w14:textId="77777777" w:rsidR="00E82D4E" w:rsidRPr="00E82D4E" w:rsidRDefault="00E82D4E" w:rsidP="00E82D4E">
      <w:pPr>
        <w:widowControl/>
        <w:numPr>
          <w:ilvl w:val="0"/>
          <w:numId w:val="6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“Auditor and Reporting Accountant: XYZ &amp; Co., Certified Public Accountants”.</w:t>
      </w:r>
    </w:p>
    <w:p w14:paraId="7315228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Addresses and completeness</w:t>
      </w:r>
    </w:p>
    <w:p w14:paraId="0CDB3538" w14:textId="77777777" w:rsidR="00E82D4E" w:rsidRPr="00E82D4E" w:rsidRDefault="00E82D4E" w:rsidP="00E82D4E">
      <w:pPr>
        <w:widowControl/>
        <w:numPr>
          <w:ilvl w:val="0"/>
          <w:numId w:val="6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also provides addresses for some parties, such as the company’s registered address (which might also appear in the Corporate Information section) and often the addresses of the sponsors or auditors.</w:t>
      </w:r>
    </w:p>
    <w:p w14:paraId="50956F72" w14:textId="77777777" w:rsidR="00E82D4E" w:rsidRPr="00E82D4E" w:rsidRDefault="00E82D4E" w:rsidP="00E82D4E">
      <w:pPr>
        <w:widowControl/>
        <w:numPr>
          <w:ilvl w:val="0"/>
          <w:numId w:val="6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is literal here: every significant party to the offering must be named exactly as in official records.</w:t>
      </w:r>
    </w:p>
    <w:p w14:paraId="0FE15AE8" w14:textId="77777777" w:rsidR="00E82D4E" w:rsidRPr="00E82D4E" w:rsidRDefault="00E82D4E" w:rsidP="00E82D4E">
      <w:pPr>
        <w:widowControl/>
        <w:numPr>
          <w:ilvl w:val="0"/>
          <w:numId w:val="6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output should ensure no party is omitted (including any compliance adviser, receiving bankers, share registrars, etc., if they are listed in this section of the template prospectus).</w:t>
      </w:r>
    </w:p>
    <w:p w14:paraId="53693EB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Style &amp; accuracy</w:t>
      </w:r>
    </w:p>
    <w:p w14:paraId="0798A4F1" w14:textId="77777777" w:rsidR="00E82D4E" w:rsidRPr="00E82D4E" w:rsidRDefault="00E82D4E" w:rsidP="00E82D4E">
      <w:pPr>
        <w:widowControl/>
        <w:numPr>
          <w:ilvl w:val="0"/>
          <w:numId w:val="6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style is a straightforward listing, possibly using indentation or table format to clearly distinguish categories (e.g., Directors vs. Other Parties).</w:t>
      </w:r>
    </w:p>
    <w:p w14:paraId="05FC6195" w14:textId="77777777" w:rsidR="00E82D4E" w:rsidRPr="00E82D4E" w:rsidRDefault="00E82D4E" w:rsidP="00E82D4E">
      <w:pPr>
        <w:widowControl/>
        <w:numPr>
          <w:ilvl w:val="0"/>
          <w:numId w:val="6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Accuracy in spelling of names and inclusion of any professional qualifications (like “FCPA” for accountants, or law firm designations) is important.</w:t>
      </w:r>
    </w:p>
    <w:p w14:paraId="3E38552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No narrative</w:t>
      </w:r>
    </w:p>
    <w:p w14:paraId="12280367" w14:textId="77777777" w:rsidR="00E82D4E" w:rsidRPr="00E82D4E" w:rsidRDefault="00E82D4E" w:rsidP="00E82D4E">
      <w:pPr>
        <w:widowControl/>
        <w:numPr>
          <w:ilvl w:val="0"/>
          <w:numId w:val="6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does not narrate, but rather serves as a who’s who directory for the transaction.</w:t>
      </w:r>
    </w:p>
    <w:p w14:paraId="24174369" w14:textId="77777777" w:rsidR="00E82D4E" w:rsidRPr="00E82D4E" w:rsidRDefault="00E82D4E" w:rsidP="00E82D4E">
      <w:pPr>
        <w:widowControl/>
        <w:numPr>
          <w:ilvl w:val="0"/>
          <w:numId w:val="6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assures readers that all key players in the IPO process are disclosed, as required.</w:t>
      </w:r>
    </w:p>
    <w:p w14:paraId="2B81E771"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lastRenderedPageBreak/>
        <w:pict w14:anchorId="677718B5">
          <v:rect id="_x0000_i1041" alt="" style="width:415.3pt;height:.05pt;mso-width-percent:0;mso-height-percent:0;mso-width-percent:0;mso-height-percent:0" o:hralign="center" o:hrstd="t" o:hr="t" fillcolor="#a0a0a0" stroked="f"/>
        </w:pict>
      </w:r>
    </w:p>
    <w:p w14:paraId="31989ACA"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Corporate Information</w:t>
      </w:r>
    </w:p>
    <w:p w14:paraId="46770ED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it is</w:t>
      </w:r>
    </w:p>
    <w:p w14:paraId="60808D84" w14:textId="77777777" w:rsidR="00E82D4E" w:rsidRPr="00E82D4E" w:rsidRDefault="00E82D4E" w:rsidP="00E82D4E">
      <w:pPr>
        <w:widowControl/>
        <w:numPr>
          <w:ilvl w:val="0"/>
          <w:numId w:val="6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Corporate Information section provides basic data about the company’s corporate and contact details.</w:t>
      </w:r>
    </w:p>
    <w:p w14:paraId="3EC1EB2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w:t>
      </w:r>
    </w:p>
    <w:p w14:paraId="3066133A" w14:textId="77777777" w:rsidR="00E82D4E" w:rsidRPr="00E82D4E" w:rsidRDefault="00E82D4E" w:rsidP="00E82D4E">
      <w:pPr>
        <w:widowControl/>
        <w:numPr>
          <w:ilvl w:val="0"/>
          <w:numId w:val="6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output this as a concise reference block.</w:t>
      </w:r>
    </w:p>
    <w:p w14:paraId="56FC616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Typical content (must include as applicable)</w:t>
      </w:r>
    </w:p>
    <w:p w14:paraId="2B3265C5" w14:textId="77777777" w:rsidR="00E82D4E" w:rsidRPr="00E82D4E" w:rsidRDefault="00E82D4E" w:rsidP="00E82D4E">
      <w:pPr>
        <w:widowControl/>
        <w:numPr>
          <w:ilvl w:val="0"/>
          <w:numId w:val="6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typically includes: Registered office (usually an address in the company’s jurisdiction of incorporation), Headquarters or principal executive office (if different, often an address in the company’s main place of business), Company’s website, Company Secretary (name of the company secretary), Authorized Representatives (names of individuals who act as liaisons with the stock exchange), and Compliance Advisor (if one is appointed for post-listing compliance, usually a financial firm’s name).</w:t>
      </w:r>
    </w:p>
    <w:p w14:paraId="477701DF" w14:textId="77777777" w:rsidR="00E82D4E" w:rsidRPr="00E82D4E" w:rsidRDefault="00E82D4E" w:rsidP="00E82D4E">
      <w:pPr>
        <w:widowControl/>
        <w:numPr>
          <w:ilvl w:val="0"/>
          <w:numId w:val="6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also names the Hong Kong share registrar (with address) if the company is listing in HK, and any other share registrars for other jurisdictions if applicable.</w:t>
      </w:r>
    </w:p>
    <w:p w14:paraId="3B8F908B" w14:textId="77777777" w:rsidR="00E82D4E" w:rsidRPr="00E82D4E" w:rsidRDefault="00E82D4E" w:rsidP="00E82D4E">
      <w:pPr>
        <w:widowControl/>
        <w:numPr>
          <w:ilvl w:val="0"/>
          <w:numId w:val="6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Additionally, basic corporate particulars like the company’s date of incorporation and company number may be included, as well as the stock code (once assigned).</w:t>
      </w:r>
    </w:p>
    <w:p w14:paraId="0DA8F7B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Example style</w:t>
      </w:r>
    </w:p>
    <w:p w14:paraId="2635064C" w14:textId="77777777" w:rsidR="00E82D4E" w:rsidRPr="00E82D4E" w:rsidRDefault="00E82D4E" w:rsidP="00E82D4E">
      <w:pPr>
        <w:widowControl/>
        <w:numPr>
          <w:ilvl w:val="0"/>
          <w:numId w:val="6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standard content range is factual and formal.</w:t>
      </w:r>
    </w:p>
    <w:p w14:paraId="5B3F5604" w14:textId="77777777" w:rsidR="00E82D4E" w:rsidRPr="00E82D4E" w:rsidRDefault="00E82D4E" w:rsidP="00E82D4E">
      <w:pPr>
        <w:widowControl/>
        <w:numPr>
          <w:ilvl w:val="0"/>
          <w:numId w:val="6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it would state, “Registered Office: 3-212 Governors Square, 23 Lime Tree Bay Avenue, Grand Cayman, Cayman Islands”, “Company’s principal place of business in Hong Kong: [address]”, “Company website:</w:t>
      </w:r>
      <w:hyperlink r:id="rId5" w:history="1">
        <w:r w:rsidRPr="00E82D4E">
          <w:rPr>
            <w:rFonts w:ascii="Times New Roman" w:eastAsia="宋体" w:hAnsi="Times New Roman" w:cs="Times New Roman"/>
            <w:color w:val="000000"/>
            <w:kern w:val="0"/>
            <w:sz w:val="22"/>
            <w:szCs w:val="22"/>
            <w14:ligatures w14:val="none"/>
          </w:rPr>
          <w:t xml:space="preserve"> </w:t>
        </w:r>
        <w:r w:rsidRPr="00E82D4E">
          <w:rPr>
            <w:rFonts w:ascii="Times New Roman" w:eastAsia="宋体" w:hAnsi="Times New Roman" w:cs="Times New Roman"/>
            <w:color w:val="1155CC"/>
            <w:kern w:val="0"/>
            <w:sz w:val="22"/>
            <w:szCs w:val="22"/>
            <w:u w:val="single"/>
            <w14:ligatures w14:val="none"/>
          </w:rPr>
          <w:t>www.xyz.com”</w:t>
        </w:r>
      </w:hyperlink>
      <w:r w:rsidRPr="00E82D4E">
        <w:rPr>
          <w:rFonts w:ascii="Times New Roman" w:eastAsia="宋体" w:hAnsi="Times New Roman" w:cs="Times New Roman"/>
          <w:color w:val="000000"/>
          <w:kern w:val="0"/>
          <w:sz w:val="22"/>
          <w:szCs w:val="22"/>
          <w14:ligatures w14:val="none"/>
        </w:rPr>
        <w:t>, etc.</w:t>
      </w:r>
    </w:p>
    <w:p w14:paraId="27D3D17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&amp; formatting</w:t>
      </w:r>
    </w:p>
    <w:p w14:paraId="04168471" w14:textId="77777777" w:rsidR="00E82D4E" w:rsidRPr="00E82D4E" w:rsidRDefault="00E82D4E" w:rsidP="00E82D4E">
      <w:pPr>
        <w:widowControl/>
        <w:numPr>
          <w:ilvl w:val="0"/>
          <w:numId w:val="6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is specific: every key contact detail should be present.</w:t>
      </w:r>
    </w:p>
    <w:p w14:paraId="6EE392DA" w14:textId="77777777" w:rsidR="00E82D4E" w:rsidRPr="00E82D4E" w:rsidRDefault="00E82D4E" w:rsidP="00E82D4E">
      <w:pPr>
        <w:widowControl/>
        <w:numPr>
          <w:ilvl w:val="0"/>
          <w:numId w:val="6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usually does not have sentences, but a list of labels and information.</w:t>
      </w:r>
    </w:p>
    <w:p w14:paraId="2B85B10E" w14:textId="77777777" w:rsidR="00E82D4E" w:rsidRPr="00E82D4E" w:rsidRDefault="00E82D4E" w:rsidP="00E82D4E">
      <w:pPr>
        <w:widowControl/>
        <w:numPr>
          <w:ilvl w:val="0"/>
          <w:numId w:val="6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ensure formatting is neat (each piece of info on a separate line or separated by semicolons), making it easy for a reader to find these details </w:t>
      </w:r>
      <w:proofErr w:type="gramStart"/>
      <w:r w:rsidRPr="00E82D4E">
        <w:rPr>
          <w:rFonts w:ascii="Times New Roman" w:eastAsia="宋体" w:hAnsi="Times New Roman" w:cs="Times New Roman"/>
          <w:color w:val="000000"/>
          <w:kern w:val="0"/>
          <w:sz w:val="22"/>
          <w:szCs w:val="22"/>
          <w14:ligatures w14:val="none"/>
        </w:rPr>
        <w:t>at a glance</w:t>
      </w:r>
      <w:proofErr w:type="gramEnd"/>
      <w:r w:rsidRPr="00E82D4E">
        <w:rPr>
          <w:rFonts w:ascii="Times New Roman" w:eastAsia="宋体" w:hAnsi="Times New Roman" w:cs="Times New Roman"/>
          <w:color w:val="000000"/>
          <w:kern w:val="0"/>
          <w:sz w:val="22"/>
          <w:szCs w:val="22"/>
          <w14:ligatures w14:val="none"/>
        </w:rPr>
        <w:t>.</w:t>
      </w:r>
    </w:p>
    <w:p w14:paraId="42E6234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Value</w:t>
      </w:r>
    </w:p>
    <w:p w14:paraId="11E52A2D" w14:textId="77777777" w:rsidR="00E82D4E" w:rsidRPr="00E82D4E" w:rsidRDefault="00E82D4E" w:rsidP="00E82D4E">
      <w:pPr>
        <w:widowControl/>
        <w:numPr>
          <w:ilvl w:val="0"/>
          <w:numId w:val="6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compiling all fundamental corporate contacts and references here, the prospectus provides investors and regulatory readers with quick access to such information without searching through the document.</w:t>
      </w:r>
    </w:p>
    <w:p w14:paraId="1F8FB4BA"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5EFBCBF7">
          <v:rect id="_x0000_i1040" alt="" style="width:415.3pt;height:.05pt;mso-width-percent:0;mso-height-percent:0;mso-width-percent:0;mso-height-percent:0" o:hralign="center" o:hrstd="t" o:hr="t" fillcolor="#a0a0a0" stroked="f"/>
        </w:pict>
      </w:r>
    </w:p>
    <w:p w14:paraId="6714F5C5"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Regulation (Regulatory Overview)</w:t>
      </w:r>
    </w:p>
    <w:p w14:paraId="2A257B3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Purpose</w:t>
      </w:r>
    </w:p>
    <w:p w14:paraId="7AF55927" w14:textId="77777777" w:rsidR="00E82D4E" w:rsidRPr="00E82D4E" w:rsidRDefault="00E82D4E" w:rsidP="00E82D4E">
      <w:pPr>
        <w:widowControl/>
        <w:numPr>
          <w:ilvl w:val="0"/>
          <w:numId w:val="7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Regulation section (sometimes titled “Regulatory Overview”) summarizes the key laws and regulations that govern the company’s business and industry.</w:t>
      </w:r>
    </w:p>
    <w:p w14:paraId="316A1B6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Structure</w:t>
      </w:r>
    </w:p>
    <w:p w14:paraId="4EA9864C" w14:textId="77777777" w:rsidR="00E82D4E" w:rsidRPr="00E82D4E" w:rsidRDefault="00E82D4E" w:rsidP="00E82D4E">
      <w:pPr>
        <w:widowControl/>
        <w:numPr>
          <w:ilvl w:val="0"/>
          <w:numId w:val="7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agent should structure this in a logical, thematic order, breaking it down by categories of regulations.</w:t>
      </w:r>
    </w:p>
    <w:p w14:paraId="5891E99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Examples of categories</w:t>
      </w:r>
    </w:p>
    <w:p w14:paraId="70BA8FAE" w14:textId="77777777" w:rsidR="00E82D4E" w:rsidRPr="00E82D4E" w:rsidRDefault="00E82D4E" w:rsidP="00E82D4E">
      <w:pPr>
        <w:widowControl/>
        <w:numPr>
          <w:ilvl w:val="0"/>
          <w:numId w:val="7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if the company is in retail and online services (like Pop Mart), the categories might include Licensing for Online Services, Consumer Protection Laws, Intellectual Property Laws, Environmental and Safety Regulations, Foreign Investment Restrictions, etc.</w:t>
      </w:r>
    </w:p>
    <w:p w14:paraId="4026F9E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must be covered</w:t>
      </w:r>
    </w:p>
    <w:p w14:paraId="324DD7C7" w14:textId="77777777" w:rsidR="00E82D4E" w:rsidRPr="00E82D4E" w:rsidRDefault="00E82D4E" w:rsidP="00E82D4E">
      <w:pPr>
        <w:widowControl/>
        <w:numPr>
          <w:ilvl w:val="0"/>
          <w:numId w:val="7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category should have a brief description of the relevant rules.</w:t>
      </w:r>
    </w:p>
    <w:p w14:paraId="6F5BC45B" w14:textId="77777777" w:rsidR="00E82D4E" w:rsidRPr="00E82D4E" w:rsidRDefault="00E82D4E" w:rsidP="00E82D4E">
      <w:pPr>
        <w:widowControl/>
        <w:numPr>
          <w:ilvl w:val="0"/>
          <w:numId w:val="7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needs to cover what permits or approvals are required for the business, what ongoing compliance standards exist, and recent regulatory developments if any.</w:t>
      </w:r>
    </w:p>
    <w:p w14:paraId="2E88D9C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Illustrative regulatory logic</w:t>
      </w:r>
    </w:p>
    <w:p w14:paraId="5318B2B0" w14:textId="77777777" w:rsidR="00E82D4E" w:rsidRPr="00E82D4E" w:rsidRDefault="00E82D4E" w:rsidP="00E82D4E">
      <w:pPr>
        <w:widowControl/>
        <w:numPr>
          <w:ilvl w:val="0"/>
          <w:numId w:val="7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For example, if a company operates an internet platform in China, the overview </w:t>
      </w:r>
      <w:proofErr w:type="gramStart"/>
      <w:r w:rsidRPr="00E82D4E">
        <w:rPr>
          <w:rFonts w:ascii="Times New Roman" w:eastAsia="宋体" w:hAnsi="Times New Roman" w:cs="Times New Roman"/>
          <w:color w:val="000000"/>
          <w:kern w:val="0"/>
          <w:sz w:val="22"/>
          <w:szCs w:val="22"/>
          <w14:ligatures w14:val="none"/>
        </w:rPr>
        <w:t>would</w:t>
      </w:r>
      <w:proofErr w:type="gramEnd"/>
      <w:r w:rsidRPr="00E82D4E">
        <w:rPr>
          <w:rFonts w:ascii="Times New Roman" w:eastAsia="宋体" w:hAnsi="Times New Roman" w:cs="Times New Roman"/>
          <w:color w:val="000000"/>
          <w:kern w:val="0"/>
          <w:sz w:val="22"/>
          <w:szCs w:val="22"/>
          <w14:ligatures w14:val="none"/>
        </w:rPr>
        <w:t xml:space="preserve"> mention the laws on Internet content provision and online culture services, noting that PRC law prohibits foreign ownership of such services, which is why the company uses a VIE (contractual arrangements).</w:t>
      </w:r>
    </w:p>
    <w:p w14:paraId="758BF7A1" w14:textId="77777777" w:rsidR="00E82D4E" w:rsidRPr="00E82D4E" w:rsidRDefault="00E82D4E" w:rsidP="00E82D4E">
      <w:pPr>
        <w:widowControl/>
        <w:numPr>
          <w:ilvl w:val="0"/>
          <w:numId w:val="7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might outline the legal basis of those restrictions (e.g., reference the PRC Foreign Investment Negative List) and how the company complies (through local subsidiaries or contracts).</w:t>
      </w:r>
    </w:p>
    <w:p w14:paraId="15A7D8B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How to describe rules</w:t>
      </w:r>
    </w:p>
    <w:p w14:paraId="6330EC38" w14:textId="77777777" w:rsidR="00E82D4E" w:rsidRPr="00E82D4E" w:rsidRDefault="00E82D4E" w:rsidP="00E82D4E">
      <w:pPr>
        <w:widowControl/>
        <w:numPr>
          <w:ilvl w:val="0"/>
          <w:numId w:val="7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advertising or product safety, it will cite the key legislation like the Advertising Law or product quality standards, summarizing requirements (e.g., “No advertisement shall contain false or misleading information” as per the PRC Advertising Law).</w:t>
      </w:r>
    </w:p>
    <w:p w14:paraId="66E30C1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&amp; risk signaling</w:t>
      </w:r>
    </w:p>
    <w:p w14:paraId="2F53AFD7" w14:textId="77777777" w:rsidR="00E82D4E" w:rsidRPr="00E82D4E" w:rsidRDefault="00E82D4E" w:rsidP="00E82D4E">
      <w:pPr>
        <w:widowControl/>
        <w:numPr>
          <w:ilvl w:val="0"/>
          <w:numId w:val="7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should be enough to inform investors of the regulatory environment risk and compliance: each mentioned law should include its name and a short explanation of its scope or what it requires/prohibits.</w:t>
      </w:r>
    </w:p>
    <w:p w14:paraId="388D8AA5" w14:textId="77777777" w:rsidR="00E82D4E" w:rsidRPr="00E82D4E" w:rsidRDefault="00E82D4E" w:rsidP="00E82D4E">
      <w:pPr>
        <w:widowControl/>
        <w:numPr>
          <w:ilvl w:val="0"/>
          <w:numId w:val="7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are specific regulatory risks (e.g., laws that might change or are particularly stringent), this section may foreshadow them (though detailed consequences often appear in Risk Factors).</w:t>
      </w:r>
    </w:p>
    <w:p w14:paraId="290CB6F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Licenses and status</w:t>
      </w:r>
    </w:p>
    <w:p w14:paraId="67D48942" w14:textId="77777777" w:rsidR="00E82D4E" w:rsidRPr="00E82D4E" w:rsidRDefault="00E82D4E" w:rsidP="00E82D4E">
      <w:pPr>
        <w:widowControl/>
        <w:numPr>
          <w:ilvl w:val="0"/>
          <w:numId w:val="7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It may also note if the company has all necessary licenses as of the Latest Practicable Date, or if certain applications are pending, since that is material information.</w:t>
      </w:r>
    </w:p>
    <w:p w14:paraId="5FA28D2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&amp; outcome</w:t>
      </w:r>
    </w:p>
    <w:p w14:paraId="7A0E0BBF" w14:textId="77777777" w:rsidR="00E82D4E" w:rsidRPr="00E82D4E" w:rsidRDefault="00E82D4E" w:rsidP="00E82D4E">
      <w:pPr>
        <w:widowControl/>
        <w:numPr>
          <w:ilvl w:val="0"/>
          <w:numId w:val="7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tone should be neutral and informative, as this is a factual overview.</w:t>
      </w:r>
    </w:p>
    <w:p w14:paraId="07E5A4E3" w14:textId="77777777" w:rsidR="00E82D4E" w:rsidRPr="00E82D4E" w:rsidRDefault="00E82D4E" w:rsidP="00E82D4E">
      <w:pPr>
        <w:widowControl/>
        <w:numPr>
          <w:ilvl w:val="0"/>
          <w:numId w:val="7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Essentially, this section frames the legal landscape the company operates in, giving readers context on how government policies and regulations could affect the business and what the company must adhere to.</w:t>
      </w:r>
    </w:p>
    <w:p w14:paraId="0FF34DBE"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7CCCB85D">
          <v:rect id="_x0000_i1039" alt="" style="width:415.3pt;height:.05pt;mso-width-percent:0;mso-height-percent:0;mso-width-percent:0;mso-height-percent:0" o:hralign="center" o:hrstd="t" o:hr="t" fillcolor="#a0a0a0" stroked="f"/>
        </w:pict>
      </w:r>
    </w:p>
    <w:p w14:paraId="03FA2B1F"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Industry Overview</w:t>
      </w:r>
    </w:p>
    <w:p w14:paraId="2F55077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6C0C842C" w14:textId="77777777" w:rsidR="00E82D4E" w:rsidRPr="00E82D4E" w:rsidRDefault="00E82D4E" w:rsidP="00E82D4E">
      <w:pPr>
        <w:widowControl/>
        <w:numPr>
          <w:ilvl w:val="0"/>
          <w:numId w:val="7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Industry Overview provides background on the market or industry in which the company operates, often supported by third-party research.</w:t>
      </w:r>
    </w:p>
    <w:p w14:paraId="3737764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Required sub-parts</w:t>
      </w:r>
    </w:p>
    <w:p w14:paraId="65C284F2" w14:textId="77777777" w:rsidR="00E82D4E" w:rsidRPr="00E82D4E" w:rsidRDefault="00E82D4E" w:rsidP="00E82D4E">
      <w:pPr>
        <w:widowControl/>
        <w:numPr>
          <w:ilvl w:val="0"/>
          <w:numId w:val="8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divide this section into sub-parts that </w:t>
      </w:r>
      <w:proofErr w:type="gramStart"/>
      <w:r w:rsidRPr="00E82D4E">
        <w:rPr>
          <w:rFonts w:ascii="Times New Roman" w:eastAsia="宋体" w:hAnsi="Times New Roman" w:cs="Times New Roman"/>
          <w:color w:val="000000"/>
          <w:kern w:val="0"/>
          <w:sz w:val="22"/>
          <w:szCs w:val="22"/>
          <w14:ligatures w14:val="none"/>
        </w:rPr>
        <w:t>cover:</w:t>
      </w:r>
      <w:proofErr w:type="gramEnd"/>
      <w:r w:rsidRPr="00E82D4E">
        <w:rPr>
          <w:rFonts w:ascii="Times New Roman" w:eastAsia="宋体" w:hAnsi="Times New Roman" w:cs="Times New Roman"/>
          <w:color w:val="000000"/>
          <w:kern w:val="0"/>
          <w:sz w:val="22"/>
          <w:szCs w:val="22"/>
          <w14:ligatures w14:val="none"/>
        </w:rPr>
        <w:t xml:space="preserve"> definition of the industry, market size and growth trends, competitive landscape, and possibly future outlook.</w:t>
      </w:r>
    </w:p>
    <w:p w14:paraId="7273265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Typical flow</w:t>
      </w:r>
    </w:p>
    <w:p w14:paraId="46936738" w14:textId="77777777" w:rsidR="00E82D4E" w:rsidRPr="00E82D4E" w:rsidRDefault="00E82D4E" w:rsidP="00E82D4E">
      <w:pPr>
        <w:widowControl/>
        <w:numPr>
          <w:ilvl w:val="0"/>
          <w:numId w:val="8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usually begins by defining key terms or segments of the industry (for example, explaining what “pop toys” are in Pop Mart’s case, as per an industry definition).</w:t>
      </w:r>
    </w:p>
    <w:p w14:paraId="1FEBBA6B" w14:textId="77777777" w:rsidR="00E82D4E" w:rsidRPr="00E82D4E" w:rsidRDefault="00E82D4E" w:rsidP="00E82D4E">
      <w:pPr>
        <w:widowControl/>
        <w:numPr>
          <w:ilvl w:val="0"/>
          <w:numId w:val="8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it presents data on the industry’s historical and projected market size, typically including figures and compound annual growth rates, sourced from an independent market research firm.</w:t>
      </w:r>
    </w:p>
    <w:p w14:paraId="315B640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Source attribution</w:t>
      </w:r>
    </w:p>
    <w:p w14:paraId="1A1838A2" w14:textId="77777777" w:rsidR="00E82D4E" w:rsidRPr="00E82D4E" w:rsidRDefault="00E82D4E" w:rsidP="00E82D4E">
      <w:pPr>
        <w:widowControl/>
        <w:numPr>
          <w:ilvl w:val="0"/>
          <w:numId w:val="8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must cite such data as coming from sources like Frost &amp; Sullivan or other consultants, as the prospectus does (e.g., “according to the Frost &amp; Sullivan Report, the market size of China’s pop toy retailing was RMBX in 2019 and is expected to reach RMBY by 2024”).</w:t>
      </w:r>
    </w:p>
    <w:p w14:paraId="2E41502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Coverage expectations</w:t>
      </w:r>
    </w:p>
    <w:p w14:paraId="1AACD5F1" w14:textId="77777777" w:rsidR="00E82D4E" w:rsidRPr="00E82D4E" w:rsidRDefault="00E82D4E" w:rsidP="00E82D4E">
      <w:pPr>
        <w:widowControl/>
        <w:numPr>
          <w:ilvl w:val="0"/>
          <w:numId w:val="8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range should cover both global context (if relevant) and the specific region of the company (e.g., the Chinese market for a Chinese issuer), highlighting drivers of growth or recent trends (such as increasing disposable incomes, urbanization, consumer preferences for certain products).</w:t>
      </w:r>
    </w:p>
    <w:p w14:paraId="739835F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Competition discussion</w:t>
      </w:r>
    </w:p>
    <w:p w14:paraId="315C615D" w14:textId="77777777" w:rsidR="00E82D4E" w:rsidRPr="00E82D4E" w:rsidRDefault="00E82D4E" w:rsidP="00E82D4E">
      <w:pPr>
        <w:widowControl/>
        <w:numPr>
          <w:ilvl w:val="0"/>
          <w:numId w:val="8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Additionally, the competitive landscape is described: how fragmented or consolidated the industry is, the company’s rank or market share if available, and key competitors (with </w:t>
      </w:r>
      <w:r w:rsidRPr="00E82D4E">
        <w:rPr>
          <w:rFonts w:ascii="Times New Roman" w:eastAsia="宋体" w:hAnsi="Times New Roman" w:cs="Times New Roman"/>
          <w:color w:val="000000"/>
          <w:kern w:val="0"/>
          <w:sz w:val="22"/>
          <w:szCs w:val="22"/>
          <w14:ligatures w14:val="none"/>
        </w:rPr>
        <w:lastRenderedPageBreak/>
        <w:t>possibly a statement like “the top five players accounted for X% of the market, with Company ranked first at 8.5% share”).</w:t>
      </w:r>
    </w:p>
    <w:p w14:paraId="400FEBA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influencing factors</w:t>
      </w:r>
    </w:p>
    <w:p w14:paraId="3DD0285B" w14:textId="77777777" w:rsidR="00E82D4E" w:rsidRPr="00E82D4E" w:rsidRDefault="00E82D4E" w:rsidP="00E82D4E">
      <w:pPr>
        <w:widowControl/>
        <w:numPr>
          <w:ilvl w:val="0"/>
          <w:numId w:val="8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 industry is influenced by government policy or technological change, those factors are outlined as well.</w:t>
      </w:r>
    </w:p>
    <w:p w14:paraId="75A8F7D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&amp; presentation</w:t>
      </w:r>
    </w:p>
    <w:p w14:paraId="6E3993BA" w14:textId="77777777" w:rsidR="00E82D4E" w:rsidRPr="00E82D4E" w:rsidRDefault="00E82D4E" w:rsidP="00E82D4E">
      <w:pPr>
        <w:widowControl/>
        <w:numPr>
          <w:ilvl w:val="0"/>
          <w:numId w:val="8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involves specific statistics and rankings, growth percentages, and qualitative analysis of trends.</w:t>
      </w:r>
    </w:p>
    <w:p w14:paraId="31E53A7C" w14:textId="77777777" w:rsidR="00E82D4E" w:rsidRPr="00E82D4E" w:rsidRDefault="00E82D4E" w:rsidP="00E82D4E">
      <w:pPr>
        <w:widowControl/>
        <w:numPr>
          <w:ilvl w:val="0"/>
          <w:numId w:val="8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language should remain objective and analytic, not promotional – this section is about the industry, not the company specifically.</w:t>
      </w:r>
    </w:p>
    <w:p w14:paraId="420180E3" w14:textId="77777777" w:rsidR="00E82D4E" w:rsidRPr="00E82D4E" w:rsidRDefault="00E82D4E" w:rsidP="00E82D4E">
      <w:pPr>
        <w:widowControl/>
        <w:numPr>
          <w:ilvl w:val="0"/>
          <w:numId w:val="8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use of charts or tables is common, although if only text is being generated, the AI should describe any notable figures clearly in prose.</w:t>
      </w:r>
    </w:p>
    <w:p w14:paraId="4EBA562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Closing outlook</w:t>
      </w:r>
    </w:p>
    <w:p w14:paraId="5D87561A" w14:textId="77777777" w:rsidR="00E82D4E" w:rsidRPr="00E82D4E" w:rsidRDefault="00E82D4E" w:rsidP="00E82D4E">
      <w:pPr>
        <w:widowControl/>
        <w:numPr>
          <w:ilvl w:val="0"/>
          <w:numId w:val="8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may end with a short outlook discussing how the industry is expected to evolve in the next few years (again citing the research source for any forecasts).</w:t>
      </w:r>
    </w:p>
    <w:p w14:paraId="2BFF180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Investor value</w:t>
      </w:r>
    </w:p>
    <w:p w14:paraId="7449DD05" w14:textId="77777777" w:rsidR="00E82D4E" w:rsidRPr="00E82D4E" w:rsidRDefault="00E82D4E" w:rsidP="00E82D4E">
      <w:pPr>
        <w:widowControl/>
        <w:numPr>
          <w:ilvl w:val="0"/>
          <w:numId w:val="88"/>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thoroughly covering the industry context, this section helps investors understand the broader environment and opportunity set that the company operates within.</w:t>
      </w:r>
    </w:p>
    <w:p w14:paraId="50B0FB28"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54C9CEBB">
          <v:rect id="_x0000_i1038" alt="" style="width:415.3pt;height:.05pt;mso-width-percent:0;mso-height-percent:0;mso-width-percent:0;mso-height-percent:0" o:hralign="center" o:hrstd="t" o:hr="t" fillcolor="#a0a0a0" stroked="f"/>
        </w:pict>
      </w:r>
    </w:p>
    <w:p w14:paraId="30A00E6A"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History, Reorganization, and Corporate Structure</w:t>
      </w:r>
    </w:p>
    <w:p w14:paraId="0755CD0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01A75B31" w14:textId="77777777" w:rsidR="00E82D4E" w:rsidRPr="00E82D4E" w:rsidRDefault="00E82D4E" w:rsidP="00E82D4E">
      <w:pPr>
        <w:widowControl/>
        <w:numPr>
          <w:ilvl w:val="0"/>
          <w:numId w:val="8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outlines the company’s background and how it came to its current form.</w:t>
      </w:r>
    </w:p>
    <w:p w14:paraId="0C620B8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Chronological history</w:t>
      </w:r>
    </w:p>
    <w:p w14:paraId="2860A0F2" w14:textId="77777777" w:rsidR="00E82D4E" w:rsidRPr="00E82D4E" w:rsidRDefault="00E82D4E" w:rsidP="00E82D4E">
      <w:pPr>
        <w:widowControl/>
        <w:numPr>
          <w:ilvl w:val="0"/>
          <w:numId w:val="9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output should chronologically narrate the company’s key milestones since inception: the founding date, important business milestones (product launches, expansions, any major awards or achievements), and changes in corporate structure.</w:t>
      </w:r>
    </w:p>
    <w:p w14:paraId="1E0B28A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Reorganization for IPO</w:t>
      </w:r>
    </w:p>
    <w:p w14:paraId="2D23BB31" w14:textId="77777777" w:rsidR="00E82D4E" w:rsidRPr="00E82D4E" w:rsidRDefault="00E82D4E" w:rsidP="00E82D4E">
      <w:pPr>
        <w:widowControl/>
        <w:numPr>
          <w:ilvl w:val="0"/>
          <w:numId w:val="9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 major component is describing the reorganization steps undertaken to prepare for the IPO.</w:t>
      </w:r>
    </w:p>
    <w:p w14:paraId="4ED11630" w14:textId="77777777" w:rsidR="00E82D4E" w:rsidRPr="00E82D4E" w:rsidRDefault="00E82D4E" w:rsidP="00E82D4E">
      <w:pPr>
        <w:widowControl/>
        <w:numPr>
          <w:ilvl w:val="0"/>
          <w:numId w:val="9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many cases, companies restructure shareholdings or set up holding companies prior to listing.</w:t>
      </w:r>
    </w:p>
    <w:p w14:paraId="464D074A" w14:textId="77777777" w:rsidR="00E82D4E" w:rsidRPr="00E82D4E" w:rsidRDefault="00E82D4E" w:rsidP="00E82D4E">
      <w:pPr>
        <w:widowControl/>
        <w:numPr>
          <w:ilvl w:val="0"/>
          <w:numId w:val="9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explain these transactions in simple terms – for example, “in [month year], the Company underwent a reorganization whereby a new Cayman Islands holding </w:t>
      </w:r>
      <w:r w:rsidRPr="00E82D4E">
        <w:rPr>
          <w:rFonts w:ascii="Times New Roman" w:eastAsia="宋体" w:hAnsi="Times New Roman" w:cs="Times New Roman"/>
          <w:color w:val="000000"/>
          <w:kern w:val="0"/>
          <w:sz w:val="22"/>
          <w:szCs w:val="22"/>
          <w14:ligatures w14:val="none"/>
        </w:rPr>
        <w:lastRenderedPageBreak/>
        <w:t>company (the issuer) was incorporated to become the listing vehicle, and the equity interests of the operating subsidiaries were transferred under this holding structure.”</w:t>
      </w:r>
    </w:p>
    <w:p w14:paraId="141D8DE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structural events</w:t>
      </w:r>
    </w:p>
    <w:p w14:paraId="4CDABA74" w14:textId="77777777" w:rsidR="00E82D4E" w:rsidRPr="00E82D4E" w:rsidRDefault="00E82D4E" w:rsidP="00E82D4E">
      <w:pPr>
        <w:widowControl/>
        <w:numPr>
          <w:ilvl w:val="0"/>
          <w:numId w:val="9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Any mergers, spinoffs, or capital changes as part of the reorganization should be noted.</w:t>
      </w:r>
    </w:p>
    <w:p w14:paraId="7E2FC98E" w14:textId="77777777" w:rsidR="00E82D4E" w:rsidRPr="00E82D4E" w:rsidRDefault="00E82D4E" w:rsidP="00E82D4E">
      <w:pPr>
        <w:widowControl/>
        <w:numPr>
          <w:ilvl w:val="0"/>
          <w:numId w:val="9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were significant pre-IPO investments (like series funding rounds by investors), this section might briefly mention those and how they affected ownership.</w:t>
      </w:r>
    </w:p>
    <w:p w14:paraId="0A544F7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Corporate structure description</w:t>
      </w:r>
    </w:p>
    <w:p w14:paraId="5F7A2E79" w14:textId="77777777" w:rsidR="00E82D4E" w:rsidRPr="00E82D4E" w:rsidRDefault="00E82D4E" w:rsidP="00E82D4E">
      <w:pPr>
        <w:widowControl/>
        <w:numPr>
          <w:ilvl w:val="0"/>
          <w:numId w:val="9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Corporate Structure part usually includes one or more diagrams or descriptions of the group’s legal entities.</w:t>
      </w:r>
    </w:p>
    <w:p w14:paraId="6D55BD68" w14:textId="77777777" w:rsidR="00E82D4E" w:rsidRPr="00E82D4E" w:rsidRDefault="00E82D4E" w:rsidP="00E82D4E">
      <w:pPr>
        <w:widowControl/>
        <w:numPr>
          <w:ilvl w:val="0"/>
          <w:numId w:val="93"/>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describe the group structure, stating the main subsidiaries and their ownership.</w:t>
      </w:r>
    </w:p>
    <w:p w14:paraId="0D503CBD" w14:textId="77777777" w:rsidR="00E82D4E" w:rsidRPr="00E82D4E" w:rsidRDefault="00E82D4E" w:rsidP="00E82D4E">
      <w:pPr>
        <w:widowControl/>
        <w:numPr>
          <w:ilvl w:val="0"/>
          <w:numId w:val="9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“The following diagram illustrates our corporate and shareholding structure immediately before and after the Global Offering…”.</w:t>
      </w:r>
    </w:p>
    <w:p w14:paraId="5A36DF2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Pre- and post-IPO structure</w:t>
      </w:r>
    </w:p>
    <w:p w14:paraId="061C83E3" w14:textId="77777777" w:rsidR="00E82D4E" w:rsidRPr="00E82D4E" w:rsidRDefault="00E82D4E" w:rsidP="00E82D4E">
      <w:pPr>
        <w:widowControl/>
        <w:numPr>
          <w:ilvl w:val="0"/>
          <w:numId w:val="9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list the key subsidiaries, their jurisdictions, and percentage ownership.</w:t>
      </w:r>
    </w:p>
    <w:p w14:paraId="0EFC5A55" w14:textId="77777777" w:rsidR="00E82D4E" w:rsidRPr="00E82D4E" w:rsidRDefault="00E82D4E" w:rsidP="00E82D4E">
      <w:pPr>
        <w:widowControl/>
        <w:numPr>
          <w:ilvl w:val="0"/>
          <w:numId w:val="9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If the prospectus provides two structures (pre-IPO and post-IPO), the AI should explain both: who the major shareholders were before listing and how </w:t>
      </w:r>
      <w:proofErr w:type="gramStart"/>
      <w:r w:rsidRPr="00E82D4E">
        <w:rPr>
          <w:rFonts w:ascii="Times New Roman" w:eastAsia="宋体" w:hAnsi="Times New Roman" w:cs="Times New Roman"/>
          <w:color w:val="000000"/>
          <w:kern w:val="0"/>
          <w:sz w:val="22"/>
          <w:szCs w:val="22"/>
          <w14:ligatures w14:val="none"/>
        </w:rPr>
        <w:t>that changes</w:t>
      </w:r>
      <w:proofErr w:type="gramEnd"/>
      <w:r w:rsidRPr="00E82D4E">
        <w:rPr>
          <w:rFonts w:ascii="Times New Roman" w:eastAsia="宋体" w:hAnsi="Times New Roman" w:cs="Times New Roman"/>
          <w:color w:val="000000"/>
          <w:kern w:val="0"/>
          <w:sz w:val="22"/>
          <w:szCs w:val="22"/>
          <w14:ligatures w14:val="none"/>
        </w:rPr>
        <w:t xml:space="preserve"> after listing (e.g., after issuing new shares in the IPO and executing any Capitalization Issue or stock split).</w:t>
      </w:r>
    </w:p>
    <w:p w14:paraId="0222319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w:t>
      </w:r>
    </w:p>
    <w:p w14:paraId="74D45479" w14:textId="77777777" w:rsidR="00E82D4E" w:rsidRPr="00E82D4E" w:rsidRDefault="00E82D4E" w:rsidP="00E82D4E">
      <w:pPr>
        <w:widowControl/>
        <w:numPr>
          <w:ilvl w:val="0"/>
          <w:numId w:val="9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should include names of major subsidiaries and intermediate holding companies, especially any material operating entities, and any VIE (contractual arrangement) entities if those exist (though details of VIE go in another section).</w:t>
      </w:r>
    </w:p>
    <w:p w14:paraId="10B9AD2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Outcome</w:t>
      </w:r>
    </w:p>
    <w:p w14:paraId="3E33AF78" w14:textId="77777777" w:rsidR="00E82D4E" w:rsidRPr="00E82D4E" w:rsidRDefault="00E82D4E" w:rsidP="00E82D4E">
      <w:pPr>
        <w:widowControl/>
        <w:numPr>
          <w:ilvl w:val="0"/>
          <w:numId w:val="9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Essentially, by the end of this section, a reader should understand the lineage and evolution of the company and see a clear picture of the group’s makeup.</w:t>
      </w:r>
    </w:p>
    <w:p w14:paraId="5FDF585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Illustrative detail that should be captured if present</w:t>
      </w:r>
    </w:p>
    <w:p w14:paraId="164C37CE" w14:textId="77777777" w:rsidR="00E82D4E" w:rsidRPr="00E82D4E" w:rsidRDefault="00E82D4E" w:rsidP="00E82D4E">
      <w:pPr>
        <w:widowControl/>
        <w:numPr>
          <w:ilvl w:val="0"/>
          <w:numId w:val="9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might involve stating “Our company was founded in [year] by [Founder’s Name] in [city]” and then describing growth (e.g., opened first store in 2010, expanded to X cities by 2015, etc.), culminating in the steps taken in the last year to reorganize for the IPO.</w:t>
      </w:r>
    </w:p>
    <w:p w14:paraId="0505908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and diagram handling</w:t>
      </w:r>
    </w:p>
    <w:p w14:paraId="4186A22C" w14:textId="77777777" w:rsidR="00E82D4E" w:rsidRPr="00E82D4E" w:rsidRDefault="00E82D4E" w:rsidP="00E82D4E">
      <w:pPr>
        <w:widowControl/>
        <w:numPr>
          <w:ilvl w:val="0"/>
          <w:numId w:val="9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AI’s tone remains factual and chronological.</w:t>
      </w:r>
    </w:p>
    <w:p w14:paraId="650859FC" w14:textId="77777777" w:rsidR="00E82D4E" w:rsidRPr="00E82D4E" w:rsidRDefault="00E82D4E" w:rsidP="00E82D4E">
      <w:pPr>
        <w:widowControl/>
        <w:numPr>
          <w:ilvl w:val="0"/>
          <w:numId w:val="9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Diagrams themselves can be described in text if needed (e.g., “See chart below for corporate structure”), but primarily the agent should ensure all pieces of the corporate puzzle are mentioned in text form: significant entities, founders, investor stakes, and any noteworthy structural notes (like </w:t>
      </w:r>
      <w:proofErr w:type="gramStart"/>
      <w:r w:rsidRPr="00E82D4E">
        <w:rPr>
          <w:rFonts w:ascii="Times New Roman" w:eastAsia="宋体" w:hAnsi="Times New Roman" w:cs="Times New Roman"/>
          <w:color w:val="000000"/>
          <w:kern w:val="0"/>
          <w:sz w:val="22"/>
          <w:szCs w:val="22"/>
          <w14:ligatures w14:val="none"/>
        </w:rPr>
        <w:t>dual-class</w:t>
      </w:r>
      <w:proofErr w:type="gramEnd"/>
      <w:r w:rsidRPr="00E82D4E">
        <w:rPr>
          <w:rFonts w:ascii="Times New Roman" w:eastAsia="宋体" w:hAnsi="Times New Roman" w:cs="Times New Roman"/>
          <w:color w:val="000000"/>
          <w:kern w:val="0"/>
          <w:sz w:val="22"/>
          <w:szCs w:val="22"/>
          <w14:ligatures w14:val="none"/>
        </w:rPr>
        <w:t xml:space="preserve"> shares if any, or WVR beneficiaries if relevant).</w:t>
      </w:r>
    </w:p>
    <w:p w14:paraId="0C70F6E3" w14:textId="77777777" w:rsidR="00E82D4E" w:rsidRPr="00E82D4E" w:rsidRDefault="00E82D4E" w:rsidP="00E82D4E">
      <w:pPr>
        <w:widowControl/>
        <w:numPr>
          <w:ilvl w:val="0"/>
          <w:numId w:val="9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Consistency with what’s shown in any accompanying diagram is critical.</w:t>
      </w:r>
    </w:p>
    <w:p w14:paraId="64BC09E0"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5D0CBB04">
          <v:rect id="_x0000_i1037" alt="" style="width:415.3pt;height:.05pt;mso-width-percent:0;mso-height-percent:0;mso-width-percent:0;mso-height-percent:0" o:hralign="center" o:hrstd="t" o:hr="t" fillcolor="#a0a0a0" stroked="f"/>
        </w:pict>
      </w:r>
    </w:p>
    <w:p w14:paraId="1CD3C50C"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Business</w:t>
      </w:r>
    </w:p>
    <w:p w14:paraId="033B1BB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Overall role</w:t>
      </w:r>
    </w:p>
    <w:p w14:paraId="0DA280AA" w14:textId="77777777" w:rsidR="00E82D4E" w:rsidRPr="00E82D4E" w:rsidRDefault="00E82D4E" w:rsidP="00E82D4E">
      <w:pPr>
        <w:widowControl/>
        <w:numPr>
          <w:ilvl w:val="0"/>
          <w:numId w:val="9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Business section is one of the longest and most detailed parts of the prospectus, giving investors a deep dive into the company’s operations and strategies.</w:t>
      </w:r>
    </w:p>
    <w:p w14:paraId="2E2EBD0C" w14:textId="77777777" w:rsidR="00E82D4E" w:rsidRPr="00E82D4E" w:rsidRDefault="00E82D4E" w:rsidP="00E82D4E">
      <w:pPr>
        <w:widowControl/>
        <w:numPr>
          <w:ilvl w:val="0"/>
          <w:numId w:val="9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organize this section into subsections covering all aspects of the business.</w:t>
      </w:r>
    </w:p>
    <w:p w14:paraId="5217442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Core subsections to include</w:t>
      </w:r>
    </w:p>
    <w:p w14:paraId="619F9C35" w14:textId="77777777" w:rsidR="00E82D4E" w:rsidRPr="00E82D4E" w:rsidRDefault="00E82D4E" w:rsidP="00E82D4E">
      <w:pPr>
        <w:widowControl/>
        <w:numPr>
          <w:ilvl w:val="0"/>
          <w:numId w:val="10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Key elements to include </w:t>
      </w:r>
      <w:proofErr w:type="gramStart"/>
      <w:r w:rsidRPr="00E82D4E">
        <w:rPr>
          <w:rFonts w:ascii="Times New Roman" w:eastAsia="宋体" w:hAnsi="Times New Roman" w:cs="Times New Roman"/>
          <w:color w:val="000000"/>
          <w:kern w:val="0"/>
          <w:sz w:val="22"/>
          <w:szCs w:val="22"/>
          <w14:ligatures w14:val="none"/>
        </w:rPr>
        <w:t>are:</w:t>
      </w:r>
      <w:proofErr w:type="gramEnd"/>
      <w:r w:rsidRPr="00E82D4E">
        <w:rPr>
          <w:rFonts w:ascii="Times New Roman" w:eastAsia="宋体" w:hAnsi="Times New Roman" w:cs="Times New Roman"/>
          <w:color w:val="000000"/>
          <w:kern w:val="0"/>
          <w:sz w:val="22"/>
          <w:szCs w:val="22"/>
          <w14:ligatures w14:val="none"/>
        </w:rPr>
        <w:t xml:space="preserve"> Business Overview, Products and Services, Business Model, Sales and Marketing, Operations, Technology, Competitive Strengths, Growth Strategies, Intellectual Property, Employees, Properties, and Environmental/Social/Legal Compliance related to operations.</w:t>
      </w:r>
    </w:p>
    <w:p w14:paraId="433894F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Opening overview</w:t>
      </w:r>
    </w:p>
    <w:p w14:paraId="6CB891CA" w14:textId="77777777" w:rsidR="00E82D4E" w:rsidRPr="00E82D4E" w:rsidRDefault="00E82D4E" w:rsidP="00E82D4E">
      <w:pPr>
        <w:widowControl/>
        <w:numPr>
          <w:ilvl w:val="0"/>
          <w:numId w:val="10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often begins with a general overview paragraph summing up what the company does and its position in the industry (e.g., “We are the largest and fastest-growing pop toy company in China, specializing in the design and sale of trendy collectible figurines.”).</w:t>
      </w:r>
    </w:p>
    <w:p w14:paraId="7FBDD11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Products and development</w:t>
      </w:r>
    </w:p>
    <w:p w14:paraId="300B4FF9" w14:textId="77777777" w:rsidR="00E82D4E" w:rsidRPr="00E82D4E" w:rsidRDefault="00E82D4E" w:rsidP="00E82D4E">
      <w:pPr>
        <w:widowControl/>
        <w:numPr>
          <w:ilvl w:val="0"/>
          <w:numId w:val="10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then delve into product lines or services: describing the main categories of products, the brands or IPs involved, and how the company develops them (for instance, an outline of the process of product design and collaboration with artists, since Pop Mart’s business involves IP collaborations).</w:t>
      </w:r>
    </w:p>
    <w:p w14:paraId="3D07DD9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Business model and revenue streams</w:t>
      </w:r>
    </w:p>
    <w:p w14:paraId="71CCFDC3" w14:textId="77777777" w:rsidR="00E82D4E" w:rsidRPr="00E82D4E" w:rsidRDefault="00E82D4E" w:rsidP="00E82D4E">
      <w:pPr>
        <w:widowControl/>
        <w:numPr>
          <w:ilvl w:val="0"/>
          <w:numId w:val="10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Next, it should describe the business model and revenue streams – how the company makes money.</w:t>
      </w:r>
    </w:p>
    <w:p w14:paraId="6030111B" w14:textId="77777777" w:rsidR="00E82D4E" w:rsidRPr="00E82D4E" w:rsidRDefault="00E82D4E" w:rsidP="00E82D4E">
      <w:pPr>
        <w:widowControl/>
        <w:numPr>
          <w:ilvl w:val="0"/>
          <w:numId w:val="103"/>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a retail company like Pop Mart, this includes an explanation of sales channels (own retail stores, online store, vending machine “</w:t>
      </w:r>
      <w:proofErr w:type="spellStart"/>
      <w:r w:rsidRPr="00E82D4E">
        <w:rPr>
          <w:rFonts w:ascii="Times New Roman" w:eastAsia="宋体" w:hAnsi="Times New Roman" w:cs="Times New Roman"/>
          <w:color w:val="000000"/>
          <w:kern w:val="0"/>
          <w:sz w:val="22"/>
          <w:szCs w:val="22"/>
          <w14:ligatures w14:val="none"/>
        </w:rPr>
        <w:t>roboshops</w:t>
      </w:r>
      <w:proofErr w:type="spellEnd"/>
      <w:r w:rsidRPr="00E82D4E">
        <w:rPr>
          <w:rFonts w:ascii="Times New Roman" w:eastAsia="宋体" w:hAnsi="Times New Roman" w:cs="Times New Roman"/>
          <w:color w:val="000000"/>
          <w:kern w:val="0"/>
          <w:sz w:val="22"/>
          <w:szCs w:val="22"/>
          <w14:ligatures w14:val="none"/>
        </w:rPr>
        <w:t>”, wholesale to distributors, etc.) and their relative importance.</w:t>
      </w:r>
    </w:p>
    <w:p w14:paraId="2F0D2EF9" w14:textId="77777777" w:rsidR="00E82D4E" w:rsidRPr="00E82D4E" w:rsidRDefault="00E82D4E" w:rsidP="00E82D4E">
      <w:pPr>
        <w:widowControl/>
        <w:numPr>
          <w:ilvl w:val="0"/>
          <w:numId w:val="10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highlight the number of outlets or presence (e.g., “As of June 30, 2020, we operated X flagship stores and Y </w:t>
      </w:r>
      <w:proofErr w:type="spellStart"/>
      <w:r w:rsidRPr="00E82D4E">
        <w:rPr>
          <w:rFonts w:ascii="Times New Roman" w:eastAsia="宋体" w:hAnsi="Times New Roman" w:cs="Times New Roman"/>
          <w:color w:val="000000"/>
          <w:kern w:val="0"/>
          <w:sz w:val="22"/>
          <w:szCs w:val="22"/>
          <w14:ligatures w14:val="none"/>
        </w:rPr>
        <w:t>roboshops</w:t>
      </w:r>
      <w:proofErr w:type="spellEnd"/>
      <w:r w:rsidRPr="00E82D4E">
        <w:rPr>
          <w:rFonts w:ascii="Times New Roman" w:eastAsia="宋体" w:hAnsi="Times New Roman" w:cs="Times New Roman"/>
          <w:color w:val="000000"/>
          <w:kern w:val="0"/>
          <w:sz w:val="22"/>
          <w:szCs w:val="22"/>
          <w14:ligatures w14:val="none"/>
        </w:rPr>
        <w:t>, and had a distribution network covering 21 countries.”).</w:t>
      </w:r>
    </w:p>
    <w:p w14:paraId="27CFCB1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Competitive strengths</w:t>
      </w:r>
    </w:p>
    <w:p w14:paraId="69AF19E1" w14:textId="77777777" w:rsidR="00E82D4E" w:rsidRPr="00E82D4E" w:rsidRDefault="00E82D4E" w:rsidP="00E82D4E">
      <w:pPr>
        <w:widowControl/>
        <w:numPr>
          <w:ilvl w:val="0"/>
          <w:numId w:val="10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competitive strengths: although not explicitly labeled in the contents for Pop Mart, prospectuses typically discuss why the company is successful – e.g., strong brand community (millions of registered members), integrated platform from IP creation to retail, etc.</w:t>
      </w:r>
    </w:p>
    <w:p w14:paraId="7D80B57C" w14:textId="77777777" w:rsidR="00E82D4E" w:rsidRPr="00E82D4E" w:rsidRDefault="00E82D4E" w:rsidP="00E82D4E">
      <w:pPr>
        <w:widowControl/>
        <w:numPr>
          <w:ilvl w:val="0"/>
          <w:numId w:val="10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The AI should enumerate these strengths in a persuasive but factual tone, as subheadings or bold lead-ins, supported by facts (like community size, market share, unique model).</w:t>
      </w:r>
    </w:p>
    <w:p w14:paraId="4DBF53B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Growth strategies</w:t>
      </w:r>
    </w:p>
    <w:p w14:paraId="3FFAEB65" w14:textId="77777777" w:rsidR="00E82D4E" w:rsidRPr="00E82D4E" w:rsidRDefault="00E82D4E" w:rsidP="00E82D4E">
      <w:pPr>
        <w:widowControl/>
        <w:numPr>
          <w:ilvl w:val="0"/>
          <w:numId w:val="10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Growth strategies usually follow, detailing how the company plans to expand – for example, international expansion, new product lines, more stores, digital initiatives, etc., showing a forward-looking plan (without making it a forward-looking statement – phrasing should be like “we intend to…”).</w:t>
      </w:r>
    </w:p>
    <w:p w14:paraId="182554B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Operations</w:t>
      </w:r>
    </w:p>
    <w:p w14:paraId="6B2FADD8" w14:textId="77777777" w:rsidR="00E82D4E" w:rsidRPr="00E82D4E" w:rsidRDefault="00E82D4E" w:rsidP="00E82D4E">
      <w:pPr>
        <w:widowControl/>
        <w:numPr>
          <w:ilvl w:val="0"/>
          <w:numId w:val="10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Business section should also cover operational details: supply chain and manufacturing (does the company produce in-house or outsource? key suppliers, production capacity, quality control measures), logistics (how products are distributed), and inventory management.</w:t>
      </w:r>
    </w:p>
    <w:p w14:paraId="1F2D2E9B" w14:textId="77777777" w:rsidR="00E82D4E" w:rsidRPr="00E82D4E" w:rsidRDefault="00E82D4E" w:rsidP="00E82D4E">
      <w:pPr>
        <w:widowControl/>
        <w:numPr>
          <w:ilvl w:val="0"/>
          <w:numId w:val="10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Any seasonal fluctuation or backlog issues could be mentioned if relevant.</w:t>
      </w:r>
    </w:p>
    <w:p w14:paraId="2361C2C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Marketing &amp; customer engagement</w:t>
      </w:r>
    </w:p>
    <w:p w14:paraId="787B3226" w14:textId="77777777" w:rsidR="00E82D4E" w:rsidRPr="00E82D4E" w:rsidRDefault="00E82D4E" w:rsidP="00E82D4E">
      <w:pPr>
        <w:widowControl/>
        <w:numPr>
          <w:ilvl w:val="0"/>
          <w:numId w:val="10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Marketing and customer engagement is another area – e.g., description of membership programs, fan events (Pop Mart hosts toy conventions, etc.), social media presence (number of followers, app users).</w:t>
      </w:r>
    </w:p>
    <w:p w14:paraId="293FC96D" w14:textId="77777777" w:rsidR="00E82D4E" w:rsidRPr="00E82D4E" w:rsidRDefault="00E82D4E" w:rsidP="00E82D4E">
      <w:pPr>
        <w:widowControl/>
        <w:numPr>
          <w:ilvl w:val="0"/>
          <w:numId w:val="10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mention these tangible metrics to illustrate how the company engages its customers.</w:t>
      </w:r>
    </w:p>
    <w:p w14:paraId="0F1F2A8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Intellectual property</w:t>
      </w:r>
    </w:p>
    <w:p w14:paraId="39B00F6E" w14:textId="77777777" w:rsidR="00E82D4E" w:rsidRPr="00E82D4E" w:rsidRDefault="00E82D4E" w:rsidP="00E82D4E">
      <w:pPr>
        <w:widowControl/>
        <w:numPr>
          <w:ilvl w:val="0"/>
          <w:numId w:val="108"/>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Intellectual Property: if the business relies on IP (own IP or licensed IP), detail how IP is acquired or licensed, how many proprietary characters the company has, and IP protection measures.</w:t>
      </w:r>
    </w:p>
    <w:p w14:paraId="324CCF3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Competition positioning</w:t>
      </w:r>
    </w:p>
    <w:p w14:paraId="47B76706" w14:textId="77777777" w:rsidR="00E82D4E" w:rsidRPr="00E82D4E" w:rsidRDefault="00E82D4E" w:rsidP="00E82D4E">
      <w:pPr>
        <w:widowControl/>
        <w:numPr>
          <w:ilvl w:val="0"/>
          <w:numId w:val="10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Competition: identify main competitors and on what basis the company competes (price, product uniqueness, brand, etc. – some of this info may have been in Industry section, but here it can be tailored to the company’s perspective).</w:t>
      </w:r>
    </w:p>
    <w:p w14:paraId="61F8216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Operational regulatory compliance</w:t>
      </w:r>
    </w:p>
    <w:p w14:paraId="0727410C" w14:textId="77777777" w:rsidR="00E82D4E" w:rsidRPr="00E82D4E" w:rsidRDefault="00E82D4E" w:rsidP="00E82D4E">
      <w:pPr>
        <w:widowControl/>
        <w:numPr>
          <w:ilvl w:val="0"/>
          <w:numId w:val="11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Regulatory compliance in operations: e.g., if there are specific regulations like safety standards or online sales laws, state that the company has obtained required licenses (with specifics, such as any license numbers or regulatory approvals if important).</w:t>
      </w:r>
    </w:p>
    <w:p w14:paraId="07F712C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People, assets, and risk management</w:t>
      </w:r>
    </w:p>
    <w:p w14:paraId="2C98E0BF" w14:textId="77777777" w:rsidR="00E82D4E" w:rsidRPr="00E82D4E" w:rsidRDefault="00E82D4E" w:rsidP="00E82D4E">
      <w:pPr>
        <w:widowControl/>
        <w:numPr>
          <w:ilvl w:val="0"/>
          <w:numId w:val="11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Employees and training: number of employees, how critical human capital is, maybe mention any specialized teams (like design team, R&amp;D team).</w:t>
      </w:r>
    </w:p>
    <w:p w14:paraId="7FF2C18B" w14:textId="77777777" w:rsidR="00E82D4E" w:rsidRPr="00E82D4E" w:rsidRDefault="00E82D4E" w:rsidP="00E82D4E">
      <w:pPr>
        <w:widowControl/>
        <w:numPr>
          <w:ilvl w:val="0"/>
          <w:numId w:val="11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Properties: list of principal properties like office headquarters, warehouses, etc., including if they are leased or owned.</w:t>
      </w:r>
    </w:p>
    <w:p w14:paraId="1EF8009D" w14:textId="77777777" w:rsidR="00E82D4E" w:rsidRPr="00E82D4E" w:rsidRDefault="00E82D4E" w:rsidP="00E82D4E">
      <w:pPr>
        <w:widowControl/>
        <w:numPr>
          <w:ilvl w:val="0"/>
          <w:numId w:val="11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Insurance: mention coverage (e.g., “we maintain insurance policies including product liability, property insurance, etc., in line with industry practice”).</w:t>
      </w:r>
    </w:p>
    <w:p w14:paraId="2B3C37F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expectation</w:t>
      </w:r>
    </w:p>
    <w:p w14:paraId="403BC9A9" w14:textId="77777777" w:rsidR="00E82D4E" w:rsidRPr="00E82D4E" w:rsidRDefault="00E82D4E" w:rsidP="00E82D4E">
      <w:pPr>
        <w:widowControl/>
        <w:numPr>
          <w:ilvl w:val="0"/>
          <w:numId w:val="11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Throughout, the granularity is high: this section is meant to be very informative.</w:t>
      </w:r>
    </w:p>
    <w:p w14:paraId="50B42472" w14:textId="77777777" w:rsidR="00E82D4E" w:rsidRPr="00E82D4E" w:rsidRDefault="00E82D4E" w:rsidP="00E82D4E">
      <w:pPr>
        <w:widowControl/>
        <w:numPr>
          <w:ilvl w:val="0"/>
          <w:numId w:val="11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include concrete numbers and examples wherever possible (store counts, user counts, years of experience, etc.), drawn from the prospectus data.</w:t>
      </w:r>
    </w:p>
    <w:p w14:paraId="29E7114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Illustrative metrics and unique components</w:t>
      </w:r>
    </w:p>
    <w:p w14:paraId="208E2E1A" w14:textId="77777777" w:rsidR="00E82D4E" w:rsidRPr="00E82D4E" w:rsidRDefault="00E82D4E" w:rsidP="00E82D4E">
      <w:pPr>
        <w:widowControl/>
        <w:numPr>
          <w:ilvl w:val="0"/>
          <w:numId w:val="11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including specific membership numbers (“3.6 million registered members as of June 30, 2020”), or distribution footprint (“21 overseas countries and regions”).</w:t>
      </w:r>
    </w:p>
    <w:p w14:paraId="098B7177" w14:textId="77777777" w:rsidR="00E82D4E" w:rsidRPr="00E82D4E" w:rsidRDefault="00E82D4E" w:rsidP="00E82D4E">
      <w:pPr>
        <w:widowControl/>
        <w:numPr>
          <w:ilvl w:val="0"/>
          <w:numId w:val="11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also incorporate any unique business components – e.g., for Pop Mart, mention the concept of “blind boxes” and how they drive consumer excitement, and the use of data analytics or “big data and AI technologies” to track customer preferences.</w:t>
      </w:r>
    </w:p>
    <w:p w14:paraId="458CA9C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w:t>
      </w:r>
    </w:p>
    <w:p w14:paraId="405A6FC4" w14:textId="77777777" w:rsidR="00E82D4E" w:rsidRPr="00E82D4E" w:rsidRDefault="00E82D4E" w:rsidP="00E82D4E">
      <w:pPr>
        <w:widowControl/>
        <w:numPr>
          <w:ilvl w:val="0"/>
          <w:numId w:val="11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tone is descriptive and confident, but not promotional; it should showcase the business in a positive light by highlighting strengths and </w:t>
      </w:r>
      <w:proofErr w:type="gramStart"/>
      <w:r w:rsidRPr="00E82D4E">
        <w:rPr>
          <w:rFonts w:ascii="Times New Roman" w:eastAsia="宋体" w:hAnsi="Times New Roman" w:cs="Times New Roman"/>
          <w:color w:val="000000"/>
          <w:kern w:val="0"/>
          <w:sz w:val="22"/>
          <w:szCs w:val="22"/>
          <w14:ligatures w14:val="none"/>
        </w:rPr>
        <w:t>achievements, yet</w:t>
      </w:r>
      <w:proofErr w:type="gramEnd"/>
      <w:r w:rsidRPr="00E82D4E">
        <w:rPr>
          <w:rFonts w:ascii="Times New Roman" w:eastAsia="宋体" w:hAnsi="Times New Roman" w:cs="Times New Roman"/>
          <w:color w:val="000000"/>
          <w:kern w:val="0"/>
          <w:sz w:val="22"/>
          <w:szCs w:val="22"/>
          <w14:ligatures w14:val="none"/>
        </w:rPr>
        <w:t xml:space="preserve"> remain grounded in factual statements (since everything must be supportable).</w:t>
      </w:r>
    </w:p>
    <w:p w14:paraId="687E93AF" w14:textId="77777777" w:rsidR="00E82D4E" w:rsidRPr="00E82D4E" w:rsidRDefault="00E82D4E" w:rsidP="00E82D4E">
      <w:pPr>
        <w:widowControl/>
        <w:numPr>
          <w:ilvl w:val="0"/>
          <w:numId w:val="11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Using present tense for current operations and past tense for history is appropriate, and occasionally future tense for planned strategies.</w:t>
      </w:r>
    </w:p>
    <w:p w14:paraId="5AF4867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Outcome</w:t>
      </w:r>
    </w:p>
    <w:p w14:paraId="71D7D15B" w14:textId="77777777" w:rsidR="00E82D4E" w:rsidRPr="00E82D4E" w:rsidRDefault="00E82D4E" w:rsidP="00E82D4E">
      <w:pPr>
        <w:widowControl/>
        <w:numPr>
          <w:ilvl w:val="0"/>
          <w:numId w:val="11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thoroughly covering who the company is, what it does, how it does it, and why it believes it can succeed, this section provides investors with a foundation to evaluate the company’s commercial viability.</w:t>
      </w:r>
    </w:p>
    <w:p w14:paraId="7F87847E"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4C6F758C">
          <v:rect id="_x0000_i1036" alt="" style="width:415.3pt;height:.05pt;mso-width-percent:0;mso-height-percent:0;mso-width-percent:0;mso-height-percent:0" o:hralign="center" o:hrstd="t" o:hr="t" fillcolor="#a0a0a0" stroked="f"/>
        </w:pict>
      </w:r>
    </w:p>
    <w:p w14:paraId="0CF2E052"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Contractual Arrangements (Variable Interest Entities)</w:t>
      </w:r>
    </w:p>
    <w:p w14:paraId="5C9457B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When this section appears</w:t>
      </w:r>
    </w:p>
    <w:p w14:paraId="41F614F2" w14:textId="77777777" w:rsidR="00E82D4E" w:rsidRPr="00E82D4E" w:rsidRDefault="00E82D4E" w:rsidP="00E82D4E">
      <w:pPr>
        <w:widowControl/>
        <w:numPr>
          <w:ilvl w:val="0"/>
          <w:numId w:val="11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 company operates through a Variable Interest Entity (VIE) structure due to foreign investment restrictions (common for Chinese issuers in restricted sectors), this dedicated section explains those arrangements.</w:t>
      </w:r>
    </w:p>
    <w:p w14:paraId="188E5F5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Opening explanation</w:t>
      </w:r>
    </w:p>
    <w:p w14:paraId="28ECFEED" w14:textId="77777777" w:rsidR="00E82D4E" w:rsidRPr="00E82D4E" w:rsidRDefault="00E82D4E" w:rsidP="00E82D4E">
      <w:pPr>
        <w:widowControl/>
        <w:numPr>
          <w:ilvl w:val="0"/>
          <w:numId w:val="11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begin by stating why contractual arrangements are needed: which part of the business cannot be directly owned by the listing entity due to regulations.</w:t>
      </w:r>
    </w:p>
    <w:p w14:paraId="26FC8DE9" w14:textId="77777777" w:rsidR="00E82D4E" w:rsidRPr="00E82D4E" w:rsidRDefault="00E82D4E" w:rsidP="00E82D4E">
      <w:pPr>
        <w:widowControl/>
        <w:numPr>
          <w:ilvl w:val="0"/>
          <w:numId w:val="11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For example, “We launched </w:t>
      </w:r>
      <w:proofErr w:type="spellStart"/>
      <w:r w:rsidRPr="00E82D4E">
        <w:rPr>
          <w:rFonts w:ascii="Times New Roman" w:eastAsia="宋体" w:hAnsi="Times New Roman" w:cs="Times New Roman"/>
          <w:color w:val="000000"/>
          <w:kern w:val="0"/>
          <w:sz w:val="22"/>
          <w:szCs w:val="22"/>
          <w14:ligatures w14:val="none"/>
        </w:rPr>
        <w:t>Paqu</w:t>
      </w:r>
      <w:proofErr w:type="spellEnd"/>
      <w:r w:rsidRPr="00E82D4E">
        <w:rPr>
          <w:rFonts w:ascii="Times New Roman" w:eastAsia="宋体" w:hAnsi="Times New Roman" w:cs="Times New Roman"/>
          <w:color w:val="000000"/>
          <w:kern w:val="0"/>
          <w:sz w:val="22"/>
          <w:szCs w:val="22"/>
          <w14:ligatures w14:val="none"/>
        </w:rPr>
        <w:t xml:space="preserve"> </w:t>
      </w:r>
      <w:proofErr w:type="spellStart"/>
      <w:r w:rsidRPr="00E82D4E">
        <w:rPr>
          <w:rFonts w:ascii="Times New Roman" w:eastAsia="宋体" w:hAnsi="Times New Roman" w:cs="Times New Roman"/>
          <w:color w:val="000000"/>
          <w:kern w:val="0"/>
          <w:sz w:val="22"/>
          <w:szCs w:val="22"/>
          <w14:ligatures w14:val="none"/>
        </w:rPr>
        <w:t>Huyu</w:t>
      </w:r>
      <w:proofErr w:type="spellEnd"/>
      <w:r w:rsidRPr="00E82D4E">
        <w:rPr>
          <w:rFonts w:ascii="Times New Roman" w:eastAsia="宋体" w:hAnsi="Times New Roman" w:cs="Times New Roman"/>
          <w:color w:val="000000"/>
          <w:kern w:val="0"/>
          <w:sz w:val="22"/>
          <w:szCs w:val="22"/>
          <w14:ligatures w14:val="none"/>
        </w:rPr>
        <w:t>, our online platform for pop toy culture services, which is subject to PRC laws restricting foreign ownership of internet content service providers. As a result, we conduct that portion of our business through contractual arrangements with a domestic entity”.</w:t>
      </w:r>
    </w:p>
    <w:p w14:paraId="41DCE5E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Structure description</w:t>
      </w:r>
    </w:p>
    <w:p w14:paraId="526BD875" w14:textId="77777777" w:rsidR="00E82D4E" w:rsidRPr="00E82D4E" w:rsidRDefault="00E82D4E" w:rsidP="00E82D4E">
      <w:pPr>
        <w:widowControl/>
        <w:numPr>
          <w:ilvl w:val="0"/>
          <w:numId w:val="118"/>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then describe the structure: name the wholly foreign-owned enterprise (WFOE) that the company owns, the operating company (VIE) held by PRC nationals (often founders or designees), and state that a series of contracts between them confer control and economic benefits of the VIE to the listed group.</w:t>
      </w:r>
    </w:p>
    <w:p w14:paraId="0E5BD3A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Agreements that must be covered</w:t>
      </w:r>
    </w:p>
    <w:p w14:paraId="73D45F26" w14:textId="77777777" w:rsidR="00E82D4E" w:rsidRPr="00E82D4E" w:rsidRDefault="00E82D4E" w:rsidP="00E82D4E">
      <w:pPr>
        <w:widowControl/>
        <w:numPr>
          <w:ilvl w:val="0"/>
          <w:numId w:val="11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information framework must detail each major agreement in the VIE structure: typically, (</w:t>
      </w:r>
      <w:proofErr w:type="spellStart"/>
      <w:r w:rsidRPr="00E82D4E">
        <w:rPr>
          <w:rFonts w:ascii="Times New Roman" w:eastAsia="宋体" w:hAnsi="Times New Roman" w:cs="Times New Roman"/>
          <w:color w:val="000000"/>
          <w:kern w:val="0"/>
          <w:sz w:val="22"/>
          <w:szCs w:val="22"/>
          <w14:ligatures w14:val="none"/>
        </w:rPr>
        <w:t>i</w:t>
      </w:r>
      <w:proofErr w:type="spellEnd"/>
      <w:r w:rsidRPr="00E82D4E">
        <w:rPr>
          <w:rFonts w:ascii="Times New Roman" w:eastAsia="宋体" w:hAnsi="Times New Roman" w:cs="Times New Roman"/>
          <w:color w:val="000000"/>
          <w:kern w:val="0"/>
          <w:sz w:val="22"/>
          <w:szCs w:val="22"/>
          <w14:ligatures w14:val="none"/>
        </w:rPr>
        <w:t>) Exclusive Business Cooperation/Service Agreement (for transferring fees), (ii) Equity Pledge Agreement (securing the VIE owners’ shares to the WFOE), (iii) Exclusive Option Agreement (WFOE’s right to acquire the VIE equity), (iv) Powers of Attorney or Shareholders’ Voting Proxy (authorizing WFOE/its designee to exercise voting rights of the VIE’s shareholders).</w:t>
      </w:r>
    </w:p>
    <w:p w14:paraId="355323B3" w14:textId="77777777" w:rsidR="00E82D4E" w:rsidRPr="00E82D4E" w:rsidRDefault="00E82D4E" w:rsidP="00E82D4E">
      <w:pPr>
        <w:widowControl/>
        <w:numPr>
          <w:ilvl w:val="0"/>
          <w:numId w:val="11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summarize what each of these contracts does.</w:t>
      </w:r>
    </w:p>
    <w:p w14:paraId="518D5D4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Illustrative explanation</w:t>
      </w:r>
    </w:p>
    <w:p w14:paraId="374018B4" w14:textId="77777777" w:rsidR="00E82D4E" w:rsidRPr="00E82D4E" w:rsidRDefault="00E82D4E" w:rsidP="00E82D4E">
      <w:pPr>
        <w:widowControl/>
        <w:numPr>
          <w:ilvl w:val="0"/>
          <w:numId w:val="12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“Under the Exclusive Option Agreement, the WFOE has the right to purchase all or part of the equity interests in the VIE at a nominal price, when permitted by Chinese law.”</w:t>
      </w:r>
    </w:p>
    <w:p w14:paraId="310075C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Consolidation and diagrams</w:t>
      </w:r>
    </w:p>
    <w:p w14:paraId="79B40D17" w14:textId="77777777" w:rsidR="00E82D4E" w:rsidRPr="00E82D4E" w:rsidRDefault="00E82D4E" w:rsidP="00E82D4E">
      <w:pPr>
        <w:widowControl/>
        <w:numPr>
          <w:ilvl w:val="0"/>
          <w:numId w:val="12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also mention that through these contracts, the company is able to consolidate the VIE’s results in its financial statements as if it were a subsidiary.</w:t>
      </w:r>
    </w:p>
    <w:p w14:paraId="0B672079" w14:textId="77777777" w:rsidR="00E82D4E" w:rsidRPr="00E82D4E" w:rsidRDefault="00E82D4E" w:rsidP="00E82D4E">
      <w:pPr>
        <w:widowControl/>
        <w:numPr>
          <w:ilvl w:val="0"/>
          <w:numId w:val="12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A diagram is often used in the prospectus; the AI can describe it textually, e.g., “(See diagram illustrating the flow of control: our WFOE, Beijing Pop Mart, has contracts with </w:t>
      </w:r>
      <w:proofErr w:type="spellStart"/>
      <w:r w:rsidRPr="00E82D4E">
        <w:rPr>
          <w:rFonts w:ascii="Times New Roman" w:eastAsia="宋体" w:hAnsi="Times New Roman" w:cs="Times New Roman"/>
          <w:color w:val="000000"/>
          <w:kern w:val="0"/>
          <w:sz w:val="22"/>
          <w:szCs w:val="22"/>
          <w14:ligatures w14:val="none"/>
        </w:rPr>
        <w:t>Paqu</w:t>
      </w:r>
      <w:proofErr w:type="spellEnd"/>
      <w:r w:rsidRPr="00E82D4E">
        <w:rPr>
          <w:rFonts w:ascii="Times New Roman" w:eastAsia="宋体" w:hAnsi="Times New Roman" w:cs="Times New Roman"/>
          <w:color w:val="000000"/>
          <w:kern w:val="0"/>
          <w:sz w:val="22"/>
          <w:szCs w:val="22"/>
          <w14:ligatures w14:val="none"/>
        </w:rPr>
        <w:t xml:space="preserve"> </w:t>
      </w:r>
      <w:proofErr w:type="spellStart"/>
      <w:r w:rsidRPr="00E82D4E">
        <w:rPr>
          <w:rFonts w:ascii="Times New Roman" w:eastAsia="宋体" w:hAnsi="Times New Roman" w:cs="Times New Roman"/>
          <w:color w:val="000000"/>
          <w:kern w:val="0"/>
          <w:sz w:val="22"/>
          <w:szCs w:val="22"/>
          <w14:ligatures w14:val="none"/>
        </w:rPr>
        <w:t>Huyu</w:t>
      </w:r>
      <w:proofErr w:type="spellEnd"/>
      <w:r w:rsidRPr="00E82D4E">
        <w:rPr>
          <w:rFonts w:ascii="Times New Roman" w:eastAsia="宋体" w:hAnsi="Times New Roman" w:cs="Times New Roman"/>
          <w:color w:val="000000"/>
          <w:kern w:val="0"/>
          <w:sz w:val="22"/>
          <w:szCs w:val="22"/>
          <w14:ligatures w14:val="none"/>
        </w:rPr>
        <w:t xml:space="preserve"> and its shareholders that give us effective control and allow transfer of profits to our Group.)”</w:t>
      </w:r>
    </w:p>
    <w:p w14:paraId="0E5571D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Risk acknowledgment</w:t>
      </w:r>
    </w:p>
    <w:p w14:paraId="7EFCFB33" w14:textId="77777777" w:rsidR="00E82D4E" w:rsidRPr="00E82D4E" w:rsidRDefault="00E82D4E" w:rsidP="00E82D4E">
      <w:pPr>
        <w:widowControl/>
        <w:numPr>
          <w:ilvl w:val="0"/>
          <w:numId w:val="12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section must also candidly highlight the risks of this arrangement (though detailed risks appear in Risk Factors, here a brief mention is good): e.g., that the contracts may not be as effective as direct ownership and that if the VIE shareholders fail to perform their obligations or if PRC authorities found the setup illegal, the company’s business could be materially affected.</w:t>
      </w:r>
    </w:p>
    <w:p w14:paraId="4A3DD946" w14:textId="77777777" w:rsidR="00E82D4E" w:rsidRPr="00E82D4E" w:rsidRDefault="00E82D4E" w:rsidP="00E82D4E">
      <w:pPr>
        <w:widowControl/>
        <w:numPr>
          <w:ilvl w:val="0"/>
          <w:numId w:val="12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reference that investors are buying shares of the Cayman entity which does not directly own the restricted business assets.</w:t>
      </w:r>
    </w:p>
    <w:p w14:paraId="41C5351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Legal opinions</w:t>
      </w:r>
    </w:p>
    <w:p w14:paraId="4593557A" w14:textId="77777777" w:rsidR="00E82D4E" w:rsidRPr="00E82D4E" w:rsidRDefault="00E82D4E" w:rsidP="00E82D4E">
      <w:pPr>
        <w:widowControl/>
        <w:numPr>
          <w:ilvl w:val="0"/>
          <w:numId w:val="12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Additionally, it should confirm whether the company’s PRC legal counsel has advised that these contracts are valid and enforceable under PRC law (this is usually stated, albeit with the caveat of uncertainties in enforcement).</w:t>
      </w:r>
    </w:p>
    <w:p w14:paraId="40430F2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requirements</w:t>
      </w:r>
    </w:p>
    <w:p w14:paraId="67A8F8DF" w14:textId="77777777" w:rsidR="00E82D4E" w:rsidRPr="00E82D4E" w:rsidRDefault="00E82D4E" w:rsidP="00E82D4E">
      <w:pPr>
        <w:widowControl/>
        <w:numPr>
          <w:ilvl w:val="0"/>
          <w:numId w:val="12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Granularity is important: list the actual names of the entities involved (WFOE name, VIE name) and the specific contracts.</w:t>
      </w:r>
    </w:p>
    <w:p w14:paraId="58607B92" w14:textId="77777777" w:rsidR="00E82D4E" w:rsidRPr="00E82D4E" w:rsidRDefault="00E82D4E" w:rsidP="00E82D4E">
      <w:pPr>
        <w:widowControl/>
        <w:numPr>
          <w:ilvl w:val="0"/>
          <w:numId w:val="124"/>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are any unique terms or arrangements (like arrangements to ensure the VIE’s profits get transferred as fees or loans), describe those.</w:t>
      </w:r>
    </w:p>
    <w:p w14:paraId="087173D9" w14:textId="77777777" w:rsidR="00E82D4E" w:rsidRPr="00E82D4E" w:rsidRDefault="00E82D4E" w:rsidP="00E82D4E">
      <w:pPr>
        <w:widowControl/>
        <w:numPr>
          <w:ilvl w:val="0"/>
          <w:numId w:val="12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Also, mention any regulatory approval or filing of these agreements if applicable.</w:t>
      </w:r>
    </w:p>
    <w:p w14:paraId="0375FD3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Clarity for non-specialist investors</w:t>
      </w:r>
    </w:p>
    <w:p w14:paraId="607FCEFE" w14:textId="77777777" w:rsidR="00E82D4E" w:rsidRPr="00E82D4E" w:rsidRDefault="00E82D4E" w:rsidP="00E82D4E">
      <w:pPr>
        <w:widowControl/>
        <w:numPr>
          <w:ilvl w:val="0"/>
          <w:numId w:val="12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ensure the explanation remains clear to an investor who may not be familiar with VIE structures – essentially conveying that “although we don’t legally own part of our business, we control it via contracts”.</w:t>
      </w:r>
    </w:p>
    <w:p w14:paraId="2234BFF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and compliance</w:t>
      </w:r>
    </w:p>
    <w:p w14:paraId="5CB52A77" w14:textId="77777777" w:rsidR="00E82D4E" w:rsidRPr="00E82D4E" w:rsidRDefault="00E82D4E" w:rsidP="00E82D4E">
      <w:pPr>
        <w:widowControl/>
        <w:numPr>
          <w:ilvl w:val="0"/>
          <w:numId w:val="12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is crucial for compliance and transparency due to the complex nature of VIEs, and the AI’s output should reflect the formal, cautious tone, emphasizing that this is common practice in restricted sectors in China and that the company has taken steps to mitigate associated risks.</w:t>
      </w:r>
    </w:p>
    <w:p w14:paraId="2D2AF8DD"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6AFD67AE">
          <v:rect id="_x0000_i1035" alt="" style="width:415.3pt;height:.05pt;mso-width-percent:0;mso-height-percent:0;mso-width-percent:0;mso-height-percent:0" o:hralign="center" o:hrstd="t" o:hr="t" fillcolor="#a0a0a0" stroked="f"/>
        </w:pict>
      </w:r>
    </w:p>
    <w:p w14:paraId="649A03C2"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Relationship with Our Controlling Shareholders</w:t>
      </w:r>
    </w:p>
    <w:p w14:paraId="038F22A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2530960B" w14:textId="77777777" w:rsidR="00E82D4E" w:rsidRPr="00E82D4E" w:rsidRDefault="00E82D4E" w:rsidP="00E82D4E">
      <w:pPr>
        <w:widowControl/>
        <w:numPr>
          <w:ilvl w:val="0"/>
          <w:numId w:val="12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this section, the prospectus discloses details about shareholders who will retain control after the offering and addresses any potential conflicts of interest.</w:t>
      </w:r>
    </w:p>
    <w:p w14:paraId="53F8DAC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Identification &amp; control statement</w:t>
      </w:r>
    </w:p>
    <w:p w14:paraId="0CED88F1" w14:textId="77777777" w:rsidR="00E82D4E" w:rsidRPr="00E82D4E" w:rsidRDefault="00E82D4E" w:rsidP="00E82D4E">
      <w:pPr>
        <w:widowControl/>
        <w:numPr>
          <w:ilvl w:val="0"/>
          <w:numId w:val="12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identify the controlling shareholder(s) by name and stake.</w:t>
      </w:r>
    </w:p>
    <w:p w14:paraId="0FAB4312" w14:textId="77777777" w:rsidR="00E82D4E" w:rsidRPr="00E82D4E" w:rsidRDefault="00E82D4E" w:rsidP="00E82D4E">
      <w:pPr>
        <w:widowControl/>
        <w:numPr>
          <w:ilvl w:val="0"/>
          <w:numId w:val="12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“Mr. Wang Ning, our founder, Chairman and CEO, will be able to exercise approximately 43.58% of the voting rights in our Company immediately following the Global Offering, and thus will remain as our Controlling Shareholder.”</w:t>
      </w:r>
    </w:p>
    <w:p w14:paraId="3838C1E3" w14:textId="77777777" w:rsidR="00E82D4E" w:rsidRPr="00E82D4E" w:rsidRDefault="00E82D4E" w:rsidP="00E82D4E">
      <w:pPr>
        <w:widowControl/>
        <w:numPr>
          <w:ilvl w:val="0"/>
          <w:numId w:val="12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control is held through a trust or a holding vehicle, those should be named as well (e.g., “Mr. X through ABC Holding Ltd. and the XYZ Family Trust”).</w:t>
      </w:r>
    </w:p>
    <w:p w14:paraId="7472EBB7" w14:textId="77777777" w:rsidR="00E82D4E" w:rsidRPr="00E82D4E" w:rsidRDefault="00E82D4E" w:rsidP="00E82D4E">
      <w:pPr>
        <w:widowControl/>
        <w:numPr>
          <w:ilvl w:val="0"/>
          <w:numId w:val="12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needs to confirm these persons meet the definition of controlling shareholders under the listing rules (usually meaning 30%+ of voting power or significant influence).</w:t>
      </w:r>
    </w:p>
    <w:p w14:paraId="77C9CBE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Independence safeguards</w:t>
      </w:r>
    </w:p>
    <w:p w14:paraId="13A069DC" w14:textId="77777777" w:rsidR="00E82D4E" w:rsidRPr="00E82D4E" w:rsidRDefault="00E82D4E" w:rsidP="00E82D4E">
      <w:pPr>
        <w:widowControl/>
        <w:numPr>
          <w:ilvl w:val="0"/>
          <w:numId w:val="12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the AI should outline measures taken to manage conflicts of interest and ensure independence of the listed company from the controlling shareholders.</w:t>
      </w:r>
    </w:p>
    <w:p w14:paraId="0C09EA07" w14:textId="77777777" w:rsidR="00E82D4E" w:rsidRPr="00E82D4E" w:rsidRDefault="00E82D4E" w:rsidP="00E82D4E">
      <w:pPr>
        <w:widowControl/>
        <w:numPr>
          <w:ilvl w:val="0"/>
          <w:numId w:val="12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typically includes sub-sections on Independence: covering management independence, operational independence, financial independence, and an absence of competition.</w:t>
      </w:r>
    </w:p>
    <w:p w14:paraId="7363BE7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“independence” should look like in text</w:t>
      </w:r>
    </w:p>
    <w:p w14:paraId="548FF191" w14:textId="77777777" w:rsidR="00E82D4E" w:rsidRPr="00E82D4E" w:rsidRDefault="00E82D4E" w:rsidP="00E82D4E">
      <w:pPr>
        <w:widowControl/>
        <w:numPr>
          <w:ilvl w:val="0"/>
          <w:numId w:val="13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For instance, the prospectus will assert that the company can operate independently of the controlling shareholder because it has its own separate business operations, separate management team, and no undue reliance on the controlling party.</w:t>
      </w:r>
    </w:p>
    <w:p w14:paraId="31332304" w14:textId="77777777" w:rsidR="00E82D4E" w:rsidRPr="00E82D4E" w:rsidRDefault="00E82D4E" w:rsidP="00E82D4E">
      <w:pPr>
        <w:widowControl/>
        <w:numPr>
          <w:ilvl w:val="0"/>
          <w:numId w:val="13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enumerate these points: e.g., “We have our own independent management and administrative capabilities, and all business decisions are made by our Board and senior management. Our Controlling Shareholder does not interfere with the day-to-day operations. We have sufficient operational resources (customers, suppliers, systems) to operate without reliance on the Controlling Shareholder.”</w:t>
      </w:r>
    </w:p>
    <w:p w14:paraId="11D3140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Non-competition undertakings</w:t>
      </w:r>
    </w:p>
    <w:p w14:paraId="69B49753" w14:textId="77777777" w:rsidR="00E82D4E" w:rsidRPr="00E82D4E" w:rsidRDefault="00E82D4E" w:rsidP="00E82D4E">
      <w:pPr>
        <w:widowControl/>
        <w:numPr>
          <w:ilvl w:val="0"/>
          <w:numId w:val="13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Another critical part is the Non-competition Undertaking: controlling shareholders typically provide an undertaking that they (and their other businesses) will not compete with the company’s business.</w:t>
      </w:r>
    </w:p>
    <w:p w14:paraId="501E473C" w14:textId="77777777" w:rsidR="00E82D4E" w:rsidRPr="00E82D4E" w:rsidRDefault="00E82D4E" w:rsidP="00E82D4E">
      <w:pPr>
        <w:widowControl/>
        <w:numPr>
          <w:ilvl w:val="0"/>
          <w:numId w:val="13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mention that: “Our Controlling Shareholders have provided a written non-compete undertaking in favor of our Company, confirming that neither they nor their associates will engage in any business that competes with our Group’s business.”</w:t>
      </w:r>
    </w:p>
    <w:p w14:paraId="349F9AD8" w14:textId="77777777" w:rsidR="00E82D4E" w:rsidRPr="00E82D4E" w:rsidRDefault="00E82D4E" w:rsidP="00E82D4E">
      <w:pPr>
        <w:widowControl/>
        <w:numPr>
          <w:ilvl w:val="0"/>
          <w:numId w:val="13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 controlling shareholder does have other businesses in related fields, those should be disclosed along with why they are not in competition or how they are handled (maybe placed in a trust or carved out).</w:t>
      </w:r>
    </w:p>
    <w:p w14:paraId="6A04265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Connected transactions cross-reference</w:t>
      </w:r>
    </w:p>
    <w:p w14:paraId="3C3F913A" w14:textId="77777777" w:rsidR="00E82D4E" w:rsidRPr="00E82D4E" w:rsidRDefault="00E82D4E" w:rsidP="00E82D4E">
      <w:pPr>
        <w:widowControl/>
        <w:numPr>
          <w:ilvl w:val="0"/>
          <w:numId w:val="13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Additionally, any ongoing or past connected transactions with the controlling shareholders should be cross-referenced (though details are in Connected Transactions section) – for example, leases or shared services, and how they are on arm’s-length terms.</w:t>
      </w:r>
    </w:p>
    <w:p w14:paraId="6DB32BB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w:t>
      </w:r>
    </w:p>
    <w:p w14:paraId="0DA02C66" w14:textId="77777777" w:rsidR="00E82D4E" w:rsidRPr="00E82D4E" w:rsidRDefault="00E82D4E" w:rsidP="00E82D4E">
      <w:pPr>
        <w:widowControl/>
        <w:numPr>
          <w:ilvl w:val="0"/>
          <w:numId w:val="13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here requires naming specific entities and individuals and giving numeric shareholding percentages to show the extent of control.</w:t>
      </w:r>
    </w:p>
    <w:p w14:paraId="54D40BB6" w14:textId="77777777" w:rsidR="00E82D4E" w:rsidRPr="00E82D4E" w:rsidRDefault="00E82D4E" w:rsidP="00E82D4E">
      <w:pPr>
        <w:widowControl/>
        <w:numPr>
          <w:ilvl w:val="0"/>
          <w:numId w:val="133"/>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also clearly state the arrangements ensuring independence: e.g., any separate offices, no loan guarantees by controlling shareholder, independent access to financing, etc., as given in the prospectus narrative.</w:t>
      </w:r>
    </w:p>
    <w:p w14:paraId="65D229F8" w14:textId="77777777" w:rsidR="00E82D4E" w:rsidRPr="00E82D4E" w:rsidRDefault="00E82D4E" w:rsidP="00E82D4E">
      <w:pPr>
        <w:widowControl/>
        <w:numPr>
          <w:ilvl w:val="0"/>
          <w:numId w:val="13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replicate any formal confirmation language from directors like: “The Directors are satisfied that our Group is capable of carrying on its business independently of our Controlling Shareholders after listing.”</w:t>
      </w:r>
    </w:p>
    <w:p w14:paraId="4AA0FBA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Listing Rules reference</w:t>
      </w:r>
    </w:p>
    <w:p w14:paraId="1CE38A2B" w14:textId="77777777" w:rsidR="00E82D4E" w:rsidRPr="00E82D4E" w:rsidRDefault="00E82D4E" w:rsidP="00E82D4E">
      <w:pPr>
        <w:widowControl/>
        <w:numPr>
          <w:ilvl w:val="0"/>
          <w:numId w:val="13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Finally, mention compliance with Listing Rule 8.10 (which requires disclosure of competing interests): typically, “Our Controlling Shareholders have confirmed that they do not have any interest in a business that competes with ours, and if in the future there is a potential conflict, they will abstain from voting”.</w:t>
      </w:r>
    </w:p>
    <w:p w14:paraId="60384C3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w:t>
      </w:r>
    </w:p>
    <w:p w14:paraId="6ACFD2F5" w14:textId="77777777" w:rsidR="00E82D4E" w:rsidRPr="00E82D4E" w:rsidRDefault="00E82D4E" w:rsidP="00E82D4E">
      <w:pPr>
        <w:widowControl/>
        <w:numPr>
          <w:ilvl w:val="0"/>
          <w:numId w:val="13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is formal and assuring, giving comfort to investors that although one party will have significant control, mechanisms are in place to protect minority shareholders and ensure the company’s decisions are made in its own best interest, not just the controlling party’s interest.</w:t>
      </w:r>
    </w:p>
    <w:p w14:paraId="41DCF511" w14:textId="77777777" w:rsidR="00E82D4E" w:rsidRPr="00E82D4E" w:rsidRDefault="00E82D4E" w:rsidP="00E82D4E">
      <w:pPr>
        <w:widowControl/>
        <w:numPr>
          <w:ilvl w:val="0"/>
          <w:numId w:val="13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This section is critical for governance transparency, and the AI must cover all points thoroughly, following the prospectus template closely.</w:t>
      </w:r>
    </w:p>
    <w:p w14:paraId="54B274F3"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167F66AA">
          <v:rect id="_x0000_i1034" alt="" style="width:415.3pt;height:.05pt;mso-width-percent:0;mso-height-percent:0;mso-width-percent:0;mso-height-percent:0" o:hralign="center" o:hrstd="t" o:hr="t" fillcolor="#a0a0a0" stroked="f"/>
        </w:pict>
      </w:r>
    </w:p>
    <w:p w14:paraId="5D3D7E12"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Connected Transactions</w:t>
      </w:r>
    </w:p>
    <w:p w14:paraId="1B1A52A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5BE2A464" w14:textId="77777777" w:rsidR="00E82D4E" w:rsidRPr="00E82D4E" w:rsidRDefault="00E82D4E" w:rsidP="00E82D4E">
      <w:pPr>
        <w:widowControl/>
        <w:numPr>
          <w:ilvl w:val="0"/>
          <w:numId w:val="13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This section discloses any transactions the company has </w:t>
      </w:r>
      <w:proofErr w:type="gramStart"/>
      <w:r w:rsidRPr="00E82D4E">
        <w:rPr>
          <w:rFonts w:ascii="Times New Roman" w:eastAsia="宋体" w:hAnsi="Times New Roman" w:cs="Times New Roman"/>
          <w:color w:val="000000"/>
          <w:kern w:val="0"/>
          <w:sz w:val="22"/>
          <w:szCs w:val="22"/>
          <w14:ligatures w14:val="none"/>
        </w:rPr>
        <w:t>entered into</w:t>
      </w:r>
      <w:proofErr w:type="gramEnd"/>
      <w:r w:rsidRPr="00E82D4E">
        <w:rPr>
          <w:rFonts w:ascii="Times New Roman" w:eastAsia="宋体" w:hAnsi="Times New Roman" w:cs="Times New Roman"/>
          <w:color w:val="000000"/>
          <w:kern w:val="0"/>
          <w:sz w:val="22"/>
          <w:szCs w:val="22"/>
          <w14:ligatures w14:val="none"/>
        </w:rPr>
        <w:t xml:space="preserve"> with related parties (connected persons), which typically include the controlling shareholders, directors, or their associates.</w:t>
      </w:r>
    </w:p>
    <w:p w14:paraId="20C97F9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Core requirements</w:t>
      </w:r>
    </w:p>
    <w:p w14:paraId="6D30E04E" w14:textId="77777777" w:rsidR="00E82D4E" w:rsidRPr="00E82D4E" w:rsidRDefault="00E82D4E" w:rsidP="00E82D4E">
      <w:pPr>
        <w:widowControl/>
        <w:numPr>
          <w:ilvl w:val="0"/>
          <w:numId w:val="13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identify each connected transaction and explain its nature, terms, and whether it will continue after listing.</w:t>
      </w:r>
    </w:p>
    <w:p w14:paraId="0719F45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Typical sub-categories</w:t>
      </w:r>
    </w:p>
    <w:p w14:paraId="09C08082" w14:textId="77777777" w:rsidR="00E82D4E" w:rsidRPr="00E82D4E" w:rsidRDefault="00E82D4E" w:rsidP="00E82D4E">
      <w:pPr>
        <w:widowControl/>
        <w:numPr>
          <w:ilvl w:val="0"/>
          <w:numId w:val="13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There are usually sub-categories: Continuing Connected Transactions (ongoing relationships like service agreements, leases, or in Pop Mart’s case the Contractual Arrangements with the VIE) and any One-off Connected Transactions (like a pre-IPO asset purchase from a connected person).</w:t>
      </w:r>
    </w:p>
    <w:p w14:paraId="390EC435" w14:textId="77777777" w:rsidR="00E82D4E" w:rsidRPr="00E82D4E" w:rsidRDefault="00E82D4E" w:rsidP="00E82D4E">
      <w:pPr>
        <w:widowControl/>
        <w:numPr>
          <w:ilvl w:val="0"/>
          <w:numId w:val="13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each, the prospectus states why it falls under connected transaction rules and what approvals or waivers are in place.</w:t>
      </w:r>
    </w:p>
    <w:p w14:paraId="0689FBF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Connected persons list</w:t>
      </w:r>
    </w:p>
    <w:p w14:paraId="769352D2" w14:textId="77777777" w:rsidR="00E82D4E" w:rsidRPr="00E82D4E" w:rsidRDefault="00E82D4E" w:rsidP="00E82D4E">
      <w:pPr>
        <w:widowControl/>
        <w:numPr>
          <w:ilvl w:val="0"/>
          <w:numId w:val="13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range should include a listing of who the connected persons are.</w:t>
      </w:r>
    </w:p>
    <w:p w14:paraId="0CDD2F50" w14:textId="77777777" w:rsidR="00E82D4E" w:rsidRPr="00E82D4E" w:rsidRDefault="00E82D4E" w:rsidP="00E82D4E">
      <w:pPr>
        <w:widowControl/>
        <w:numPr>
          <w:ilvl w:val="0"/>
          <w:numId w:val="13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it might start by naming “Connected Persons” – often repeating the controlling shareholders and any other major related parties that have dealings with the company.</w:t>
      </w:r>
    </w:p>
    <w:p w14:paraId="1C6CCEA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Per-transaction description</w:t>
      </w:r>
    </w:p>
    <w:p w14:paraId="153FC3AB" w14:textId="77777777" w:rsidR="00E82D4E" w:rsidRPr="00E82D4E" w:rsidRDefault="00E82D4E" w:rsidP="00E82D4E">
      <w:pPr>
        <w:widowControl/>
        <w:numPr>
          <w:ilvl w:val="0"/>
          <w:numId w:val="14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for each transaction or type of transaction, describe it: e.g., “We have leased office space from [Controlling Shareholder’s company] since 2018. This lease will constitute a continuing connected transaction upon listing.”</w:t>
      </w:r>
    </w:p>
    <w:p w14:paraId="4A422E0B" w14:textId="77777777" w:rsidR="00E82D4E" w:rsidRPr="00E82D4E" w:rsidRDefault="00E82D4E" w:rsidP="00E82D4E">
      <w:pPr>
        <w:widowControl/>
        <w:numPr>
          <w:ilvl w:val="0"/>
          <w:numId w:val="14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key terms (lease duration, rent, whether rent is market rate) should be mentioned.</w:t>
      </w:r>
    </w:p>
    <w:p w14:paraId="67ED3B4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VIE as connected transactions (example logic)</w:t>
      </w:r>
    </w:p>
    <w:p w14:paraId="1308FAFA" w14:textId="77777777" w:rsidR="00E82D4E" w:rsidRPr="00E82D4E" w:rsidRDefault="00E82D4E" w:rsidP="00E82D4E">
      <w:pPr>
        <w:widowControl/>
        <w:numPr>
          <w:ilvl w:val="0"/>
          <w:numId w:val="14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 significant connected transaction in Pop Mart’s case is the Contractual Arrangements themselves, which are technically transactions with the VIE’s owners (who are directors and hence connected persons).</w:t>
      </w:r>
    </w:p>
    <w:p w14:paraId="5A9101EA" w14:textId="77777777" w:rsidR="00E82D4E" w:rsidRPr="00E82D4E" w:rsidRDefault="00E82D4E" w:rsidP="00E82D4E">
      <w:pPr>
        <w:widowControl/>
        <w:numPr>
          <w:ilvl w:val="0"/>
          <w:numId w:val="14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note that: “The service fees paid under the Contractual Arrangements between our WFOE and the VIE are classified as continuing connected transactions under Chapter 14A of the Listing Rules. We have applied for, and the Stock Exchange has granted, a waiver from strict compliance with the announcement, circular and </w:t>
      </w:r>
      <w:r w:rsidRPr="00E82D4E">
        <w:rPr>
          <w:rFonts w:ascii="Times New Roman" w:eastAsia="宋体" w:hAnsi="Times New Roman" w:cs="Times New Roman"/>
          <w:color w:val="000000"/>
          <w:kern w:val="0"/>
          <w:sz w:val="22"/>
          <w:szCs w:val="22"/>
          <w14:ligatures w14:val="none"/>
        </w:rPr>
        <w:lastRenderedPageBreak/>
        <w:t>independent shareholders’ approval requirements for these transactions, on the basis that they are essential to our business and are on normal commercial terms.”</w:t>
      </w:r>
    </w:p>
    <w:p w14:paraId="08035796" w14:textId="77777777" w:rsidR="00E82D4E" w:rsidRPr="00E82D4E" w:rsidRDefault="00E82D4E" w:rsidP="00E82D4E">
      <w:pPr>
        <w:widowControl/>
        <w:numPr>
          <w:ilvl w:val="0"/>
          <w:numId w:val="14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highlights any waivers for connected transactions (which is common, because it’s impractical for VIE fees to require shareholder approval every year).</w:t>
      </w:r>
    </w:p>
    <w:p w14:paraId="0343C65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Annual caps and opinions</w:t>
      </w:r>
    </w:p>
    <w:p w14:paraId="5A1D084A" w14:textId="77777777" w:rsidR="00E82D4E" w:rsidRPr="00E82D4E" w:rsidRDefault="00E82D4E" w:rsidP="00E82D4E">
      <w:pPr>
        <w:widowControl/>
        <w:numPr>
          <w:ilvl w:val="0"/>
          <w:numId w:val="14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each continuing connected transaction, if the prospectus provides annual caps (projected maximum transaction amounts for the next three years) or terms, the AI should include those data points, explaining that these caps are set based on reasonable assumptions.</w:t>
      </w:r>
    </w:p>
    <w:p w14:paraId="26D3F56C" w14:textId="77777777" w:rsidR="00E82D4E" w:rsidRPr="00E82D4E" w:rsidRDefault="00E82D4E" w:rsidP="00E82D4E">
      <w:pPr>
        <w:widowControl/>
        <w:numPr>
          <w:ilvl w:val="0"/>
          <w:numId w:val="14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also mention if an independent financial adviser has opined on these transactions (sometimes included in the prospectus that they are fair and reasonable).</w:t>
      </w:r>
    </w:p>
    <w:p w14:paraId="2C7B085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Ongoing compliance statements</w:t>
      </w:r>
    </w:p>
    <w:p w14:paraId="06FC2F8D" w14:textId="77777777" w:rsidR="00E82D4E" w:rsidRPr="00E82D4E" w:rsidRDefault="00E82D4E" w:rsidP="00E82D4E">
      <w:pPr>
        <w:widowControl/>
        <w:numPr>
          <w:ilvl w:val="0"/>
          <w:numId w:val="14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section should reassure compliance: that the company will comply with applicable listing rules for connected transactions going forward – e.g., that the Audit Committee will review such transactions annually and the company will make proper disclosures.</w:t>
      </w:r>
    </w:p>
    <w:p w14:paraId="13B8F94F" w14:textId="77777777" w:rsidR="00E82D4E" w:rsidRPr="00E82D4E" w:rsidRDefault="00E82D4E" w:rsidP="00E82D4E">
      <w:pPr>
        <w:widowControl/>
        <w:numPr>
          <w:ilvl w:val="0"/>
          <w:numId w:val="14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Indeed, prospectuses often contain undertakings: “Our independent non-executive Directors will </w:t>
      </w:r>
      <w:proofErr w:type="gramStart"/>
      <w:r w:rsidRPr="00E82D4E">
        <w:rPr>
          <w:rFonts w:ascii="Times New Roman" w:eastAsia="宋体" w:hAnsi="Times New Roman" w:cs="Times New Roman"/>
          <w:color w:val="000000"/>
          <w:kern w:val="0"/>
          <w:sz w:val="22"/>
          <w:szCs w:val="22"/>
          <w14:ligatures w14:val="none"/>
        </w:rPr>
        <w:t>review</w:t>
      </w:r>
      <w:proofErr w:type="gramEnd"/>
      <w:r w:rsidRPr="00E82D4E">
        <w:rPr>
          <w:rFonts w:ascii="Times New Roman" w:eastAsia="宋体" w:hAnsi="Times New Roman" w:cs="Times New Roman"/>
          <w:color w:val="000000"/>
          <w:kern w:val="0"/>
          <w:sz w:val="22"/>
          <w:szCs w:val="22"/>
          <w14:ligatures w14:val="none"/>
        </w:rPr>
        <w:t xml:space="preserve"> and our auditors will confirm the continuing connected transactions annually, in compliance with the Listing Rules”. The AI should echo such commitments to transparency and regulation.</w:t>
      </w:r>
    </w:p>
    <w:p w14:paraId="3A41114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w:t>
      </w:r>
    </w:p>
    <w:p w14:paraId="6D41D3B8" w14:textId="77777777" w:rsidR="00E82D4E" w:rsidRPr="00E82D4E" w:rsidRDefault="00E82D4E" w:rsidP="00E82D4E">
      <w:pPr>
        <w:widowControl/>
        <w:numPr>
          <w:ilvl w:val="0"/>
          <w:numId w:val="14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Granularity: each connected transaction must be clearly described by naming the connected party and the transaction terms.</w:t>
      </w:r>
    </w:p>
    <w:p w14:paraId="116439C0" w14:textId="77777777" w:rsidR="00E82D4E" w:rsidRPr="00E82D4E" w:rsidRDefault="00E82D4E" w:rsidP="00E82D4E">
      <w:pPr>
        <w:widowControl/>
        <w:numPr>
          <w:ilvl w:val="0"/>
          <w:numId w:val="144"/>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 prospectus lists them in a table or bullet format, do similarly.</w:t>
      </w:r>
    </w:p>
    <w:p w14:paraId="4D08309F" w14:textId="77777777" w:rsidR="00E82D4E" w:rsidRPr="00E82D4E" w:rsidRDefault="00E82D4E" w:rsidP="00E82D4E">
      <w:pPr>
        <w:widowControl/>
        <w:numPr>
          <w:ilvl w:val="0"/>
          <w:numId w:val="144"/>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Include monetary values or percentages if given (e.g., if a certain percent of an expense is paid to a related party).</w:t>
      </w:r>
    </w:p>
    <w:p w14:paraId="4E3E349A" w14:textId="77777777" w:rsidR="00E82D4E" w:rsidRPr="00E82D4E" w:rsidRDefault="00E82D4E" w:rsidP="00E82D4E">
      <w:pPr>
        <w:widowControl/>
        <w:numPr>
          <w:ilvl w:val="0"/>
          <w:numId w:val="14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Also mention if any of these will terminate upon listing or have been unwound as part of reorganization (sometimes, companies clean up certain connections pre-IPO). If none, that should be clear too.</w:t>
      </w:r>
    </w:p>
    <w:p w14:paraId="4374E6E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&amp; typical phrasing</w:t>
      </w:r>
    </w:p>
    <w:p w14:paraId="76CB7938" w14:textId="77777777" w:rsidR="00E82D4E" w:rsidRPr="00E82D4E" w:rsidRDefault="00E82D4E" w:rsidP="00E82D4E">
      <w:pPr>
        <w:widowControl/>
        <w:numPr>
          <w:ilvl w:val="0"/>
          <w:numId w:val="14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tone is factual and </w:t>
      </w:r>
      <w:proofErr w:type="gramStart"/>
      <w:r w:rsidRPr="00E82D4E">
        <w:rPr>
          <w:rFonts w:ascii="Times New Roman" w:eastAsia="宋体" w:hAnsi="Times New Roman" w:cs="Times New Roman"/>
          <w:color w:val="000000"/>
          <w:kern w:val="0"/>
          <w:sz w:val="22"/>
          <w:szCs w:val="22"/>
          <w14:ligatures w14:val="none"/>
        </w:rPr>
        <w:t>compliance-oriented</w:t>
      </w:r>
      <w:proofErr w:type="gramEnd"/>
      <w:r w:rsidRPr="00E82D4E">
        <w:rPr>
          <w:rFonts w:ascii="Times New Roman" w:eastAsia="宋体" w:hAnsi="Times New Roman" w:cs="Times New Roman"/>
          <w:color w:val="000000"/>
          <w:kern w:val="0"/>
          <w:sz w:val="22"/>
          <w:szCs w:val="22"/>
          <w14:ligatures w14:val="none"/>
        </w:rPr>
        <w:t>.</w:t>
      </w:r>
    </w:p>
    <w:p w14:paraId="76F64DDB" w14:textId="77777777" w:rsidR="00E82D4E" w:rsidRPr="00E82D4E" w:rsidRDefault="00E82D4E" w:rsidP="00E82D4E">
      <w:pPr>
        <w:widowControl/>
        <w:numPr>
          <w:ilvl w:val="0"/>
          <w:numId w:val="145"/>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avoid any suggestion that connected transactions are advantageous; instead, they are disclosed for investor awareness and typically stated to be conducted on “arm’s length” or normal commercial terms.</w:t>
      </w:r>
    </w:p>
    <w:p w14:paraId="6215B5C7" w14:textId="77777777" w:rsidR="00E82D4E" w:rsidRPr="00E82D4E" w:rsidRDefault="00E82D4E" w:rsidP="00E82D4E">
      <w:pPr>
        <w:widowControl/>
        <w:numPr>
          <w:ilvl w:val="0"/>
          <w:numId w:val="145"/>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Phrases like “unduly burdensome and impracticable” might appear if explaining why a waiver from strict compliance was needed – if so, including that language provides authenticity.</w:t>
      </w:r>
    </w:p>
    <w:p w14:paraId="75EB90CB" w14:textId="77777777" w:rsidR="00E82D4E" w:rsidRPr="00E82D4E" w:rsidRDefault="00E82D4E" w:rsidP="00E82D4E">
      <w:pPr>
        <w:widowControl/>
        <w:numPr>
          <w:ilvl w:val="0"/>
          <w:numId w:val="14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comprehensively listing and explaining these transactions, this section helps ensure all related-party dealings are transparent to investors.</w:t>
      </w:r>
    </w:p>
    <w:p w14:paraId="691EC576"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3092432D">
          <v:rect id="_x0000_i1033" alt="" style="width:415.3pt;height:.05pt;mso-width-percent:0;mso-height-percent:0;mso-width-percent:0;mso-height-percent:0" o:hralign="center" o:hrstd="t" o:hr="t" fillcolor="#a0a0a0" stroked="f"/>
        </w:pict>
      </w:r>
    </w:p>
    <w:p w14:paraId="5C8A3A86"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Directors and Senior Management</w:t>
      </w:r>
    </w:p>
    <w:p w14:paraId="3DF40DC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Purpose</w:t>
      </w:r>
    </w:p>
    <w:p w14:paraId="56C18919" w14:textId="77777777" w:rsidR="00E82D4E" w:rsidRPr="00E82D4E" w:rsidRDefault="00E82D4E" w:rsidP="00E82D4E">
      <w:pPr>
        <w:widowControl/>
        <w:numPr>
          <w:ilvl w:val="0"/>
          <w:numId w:val="146"/>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this section, the prospectus provides biographical and relevant information about the directors and senior management team.</w:t>
      </w:r>
    </w:p>
    <w:p w14:paraId="59B55CF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Organization</w:t>
      </w:r>
    </w:p>
    <w:p w14:paraId="1DBB9A17" w14:textId="77777777" w:rsidR="00E82D4E" w:rsidRPr="00E82D4E" w:rsidRDefault="00E82D4E" w:rsidP="00E82D4E">
      <w:pPr>
        <w:widowControl/>
        <w:numPr>
          <w:ilvl w:val="0"/>
          <w:numId w:val="14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structure this by grouping individuals into categories: Board of Directors (further split into Executive Directors, Non-executive Directors if any, and Independent Non-executive Directors), and Senior Management (which could overlap with executive directors if they hold management roles, plus other key executives).</w:t>
      </w:r>
    </w:p>
    <w:p w14:paraId="4113269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Per-person profile</w:t>
      </w:r>
    </w:p>
    <w:p w14:paraId="16BC5E94" w14:textId="77777777" w:rsidR="00E82D4E" w:rsidRPr="00E82D4E" w:rsidRDefault="00E82D4E" w:rsidP="00E82D4E">
      <w:pPr>
        <w:widowControl/>
        <w:numPr>
          <w:ilvl w:val="0"/>
          <w:numId w:val="14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Each person’s profile should be a paragraph or two summarizing their age, current positions, experience, and qualifications.</w:t>
      </w:r>
    </w:p>
    <w:p w14:paraId="53850092" w14:textId="77777777" w:rsidR="00E82D4E" w:rsidRPr="00E82D4E" w:rsidRDefault="00E82D4E" w:rsidP="00E82D4E">
      <w:pPr>
        <w:widowControl/>
        <w:numPr>
          <w:ilvl w:val="0"/>
          <w:numId w:val="14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“Mr. Wang Ning, aged 33, is our executive Director, Chairman of the Board and Chief Executive Officer. Mr. Wang founded our Group in 2010 and is responsible for overall strategic direction and management. He has over X years of experience in the pop culture toy industry. Under his leadership, our Company has grown to be a market leader in China.”</w:t>
      </w:r>
    </w:p>
    <w:p w14:paraId="3073D2B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Content elements that must be included if present</w:t>
      </w:r>
    </w:p>
    <w:p w14:paraId="66673248" w14:textId="77777777" w:rsidR="00E82D4E" w:rsidRPr="00E82D4E" w:rsidRDefault="00E82D4E" w:rsidP="00E82D4E">
      <w:pPr>
        <w:widowControl/>
        <w:numPr>
          <w:ilvl w:val="0"/>
          <w:numId w:val="14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covers current role and contribution.</w:t>
      </w:r>
    </w:p>
    <w:p w14:paraId="2000EDC4" w14:textId="77777777" w:rsidR="00E82D4E" w:rsidRPr="00E82D4E" w:rsidRDefault="00E82D4E" w:rsidP="00E82D4E">
      <w:pPr>
        <w:widowControl/>
        <w:numPr>
          <w:ilvl w:val="0"/>
          <w:numId w:val="149"/>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It should then mention </w:t>
      </w:r>
      <w:proofErr w:type="gramStart"/>
      <w:r w:rsidRPr="00E82D4E">
        <w:rPr>
          <w:rFonts w:ascii="Times New Roman" w:eastAsia="宋体" w:hAnsi="Times New Roman" w:cs="Times New Roman"/>
          <w:color w:val="000000"/>
          <w:kern w:val="0"/>
          <w:sz w:val="22"/>
          <w:szCs w:val="22"/>
          <w14:ligatures w14:val="none"/>
        </w:rPr>
        <w:t>past experience</w:t>
      </w:r>
      <w:proofErr w:type="gramEnd"/>
      <w:r w:rsidRPr="00E82D4E">
        <w:rPr>
          <w:rFonts w:ascii="Times New Roman" w:eastAsia="宋体" w:hAnsi="Times New Roman" w:cs="Times New Roman"/>
          <w:color w:val="000000"/>
          <w:kern w:val="0"/>
          <w:sz w:val="22"/>
          <w:szCs w:val="22"/>
          <w14:ligatures w14:val="none"/>
        </w:rPr>
        <w:t>: e.g., “Prior to founding our Company, Mr. Wang graduated from [University] with a degree in [field] and worked at [relevant previous job]” (if the prospectus provides that detail).</w:t>
      </w:r>
    </w:p>
    <w:p w14:paraId="5EAE4A79" w14:textId="77777777" w:rsidR="00E82D4E" w:rsidRPr="00E82D4E" w:rsidRDefault="00E82D4E" w:rsidP="00E82D4E">
      <w:pPr>
        <w:widowControl/>
        <w:numPr>
          <w:ilvl w:val="0"/>
          <w:numId w:val="14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Similar treatments should be given to other executive directors (COO, CFO, etc.) stating their primary responsibilities and backgrounds.</w:t>
      </w:r>
    </w:p>
    <w:p w14:paraId="5F6BEEB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INEDs and oversight</w:t>
      </w:r>
    </w:p>
    <w:p w14:paraId="4AB24F8E" w14:textId="77777777" w:rsidR="00E82D4E" w:rsidRPr="00E82D4E" w:rsidRDefault="00E82D4E" w:rsidP="00E82D4E">
      <w:pPr>
        <w:widowControl/>
        <w:numPr>
          <w:ilvl w:val="0"/>
          <w:numId w:val="15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independent non-executive directors (INEDs), describe their background: e.g., “Mr. X, aged Y, is an independent non-executive Director. He has 20 years of experience in finance and is currently a professor/served as CFO in [industry]. He provides independent oversight and chairs the audit committee.”</w:t>
      </w:r>
    </w:p>
    <w:p w14:paraId="35A2C956" w14:textId="77777777" w:rsidR="00E82D4E" w:rsidRPr="00E82D4E" w:rsidRDefault="00E82D4E" w:rsidP="00E82D4E">
      <w:pPr>
        <w:widowControl/>
        <w:numPr>
          <w:ilvl w:val="0"/>
          <w:numId w:val="15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Include any notable positions or honors if relevant.</w:t>
      </w:r>
    </w:p>
    <w:p w14:paraId="4112BE6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executives</w:t>
      </w:r>
    </w:p>
    <w:p w14:paraId="071F97A4" w14:textId="77777777" w:rsidR="00E82D4E" w:rsidRPr="00E82D4E" w:rsidRDefault="00E82D4E" w:rsidP="00E82D4E">
      <w:pPr>
        <w:widowControl/>
        <w:numPr>
          <w:ilvl w:val="0"/>
          <w:numId w:val="15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senior management who are not directors (like vice presidents, general managers of divisions), provide their role and experience in a similar manner.</w:t>
      </w:r>
    </w:p>
    <w:p w14:paraId="62092BB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Relationships and other appointments</w:t>
      </w:r>
    </w:p>
    <w:p w14:paraId="14DF1414" w14:textId="77777777" w:rsidR="00E82D4E" w:rsidRPr="00E82D4E" w:rsidRDefault="00E82D4E" w:rsidP="00E82D4E">
      <w:pPr>
        <w:widowControl/>
        <w:numPr>
          <w:ilvl w:val="0"/>
          <w:numId w:val="15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Additionally, disclose any relationships among directors (if a director is related to a substantial shareholder or has family ties within management, etc., it should be stated to maintain transparency).</w:t>
      </w:r>
    </w:p>
    <w:p w14:paraId="4D11FBC3" w14:textId="77777777" w:rsidR="00E82D4E" w:rsidRPr="00E82D4E" w:rsidRDefault="00E82D4E" w:rsidP="00E82D4E">
      <w:pPr>
        <w:widowControl/>
        <w:numPr>
          <w:ilvl w:val="0"/>
          <w:numId w:val="15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Also mention if any directors hold positions in other companies or organizations that are relevant (especially if they are INEDs of other listed companies).</w:t>
      </w:r>
    </w:p>
    <w:p w14:paraId="45F4400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Board capability</w:t>
      </w:r>
    </w:p>
    <w:p w14:paraId="464944BA" w14:textId="77777777" w:rsidR="00E82D4E" w:rsidRPr="00E82D4E" w:rsidRDefault="00E82D4E" w:rsidP="00E82D4E">
      <w:pPr>
        <w:widowControl/>
        <w:numPr>
          <w:ilvl w:val="0"/>
          <w:numId w:val="15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section should confirm that all directors have sufficient experience and there’s a diversity of expertise on the board (often this is implicit but can be emphasized by listing various professional qualifications: e.g., someone might be a CPA for audit committee, another an attorney, etc.).</w:t>
      </w:r>
    </w:p>
    <w:p w14:paraId="03DE7AE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Service contracts / rotation</w:t>
      </w:r>
    </w:p>
    <w:p w14:paraId="091D8F8B" w14:textId="77777777" w:rsidR="00E82D4E" w:rsidRPr="00E82D4E" w:rsidRDefault="00E82D4E" w:rsidP="00E82D4E">
      <w:pPr>
        <w:widowControl/>
        <w:numPr>
          <w:ilvl w:val="0"/>
          <w:numId w:val="154"/>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prospectus often includes a statement that each director has a service contract and is subject to retirement by rotation according to the Articles of Association – which can be briefly noted (though details may also be in an appendix).</w:t>
      </w:r>
    </w:p>
    <w:p w14:paraId="4E186DA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w:t>
      </w:r>
    </w:p>
    <w:p w14:paraId="1A32CB27" w14:textId="77777777" w:rsidR="00E82D4E" w:rsidRPr="00E82D4E" w:rsidRDefault="00E82D4E" w:rsidP="00E82D4E">
      <w:pPr>
        <w:widowControl/>
        <w:numPr>
          <w:ilvl w:val="0"/>
          <w:numId w:val="15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is moderate: it must include each person’s key personal details (full name and age), their titles, and a digest of their career highlights, but not an exhaustive CV.</w:t>
      </w:r>
    </w:p>
    <w:p w14:paraId="29A84ED7" w14:textId="77777777" w:rsidR="00E82D4E" w:rsidRPr="00E82D4E" w:rsidRDefault="00E82D4E" w:rsidP="00E82D4E">
      <w:pPr>
        <w:widowControl/>
        <w:numPr>
          <w:ilvl w:val="0"/>
          <w:numId w:val="155"/>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Education (like highest degrees and institutions) is often mentioned for credibility, especially if from prestigious universities or relevant to their job (e.g., CFO with an MBA or CPA qualification).</w:t>
      </w:r>
    </w:p>
    <w:p w14:paraId="38E5665F" w14:textId="77777777" w:rsidR="00E82D4E" w:rsidRPr="00E82D4E" w:rsidRDefault="00E82D4E" w:rsidP="00E82D4E">
      <w:pPr>
        <w:widowControl/>
        <w:numPr>
          <w:ilvl w:val="0"/>
          <w:numId w:val="15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Any professional qualifications (CPA, CFA, etc.) or industry awards can be noted.</w:t>
      </w:r>
    </w:p>
    <w:p w14:paraId="5395234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Compliance disclosures</w:t>
      </w:r>
    </w:p>
    <w:p w14:paraId="1B78242E" w14:textId="77777777" w:rsidR="00E82D4E" w:rsidRPr="00E82D4E" w:rsidRDefault="00E82D4E" w:rsidP="00E82D4E">
      <w:pPr>
        <w:widowControl/>
        <w:numPr>
          <w:ilvl w:val="0"/>
          <w:numId w:val="15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compliance, any past directorships in listed companies in the last 3 years are often listed, as well as any other major appointments.</w:t>
      </w:r>
    </w:p>
    <w:p w14:paraId="6B10BF11" w14:textId="77777777" w:rsidR="00E82D4E" w:rsidRPr="00E82D4E" w:rsidRDefault="00E82D4E" w:rsidP="00E82D4E">
      <w:pPr>
        <w:widowControl/>
        <w:numPr>
          <w:ilvl w:val="0"/>
          <w:numId w:val="15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 director has something to disclose like past bankruptcies or convictions (in most cases not, but if yes, must be disclosed), the AI should include exactly as the prospectus says.</w:t>
      </w:r>
    </w:p>
    <w:p w14:paraId="7C7EDE8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w:t>
      </w:r>
    </w:p>
    <w:p w14:paraId="2A2B6B03" w14:textId="77777777" w:rsidR="00E82D4E" w:rsidRPr="00E82D4E" w:rsidRDefault="00E82D4E" w:rsidP="00E82D4E">
      <w:pPr>
        <w:widowControl/>
        <w:numPr>
          <w:ilvl w:val="0"/>
          <w:numId w:val="15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is positive and factual, highlighting experience.</w:t>
      </w:r>
    </w:p>
    <w:p w14:paraId="5EB50BB5" w14:textId="77777777" w:rsidR="00E82D4E" w:rsidRPr="00E82D4E" w:rsidRDefault="00E82D4E" w:rsidP="00E82D4E">
      <w:pPr>
        <w:widowControl/>
        <w:numPr>
          <w:ilvl w:val="0"/>
          <w:numId w:val="15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implicitly give comfort that the company is led by qualified and experienced individuals.</w:t>
      </w:r>
    </w:p>
    <w:p w14:paraId="628F12BE" w14:textId="77777777" w:rsidR="00E82D4E" w:rsidRPr="00E82D4E" w:rsidRDefault="00E82D4E" w:rsidP="00E82D4E">
      <w:pPr>
        <w:widowControl/>
        <w:numPr>
          <w:ilvl w:val="0"/>
          <w:numId w:val="15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using phrases like “extensive experience in [industry]” or “instrumental in developing our business”.</w:t>
      </w:r>
    </w:p>
    <w:p w14:paraId="25CEE3C2" w14:textId="77777777" w:rsidR="00E82D4E" w:rsidRPr="00E82D4E" w:rsidRDefault="00E82D4E" w:rsidP="00E82D4E">
      <w:pPr>
        <w:widowControl/>
        <w:numPr>
          <w:ilvl w:val="0"/>
          <w:numId w:val="15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However, it should not exaggerate – stick to what the prospectus information provides.</w:t>
      </w:r>
    </w:p>
    <w:p w14:paraId="0D045010" w14:textId="77777777" w:rsidR="00E82D4E" w:rsidRPr="00E82D4E" w:rsidRDefault="00E82D4E" w:rsidP="00E82D4E">
      <w:pPr>
        <w:widowControl/>
        <w:numPr>
          <w:ilvl w:val="0"/>
          <w:numId w:val="15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summary, this section should instill confidence in the management by outlining their background and competence.</w:t>
      </w:r>
    </w:p>
    <w:p w14:paraId="79802D55"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7627F0C2">
          <v:rect id="_x0000_i1032" alt="" style="width:415.3pt;height:.05pt;mso-width-percent:0;mso-height-percent:0;mso-width-percent:0;mso-height-percent:0" o:hralign="center" o:hrstd="t" o:hr="t" fillcolor="#a0a0a0" stroked="f"/>
        </w:pict>
      </w:r>
    </w:p>
    <w:p w14:paraId="45580692"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Substantial Shareholders</w:t>
      </w:r>
    </w:p>
    <w:p w14:paraId="5D00F01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0806C500" w14:textId="77777777" w:rsidR="00E82D4E" w:rsidRPr="00E82D4E" w:rsidRDefault="00E82D4E" w:rsidP="00E82D4E">
      <w:pPr>
        <w:widowControl/>
        <w:numPr>
          <w:ilvl w:val="0"/>
          <w:numId w:val="158"/>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Substantial Shareholders section lists those shareholders who hold a significant portion of the company’s shares (typically defined as 5% or more of the issued share capital) prior to or after the IPO.</w:t>
      </w:r>
    </w:p>
    <w:p w14:paraId="06C0380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Standard opening statement</w:t>
      </w:r>
    </w:p>
    <w:p w14:paraId="1732A377" w14:textId="77777777" w:rsidR="00E82D4E" w:rsidRPr="00E82D4E" w:rsidRDefault="00E82D4E" w:rsidP="00E82D4E">
      <w:pPr>
        <w:widowControl/>
        <w:numPr>
          <w:ilvl w:val="0"/>
          <w:numId w:val="159"/>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usually begins with a statement: “So far as the Directors are aware, immediately following the completion of the Global Offering, the following persons will be entitled to exercise, or control the exercise of, 5% or more of the voting power at general meetings of our Company.”</w:t>
      </w:r>
    </w:p>
    <w:p w14:paraId="0CB5B8D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What must be listed</w:t>
      </w:r>
    </w:p>
    <w:p w14:paraId="327FE053" w14:textId="77777777" w:rsidR="00E82D4E" w:rsidRPr="00E82D4E" w:rsidRDefault="00E82D4E" w:rsidP="00E82D4E">
      <w:pPr>
        <w:widowControl/>
        <w:numPr>
          <w:ilvl w:val="0"/>
          <w:numId w:val="16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list the names of the substantial shareholders, and their shareholding percentages before and after the offering.</w:t>
      </w:r>
    </w:p>
    <w:p w14:paraId="6ECDA50B" w14:textId="77777777" w:rsidR="00E82D4E" w:rsidRPr="00E82D4E" w:rsidRDefault="00E82D4E" w:rsidP="00E82D4E">
      <w:pPr>
        <w:widowControl/>
        <w:numPr>
          <w:ilvl w:val="0"/>
          <w:numId w:val="16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For example: “Mr. Wang Ning – approximately X% of our issued share capital immediately after Listing (through GWF Holding and Tianjin </w:t>
      </w:r>
      <w:proofErr w:type="spellStart"/>
      <w:r w:rsidRPr="00E82D4E">
        <w:rPr>
          <w:rFonts w:ascii="Times New Roman" w:eastAsia="宋体" w:hAnsi="Times New Roman" w:cs="Times New Roman"/>
          <w:color w:val="000000"/>
          <w:kern w:val="0"/>
          <w:sz w:val="22"/>
          <w:szCs w:val="22"/>
          <w14:ligatures w14:val="none"/>
        </w:rPr>
        <w:t>Paqu</w:t>
      </w:r>
      <w:proofErr w:type="spellEnd"/>
      <w:r w:rsidRPr="00E82D4E">
        <w:rPr>
          <w:rFonts w:ascii="Times New Roman" w:eastAsia="宋体" w:hAnsi="Times New Roman" w:cs="Times New Roman"/>
          <w:color w:val="000000"/>
          <w:kern w:val="0"/>
          <w:sz w:val="22"/>
          <w:szCs w:val="22"/>
          <w14:ligatures w14:val="none"/>
        </w:rPr>
        <w:t xml:space="preserve"> Holding Limited)”.</w:t>
      </w:r>
    </w:p>
    <w:p w14:paraId="62418F7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Intermediary entities</w:t>
      </w:r>
    </w:p>
    <w:p w14:paraId="082A3E86" w14:textId="77777777" w:rsidR="00E82D4E" w:rsidRPr="00E82D4E" w:rsidRDefault="00E82D4E" w:rsidP="00E82D4E">
      <w:pPr>
        <w:widowControl/>
        <w:numPr>
          <w:ilvl w:val="0"/>
          <w:numId w:val="16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If the shares are held through intermediary entities or trusts, those should be </w:t>
      </w:r>
      <w:proofErr w:type="gramStart"/>
      <w:r w:rsidRPr="00E82D4E">
        <w:rPr>
          <w:rFonts w:ascii="Times New Roman" w:eastAsia="宋体" w:hAnsi="Times New Roman" w:cs="Times New Roman"/>
          <w:color w:val="000000"/>
          <w:kern w:val="0"/>
          <w:sz w:val="22"/>
          <w:szCs w:val="22"/>
          <w14:ligatures w14:val="none"/>
        </w:rPr>
        <w:t>named</w:t>
      </w:r>
      <w:proofErr w:type="gramEnd"/>
      <w:r w:rsidRPr="00E82D4E">
        <w:rPr>
          <w:rFonts w:ascii="Times New Roman" w:eastAsia="宋体" w:hAnsi="Times New Roman" w:cs="Times New Roman"/>
          <w:color w:val="000000"/>
          <w:kern w:val="0"/>
          <w:sz w:val="22"/>
          <w:szCs w:val="22"/>
          <w14:ligatures w14:val="none"/>
        </w:rPr>
        <w:t xml:space="preserve"> and it should be explained that the individual is the ultimate owner.</w:t>
      </w:r>
    </w:p>
    <w:p w14:paraId="57AD502D" w14:textId="77777777" w:rsidR="00E82D4E" w:rsidRPr="00E82D4E" w:rsidRDefault="00E82D4E" w:rsidP="00E82D4E">
      <w:pPr>
        <w:widowControl/>
        <w:numPr>
          <w:ilvl w:val="0"/>
          <w:numId w:val="16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Pop Mart’s case, Mr. Wang held shares via entities like GWF Holding, so the prospectus likely lists GWF Holding (BVI company) with the percentage and notes Mr. Wang is behind it.</w:t>
      </w:r>
    </w:p>
    <w:p w14:paraId="2EE9C2B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substantial holders</w:t>
      </w:r>
    </w:p>
    <w:p w14:paraId="58DF9D54" w14:textId="77777777" w:rsidR="00E82D4E" w:rsidRPr="00E82D4E" w:rsidRDefault="00E82D4E" w:rsidP="00E82D4E">
      <w:pPr>
        <w:widowControl/>
        <w:numPr>
          <w:ilvl w:val="0"/>
          <w:numId w:val="16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same goes for any co-founders or large investors.</w:t>
      </w:r>
    </w:p>
    <w:p w14:paraId="15A377DC" w14:textId="77777777" w:rsidR="00E82D4E" w:rsidRPr="00E82D4E" w:rsidRDefault="00E82D4E" w:rsidP="00E82D4E">
      <w:pPr>
        <w:widowControl/>
        <w:numPr>
          <w:ilvl w:val="0"/>
          <w:numId w:val="16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were pre-IPO investors whose holdings remain above 5%, list them too (e.g., venture capital funds or strategic partners). Provide the entity name and percentage.</w:t>
      </w:r>
    </w:p>
    <w:p w14:paraId="3B39EC5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Relationships</w:t>
      </w:r>
    </w:p>
    <w:p w14:paraId="382BBE83" w14:textId="77777777" w:rsidR="00E82D4E" w:rsidRPr="00E82D4E" w:rsidRDefault="00E82D4E" w:rsidP="00E82D4E">
      <w:pPr>
        <w:widowControl/>
        <w:numPr>
          <w:ilvl w:val="0"/>
          <w:numId w:val="16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any of these are also directors or connected persons, mention that relationship (though it might have been earlier, it can be cross-referenced).</w:t>
      </w:r>
    </w:p>
    <w:p w14:paraId="01386E5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Typical presentation format</w:t>
      </w:r>
    </w:p>
    <w:p w14:paraId="6CED2B9C" w14:textId="77777777" w:rsidR="00E82D4E" w:rsidRPr="00E82D4E" w:rsidRDefault="00E82D4E" w:rsidP="00E82D4E">
      <w:pPr>
        <w:widowControl/>
        <w:numPr>
          <w:ilvl w:val="0"/>
          <w:numId w:val="16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section might be formatted as a table with columns: Name of Shareholder, Number of Shares, % before, % after.</w:t>
      </w:r>
    </w:p>
    <w:p w14:paraId="61AEE81F" w14:textId="77777777" w:rsidR="00E82D4E" w:rsidRPr="00E82D4E" w:rsidRDefault="00E82D4E" w:rsidP="00E82D4E">
      <w:pPr>
        <w:widowControl/>
        <w:numPr>
          <w:ilvl w:val="0"/>
          <w:numId w:val="16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can describe or list in text with percentages.</w:t>
      </w:r>
    </w:p>
    <w:p w14:paraId="0E0BDA9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Relationship to controlling shareholder</w:t>
      </w:r>
    </w:p>
    <w:p w14:paraId="77CD607D" w14:textId="77777777" w:rsidR="00E82D4E" w:rsidRPr="00E82D4E" w:rsidRDefault="00E82D4E" w:rsidP="00E82D4E">
      <w:pPr>
        <w:widowControl/>
        <w:numPr>
          <w:ilvl w:val="0"/>
          <w:numId w:val="16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Often, the controlling shareholders are part of this list; their stakes have been discussed in the controlling shareholder section, but here it’s formalized with exact numbers.</w:t>
      </w:r>
    </w:p>
    <w:p w14:paraId="1CFB9DDD" w14:textId="77777777" w:rsidR="00E82D4E" w:rsidRPr="00E82D4E" w:rsidRDefault="00E82D4E" w:rsidP="00E82D4E">
      <w:pPr>
        <w:widowControl/>
        <w:numPr>
          <w:ilvl w:val="0"/>
          <w:numId w:val="16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might also clarify if any substantial shareholders are part of a concert party (acting together).</w:t>
      </w:r>
    </w:p>
    <w:p w14:paraId="7BE3E3E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 xml:space="preserve">Public </w:t>
      </w:r>
      <w:proofErr w:type="gramStart"/>
      <w:r w:rsidRPr="00E82D4E">
        <w:rPr>
          <w:rFonts w:ascii="Times New Roman" w:eastAsia="宋体" w:hAnsi="Times New Roman" w:cs="Times New Roman"/>
          <w:b/>
          <w:bCs/>
          <w:color w:val="000000"/>
          <w:kern w:val="0"/>
          <w:sz w:val="22"/>
          <w:szCs w:val="22"/>
          <w14:ligatures w14:val="none"/>
        </w:rPr>
        <w:t>float</w:t>
      </w:r>
      <w:proofErr w:type="gramEnd"/>
      <w:r w:rsidRPr="00E82D4E">
        <w:rPr>
          <w:rFonts w:ascii="Times New Roman" w:eastAsia="宋体" w:hAnsi="Times New Roman" w:cs="Times New Roman"/>
          <w:b/>
          <w:bCs/>
          <w:color w:val="000000"/>
          <w:kern w:val="0"/>
          <w:sz w:val="22"/>
          <w:szCs w:val="22"/>
          <w14:ligatures w14:val="none"/>
        </w:rPr>
        <w:t xml:space="preserve"> note</w:t>
      </w:r>
    </w:p>
    <w:p w14:paraId="70AAECBB" w14:textId="77777777" w:rsidR="00E82D4E" w:rsidRPr="00E82D4E" w:rsidRDefault="00E82D4E" w:rsidP="00E82D4E">
      <w:pPr>
        <w:widowControl/>
        <w:numPr>
          <w:ilvl w:val="0"/>
          <w:numId w:val="16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content should also mention if the public float (shares not owned by these substantial holders or directors) will be at least the required minimum (usually 25%).</w:t>
      </w:r>
    </w:p>
    <w:p w14:paraId="6848BDA3" w14:textId="77777777" w:rsidR="00E82D4E" w:rsidRPr="00E82D4E" w:rsidRDefault="00E82D4E" w:rsidP="00E82D4E">
      <w:pPr>
        <w:widowControl/>
        <w:numPr>
          <w:ilvl w:val="0"/>
          <w:numId w:val="16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Usually not explicitly written here, but indirectly obvious from percentages given.</w:t>
      </w:r>
    </w:p>
    <w:p w14:paraId="49A0123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Granularity</w:t>
      </w:r>
    </w:p>
    <w:p w14:paraId="1CE7DFCA" w14:textId="77777777" w:rsidR="00E82D4E" w:rsidRPr="00E82D4E" w:rsidRDefault="00E82D4E" w:rsidP="00E82D4E">
      <w:pPr>
        <w:widowControl/>
        <w:numPr>
          <w:ilvl w:val="0"/>
          <w:numId w:val="16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Granularity requires precise percentage figures (rounded to two decimal places typically) and the names as registered (if a trust, its name; if a company, full name).</w:t>
      </w:r>
    </w:p>
    <w:p w14:paraId="0680FC03" w14:textId="77777777" w:rsidR="00E82D4E" w:rsidRPr="00E82D4E" w:rsidRDefault="00E82D4E" w:rsidP="00E82D4E">
      <w:pPr>
        <w:widowControl/>
        <w:numPr>
          <w:ilvl w:val="0"/>
          <w:numId w:val="16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any substantial shareholder is an entity, sometimes a brief description like “a company incorporated in [jurisdiction]” is added.</w:t>
      </w:r>
    </w:p>
    <w:p w14:paraId="1D50B85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Lock-up (if relevant)</w:t>
      </w:r>
    </w:p>
    <w:p w14:paraId="3CBC8C64" w14:textId="77777777" w:rsidR="00E82D4E" w:rsidRPr="00E82D4E" w:rsidRDefault="00E82D4E" w:rsidP="00E82D4E">
      <w:pPr>
        <w:widowControl/>
        <w:numPr>
          <w:ilvl w:val="0"/>
          <w:numId w:val="16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Additionally, this section or an adjacent one often mentions any lock-up arrangements (e.g., controlling shareholders undertaking not to dispose of shares for a certain period post-IPO).</w:t>
      </w:r>
    </w:p>
    <w:p w14:paraId="2862A74E" w14:textId="77777777" w:rsidR="00E82D4E" w:rsidRPr="00E82D4E" w:rsidRDefault="00E82D4E" w:rsidP="00E82D4E">
      <w:pPr>
        <w:widowControl/>
        <w:numPr>
          <w:ilvl w:val="0"/>
          <w:numId w:val="16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relevant, the AI should include: “Our Controlling Shareholder(s) will be subject to a lock-up of X months from the Listing Date, during which they will not dispose of any Shares” (these details might be also in Underwriting section, but summarizing here is useful).</w:t>
      </w:r>
    </w:p>
    <w:p w14:paraId="6BB9200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Ultimate control transparency</w:t>
      </w:r>
    </w:p>
    <w:p w14:paraId="380F357D" w14:textId="77777777" w:rsidR="00E82D4E" w:rsidRPr="00E82D4E" w:rsidRDefault="00E82D4E" w:rsidP="00E82D4E">
      <w:pPr>
        <w:widowControl/>
        <w:numPr>
          <w:ilvl w:val="0"/>
          <w:numId w:val="16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Finally, it may note if any substantial shareholder is a corporate entity that is ultimately controlled by someone (for transparency).</w:t>
      </w:r>
    </w:p>
    <w:p w14:paraId="3A83E10A" w14:textId="77777777" w:rsidR="00E82D4E" w:rsidRPr="00E82D4E" w:rsidRDefault="00E82D4E" w:rsidP="00E82D4E">
      <w:pPr>
        <w:widowControl/>
        <w:numPr>
          <w:ilvl w:val="0"/>
          <w:numId w:val="16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“ABC Fund holds 6%, and its general partner is XYZ Capital, which is managed by Mr. John Doe.”</w:t>
      </w:r>
    </w:p>
    <w:p w14:paraId="705D144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&amp; outcome</w:t>
      </w:r>
    </w:p>
    <w:p w14:paraId="3DE09561" w14:textId="77777777" w:rsidR="00E82D4E" w:rsidRPr="00E82D4E" w:rsidRDefault="00E82D4E" w:rsidP="00E82D4E">
      <w:pPr>
        <w:widowControl/>
        <w:numPr>
          <w:ilvl w:val="0"/>
          <w:numId w:val="17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is straightforward and factual.</w:t>
      </w:r>
    </w:p>
    <w:p w14:paraId="6BCF881F" w14:textId="77777777" w:rsidR="00E82D4E" w:rsidRPr="00E82D4E" w:rsidRDefault="00E82D4E" w:rsidP="00E82D4E">
      <w:pPr>
        <w:widowControl/>
        <w:numPr>
          <w:ilvl w:val="0"/>
          <w:numId w:val="170"/>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essentially informs new investors who the major owners of the company are, which is important for understanding control and potential influence.</w:t>
      </w:r>
    </w:p>
    <w:p w14:paraId="13A5FDF5" w14:textId="77777777" w:rsidR="00E82D4E" w:rsidRPr="00E82D4E" w:rsidRDefault="00E82D4E" w:rsidP="00E82D4E">
      <w:pPr>
        <w:widowControl/>
        <w:numPr>
          <w:ilvl w:val="0"/>
          <w:numId w:val="17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listing these, along with their stakes, investors can gauge the concentration of ownership post-IPO.</w:t>
      </w:r>
    </w:p>
    <w:p w14:paraId="620C5AAC"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754C3364">
          <v:rect id="_x0000_i1031" alt="" style="width:415.3pt;height:.05pt;mso-width-percent:0;mso-height-percent:0;mso-width-percent:0;mso-height-percent:0" o:hralign="center" o:hrstd="t" o:hr="t" fillcolor="#a0a0a0" stroked="f"/>
        </w:pict>
      </w:r>
    </w:p>
    <w:p w14:paraId="0EFF5AF2"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Share Capital</w:t>
      </w:r>
    </w:p>
    <w:p w14:paraId="75509CF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p>
    <w:p w14:paraId="30A20878" w14:textId="77777777" w:rsidR="00E82D4E" w:rsidRPr="00E82D4E" w:rsidRDefault="00E82D4E" w:rsidP="00E82D4E">
      <w:pPr>
        <w:widowControl/>
        <w:numPr>
          <w:ilvl w:val="0"/>
          <w:numId w:val="17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Share Capital section describes the company’s capital structure and the changes to it through the offering.</w:t>
      </w:r>
    </w:p>
    <w:p w14:paraId="532BB68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Core disclosures</w:t>
      </w:r>
    </w:p>
    <w:p w14:paraId="4F06A8E5" w14:textId="77777777" w:rsidR="00E82D4E" w:rsidRPr="00E82D4E" w:rsidRDefault="00E82D4E" w:rsidP="00E82D4E">
      <w:pPr>
        <w:widowControl/>
        <w:numPr>
          <w:ilvl w:val="0"/>
          <w:numId w:val="17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begin with a statement of the authorized share capital and the issued share capital before the IPO, and then detail the changes after the IPO.</w:t>
      </w:r>
    </w:p>
    <w:p w14:paraId="4D8A2E16" w14:textId="77777777" w:rsidR="00E82D4E" w:rsidRPr="00E82D4E" w:rsidRDefault="00E82D4E" w:rsidP="00E82D4E">
      <w:pPr>
        <w:widowControl/>
        <w:numPr>
          <w:ilvl w:val="0"/>
          <w:numId w:val="17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instance, it will say something like: “Our authorized share capital is US$500,000 divided into 5,000,000,000 Shares of US$0.0001 each. Prior to the Global Offering, we had 124,586,515 Shares in issue. Immediately following the completion of the Capitalization Issue and the Global Offering, we will have 1,381,580,350 Shares in issue.”</w:t>
      </w:r>
    </w:p>
    <w:p w14:paraId="4916D41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How to present</w:t>
      </w:r>
    </w:p>
    <w:p w14:paraId="0BD43960" w14:textId="77777777" w:rsidR="00E82D4E" w:rsidRPr="00E82D4E" w:rsidRDefault="00E82D4E" w:rsidP="00E82D4E">
      <w:pPr>
        <w:widowControl/>
        <w:numPr>
          <w:ilvl w:val="0"/>
          <w:numId w:val="173"/>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present these figures, usually as a mini-table or neatly in text, to show the stepwise changes (as seen in the prospectus example where they list shares in issue before, the new shares from capitalization, new shares from the offering, and total after).</w:t>
      </w:r>
    </w:p>
    <w:p w14:paraId="67A9CD5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Capitalization Issue explanation</w:t>
      </w:r>
    </w:p>
    <w:p w14:paraId="7838A9DF" w14:textId="77777777" w:rsidR="00E82D4E" w:rsidRPr="00E82D4E" w:rsidRDefault="00E82D4E" w:rsidP="00E82D4E">
      <w:pPr>
        <w:widowControl/>
        <w:numPr>
          <w:ilvl w:val="0"/>
          <w:numId w:val="17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“Capitalization Issue” (or </w:t>
      </w:r>
      <w:proofErr w:type="spellStart"/>
      <w:r w:rsidRPr="00E82D4E">
        <w:rPr>
          <w:rFonts w:ascii="Times New Roman" w:eastAsia="宋体" w:hAnsi="Times New Roman" w:cs="Times New Roman"/>
          <w:color w:val="000000"/>
          <w:kern w:val="0"/>
          <w:sz w:val="22"/>
          <w:szCs w:val="22"/>
          <w14:ligatures w14:val="none"/>
        </w:rPr>
        <w:t>capitalisation</w:t>
      </w:r>
      <w:proofErr w:type="spellEnd"/>
      <w:r w:rsidRPr="00E82D4E">
        <w:rPr>
          <w:rFonts w:ascii="Times New Roman" w:eastAsia="宋体" w:hAnsi="Times New Roman" w:cs="Times New Roman"/>
          <w:color w:val="000000"/>
          <w:kern w:val="0"/>
          <w:sz w:val="22"/>
          <w:szCs w:val="22"/>
          <w14:ligatures w14:val="none"/>
        </w:rPr>
        <w:t xml:space="preserve"> of reserves, also known as a bonus issue or stock split allotted to existing shareholders) is a common step, and the AI must describe it: </w:t>
      </w:r>
      <w:proofErr w:type="gramStart"/>
      <w:r w:rsidRPr="00E82D4E">
        <w:rPr>
          <w:rFonts w:ascii="Times New Roman" w:eastAsia="宋体" w:hAnsi="Times New Roman" w:cs="Times New Roman"/>
          <w:color w:val="000000"/>
          <w:kern w:val="0"/>
          <w:sz w:val="22"/>
          <w:szCs w:val="22"/>
          <w14:ligatures w14:val="none"/>
        </w:rPr>
        <w:t>basically</w:t>
      </w:r>
      <w:proofErr w:type="gramEnd"/>
      <w:r w:rsidRPr="00E82D4E">
        <w:rPr>
          <w:rFonts w:ascii="Times New Roman" w:eastAsia="宋体" w:hAnsi="Times New Roman" w:cs="Times New Roman"/>
          <w:color w:val="000000"/>
          <w:kern w:val="0"/>
          <w:sz w:val="22"/>
          <w:szCs w:val="22"/>
          <w14:ligatures w14:val="none"/>
        </w:rPr>
        <w:t xml:space="preserve"> the company issuing a large number of new shares for free to existing shareholders to increase the share count (often to a round number) by converting share premium into share capital.</w:t>
      </w:r>
    </w:p>
    <w:p w14:paraId="30D9D396" w14:textId="77777777" w:rsidR="00E82D4E" w:rsidRPr="00E82D4E" w:rsidRDefault="00E82D4E" w:rsidP="00E82D4E">
      <w:pPr>
        <w:widowControl/>
        <w:numPr>
          <w:ilvl w:val="0"/>
          <w:numId w:val="17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E.g., “conditional on the share premium account being credited with the IPO proceeds, X number of shares will be issued and allotted as fully paid to the existing shareholders on the register as of [date] by way of capitalization of HK$Y from the share premium account”.</w:t>
      </w:r>
    </w:p>
    <w:p w14:paraId="2F96F9D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Share rights</w:t>
      </w:r>
    </w:p>
    <w:p w14:paraId="4DFB4023" w14:textId="77777777" w:rsidR="00E82D4E" w:rsidRPr="00E82D4E" w:rsidRDefault="00E82D4E" w:rsidP="00E82D4E">
      <w:pPr>
        <w:widowControl/>
        <w:numPr>
          <w:ilvl w:val="0"/>
          <w:numId w:val="175"/>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section should also clarify the par value of shares and that the Offer Shares (new shares being sold) will rank </w:t>
      </w:r>
      <w:proofErr w:type="spellStart"/>
      <w:r w:rsidRPr="00E82D4E">
        <w:rPr>
          <w:rFonts w:ascii="Times New Roman" w:eastAsia="宋体" w:hAnsi="Times New Roman" w:cs="Times New Roman"/>
          <w:color w:val="000000"/>
          <w:kern w:val="0"/>
          <w:sz w:val="22"/>
          <w:szCs w:val="22"/>
          <w14:ligatures w14:val="none"/>
        </w:rPr>
        <w:t>pari</w:t>
      </w:r>
      <w:proofErr w:type="spellEnd"/>
      <w:r w:rsidRPr="00E82D4E">
        <w:rPr>
          <w:rFonts w:ascii="Times New Roman" w:eastAsia="宋体" w:hAnsi="Times New Roman" w:cs="Times New Roman"/>
          <w:color w:val="000000"/>
          <w:kern w:val="0"/>
          <w:sz w:val="22"/>
          <w:szCs w:val="22"/>
          <w14:ligatures w14:val="none"/>
        </w:rPr>
        <w:t xml:space="preserve"> passu with existing shares in all respects (i.e., same rights to dividends, etc.).</w:t>
      </w:r>
    </w:p>
    <w:p w14:paraId="3AD85DC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Multiple classes / WVR</w:t>
      </w:r>
    </w:p>
    <w:p w14:paraId="19934835" w14:textId="77777777" w:rsidR="00E82D4E" w:rsidRPr="00E82D4E" w:rsidRDefault="00E82D4E" w:rsidP="00E82D4E">
      <w:pPr>
        <w:widowControl/>
        <w:numPr>
          <w:ilvl w:val="0"/>
          <w:numId w:val="17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Additionally, if the company has any other classes of shares or special share structures (like dual-class stock, preferred shares, etc.), they should be described.</w:t>
      </w:r>
    </w:p>
    <w:p w14:paraId="4245DEB6" w14:textId="77777777" w:rsidR="00E82D4E" w:rsidRPr="00E82D4E" w:rsidRDefault="00E82D4E" w:rsidP="00E82D4E">
      <w:pPr>
        <w:widowControl/>
        <w:numPr>
          <w:ilvl w:val="0"/>
          <w:numId w:val="17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 our context, both Pop Mart and Li Auto were ordinary shares (Li Auto had WVR structure possibly, but as a HK listing with WVR, that might involve Class A and Class B shares – if so, describe the differences in voting rights and how many of each class).</w:t>
      </w:r>
    </w:p>
    <w:p w14:paraId="0D7DD492" w14:textId="77777777" w:rsidR="00E82D4E" w:rsidRPr="00E82D4E" w:rsidRDefault="00E82D4E" w:rsidP="00E82D4E">
      <w:pPr>
        <w:widowControl/>
        <w:numPr>
          <w:ilvl w:val="0"/>
          <w:numId w:val="17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question specifically references Pop Mart and Li Auto, and Li Auto was a WVR company in HK (with class B shares to the founder).</w:t>
      </w:r>
    </w:p>
    <w:p w14:paraId="2F50A075" w14:textId="77777777" w:rsidR="00E82D4E" w:rsidRPr="00E82D4E" w:rsidRDefault="00E82D4E" w:rsidP="00E82D4E">
      <w:pPr>
        <w:widowControl/>
        <w:numPr>
          <w:ilvl w:val="0"/>
          <w:numId w:val="17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So, if applicable, the AI should describe that: e.g., “Our share capital comprises Class A ordinary shares (each entitling one vote) and Class B ordinary shares (each entitling 10 votes) held by the Controlling Shareholder, to reflect a weighted voting rights structure.” And mention the numbers of each class pre- and post-IPO.</w:t>
      </w:r>
    </w:p>
    <w:p w14:paraId="432883E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securities and mandates</w:t>
      </w:r>
    </w:p>
    <w:p w14:paraId="045998EE" w14:textId="77777777" w:rsidR="00E82D4E" w:rsidRPr="00E82D4E" w:rsidRDefault="00E82D4E" w:rsidP="00E82D4E">
      <w:pPr>
        <w:widowControl/>
        <w:numPr>
          <w:ilvl w:val="0"/>
          <w:numId w:val="17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should also mention other securities: any options, RSUs, or convertible instruments outstanding.</w:t>
      </w:r>
    </w:p>
    <w:p w14:paraId="7C4C8BAB" w14:textId="77777777" w:rsidR="00E82D4E" w:rsidRPr="00E82D4E" w:rsidRDefault="00E82D4E" w:rsidP="00E82D4E">
      <w:pPr>
        <w:widowControl/>
        <w:numPr>
          <w:ilvl w:val="0"/>
          <w:numId w:val="17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number of share options granted under any pre-IPO scheme, and if there’s an ESOP (employee share option pool) reserved.</w:t>
      </w:r>
    </w:p>
    <w:p w14:paraId="1F971B94" w14:textId="77777777" w:rsidR="00E82D4E" w:rsidRPr="00E82D4E" w:rsidRDefault="00E82D4E" w:rsidP="00E82D4E">
      <w:pPr>
        <w:widowControl/>
        <w:numPr>
          <w:ilvl w:val="0"/>
          <w:numId w:val="17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prospectus often lists the general mandates that will be sought from shareholders (e.g., a general mandate to issue shares not exceeding 20% of issued capital, and a mandate to repurchase up to 10%).</w:t>
      </w:r>
    </w:p>
    <w:p w14:paraId="0309CB5F" w14:textId="77777777" w:rsidR="00E82D4E" w:rsidRPr="00E82D4E" w:rsidRDefault="00E82D4E" w:rsidP="00E82D4E">
      <w:pPr>
        <w:widowControl/>
        <w:numPr>
          <w:ilvl w:val="0"/>
          <w:numId w:val="17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can mention that in brief: “At the annual general meeting, our </w:t>
      </w:r>
      <w:proofErr w:type="gramStart"/>
      <w:r w:rsidRPr="00E82D4E">
        <w:rPr>
          <w:rFonts w:ascii="Times New Roman" w:eastAsia="宋体" w:hAnsi="Times New Roman" w:cs="Times New Roman"/>
          <w:color w:val="000000"/>
          <w:kern w:val="0"/>
          <w:sz w:val="22"/>
          <w:szCs w:val="22"/>
          <w14:ligatures w14:val="none"/>
        </w:rPr>
        <w:t>Directors</w:t>
      </w:r>
      <w:proofErr w:type="gramEnd"/>
      <w:r w:rsidRPr="00E82D4E">
        <w:rPr>
          <w:rFonts w:ascii="Times New Roman" w:eastAsia="宋体" w:hAnsi="Times New Roman" w:cs="Times New Roman"/>
          <w:color w:val="000000"/>
          <w:kern w:val="0"/>
          <w:sz w:val="22"/>
          <w:szCs w:val="22"/>
          <w14:ligatures w14:val="none"/>
        </w:rPr>
        <w:t xml:space="preserve"> will have a general mandate to allot and issue new shares up to 20% of our then-issued share capital, and a mandate to repurchase shares up to 10%.”</w:t>
      </w:r>
    </w:p>
    <w:p w14:paraId="29CB9D6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Granularity and assumptions</w:t>
      </w:r>
    </w:p>
    <w:p w14:paraId="03616FFB" w14:textId="77777777" w:rsidR="00E82D4E" w:rsidRPr="00E82D4E" w:rsidRDefault="00E82D4E" w:rsidP="00E82D4E">
      <w:pPr>
        <w:widowControl/>
        <w:numPr>
          <w:ilvl w:val="0"/>
          <w:numId w:val="17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Granularity needed: exact numbers of shares and currency amounts (par value, total authorized capital).</w:t>
      </w:r>
    </w:p>
    <w:p w14:paraId="4C119D37" w14:textId="77777777" w:rsidR="00E82D4E" w:rsidRPr="00E82D4E" w:rsidRDefault="00E82D4E" w:rsidP="00E82D4E">
      <w:pPr>
        <w:widowControl/>
        <w:numPr>
          <w:ilvl w:val="0"/>
          <w:numId w:val="17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These numbers are typically given to several decimal places or as exact figures, which the AI should mirror as seen.</w:t>
      </w:r>
    </w:p>
    <w:p w14:paraId="5AC92730" w14:textId="77777777" w:rsidR="00E82D4E" w:rsidRPr="00E82D4E" w:rsidRDefault="00E82D4E" w:rsidP="00E82D4E">
      <w:pPr>
        <w:widowControl/>
        <w:numPr>
          <w:ilvl w:val="0"/>
          <w:numId w:val="17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 currency conversion is used for par (e.g., US$0.0001 per share, which is common for par in a Cayman company), include that.</w:t>
      </w:r>
    </w:p>
    <w:p w14:paraId="71F13EF7" w14:textId="77777777" w:rsidR="00E82D4E" w:rsidRPr="00E82D4E" w:rsidRDefault="00E82D4E" w:rsidP="00E82D4E">
      <w:pPr>
        <w:widowControl/>
        <w:numPr>
          <w:ilvl w:val="0"/>
          <w:numId w:val="17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Also, any changes between prospectus date and listing (like if an over-allotment option could further increase the issued shares) should be noted: prospectus often says “assuming the Over-allotment Option is not exercised” in the calculations, and then states what happens if it is (maybe in a footnote or narrative).</w:t>
      </w:r>
    </w:p>
    <w:p w14:paraId="4F098476" w14:textId="77777777" w:rsidR="00E82D4E" w:rsidRPr="00E82D4E" w:rsidRDefault="00E82D4E" w:rsidP="00E82D4E">
      <w:pPr>
        <w:widowControl/>
        <w:numPr>
          <w:ilvl w:val="0"/>
          <w:numId w:val="17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incorporate that assumption language for completeness.</w:t>
      </w:r>
    </w:p>
    <w:p w14:paraId="3B2B90F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&amp; investor value</w:t>
      </w:r>
    </w:p>
    <w:p w14:paraId="11641A83" w14:textId="77777777" w:rsidR="00E82D4E" w:rsidRPr="00E82D4E" w:rsidRDefault="00E82D4E" w:rsidP="00E82D4E">
      <w:pPr>
        <w:widowControl/>
        <w:numPr>
          <w:ilvl w:val="0"/>
          <w:numId w:val="17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is formal and precise, with a lot of numerical information.</w:t>
      </w:r>
    </w:p>
    <w:p w14:paraId="4859C677" w14:textId="77777777" w:rsidR="00E82D4E" w:rsidRPr="00E82D4E" w:rsidRDefault="00E82D4E" w:rsidP="00E82D4E">
      <w:pPr>
        <w:widowControl/>
        <w:numPr>
          <w:ilvl w:val="0"/>
          <w:numId w:val="179"/>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section reads almost like a legal statement of capital facts.</w:t>
      </w:r>
    </w:p>
    <w:p w14:paraId="371FA9E2" w14:textId="77777777" w:rsidR="00E82D4E" w:rsidRPr="00E82D4E" w:rsidRDefault="00E82D4E" w:rsidP="00E82D4E">
      <w:pPr>
        <w:widowControl/>
        <w:numPr>
          <w:ilvl w:val="0"/>
          <w:numId w:val="179"/>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ensures investors know how many shares exist and will exist, and thus their ownership stakes if they buy shares.</w:t>
      </w:r>
    </w:p>
    <w:p w14:paraId="54C51718" w14:textId="77777777" w:rsidR="00E82D4E" w:rsidRPr="00E82D4E" w:rsidRDefault="00E82D4E" w:rsidP="00E82D4E">
      <w:pPr>
        <w:widowControl/>
        <w:numPr>
          <w:ilvl w:val="0"/>
          <w:numId w:val="17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clearly outlining the share capital before and after the offering (and the mechanics like the capitalization issue), the AI’s output helps prevent any confusion about dilution or changes in capital structure.</w:t>
      </w:r>
    </w:p>
    <w:p w14:paraId="2813E550"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075C7958">
          <v:rect id="_x0000_i1030" alt="" style="width:415.3pt;height:.05pt;mso-width-percent:0;mso-height-percent:0;mso-width-percent:0;mso-height-percent:0" o:hralign="center" o:hrstd="t" o:hr="t" fillcolor="#a0a0a0" stroked="f"/>
        </w:pict>
      </w:r>
    </w:p>
    <w:p w14:paraId="1E50EFA1" w14:textId="77777777" w:rsidR="00E82D4E" w:rsidRPr="00E82D4E" w:rsidRDefault="00E82D4E" w:rsidP="00E82D4E">
      <w:pPr>
        <w:widowControl/>
        <w:spacing w:before="360" w:after="8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4"/>
          <w:szCs w:val="34"/>
          <w14:ligatures w14:val="none"/>
        </w:rPr>
        <w:t>Financial Information</w:t>
      </w:r>
    </w:p>
    <w:p w14:paraId="2205A47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Role</w:t>
      </w:r>
    </w:p>
    <w:p w14:paraId="4D8447AB" w14:textId="77777777" w:rsidR="00E82D4E" w:rsidRPr="00E82D4E" w:rsidRDefault="00E82D4E" w:rsidP="00E82D4E">
      <w:pPr>
        <w:widowControl/>
        <w:numPr>
          <w:ilvl w:val="0"/>
          <w:numId w:val="180"/>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Financial Information section (often essentially the “Management’s Discussion and Analysis” or MD&amp;A) provides a narrative analysis of the company’s financial performance and condition over the track record period.</w:t>
      </w:r>
    </w:p>
    <w:p w14:paraId="66BE596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High-level structure</w:t>
      </w:r>
    </w:p>
    <w:p w14:paraId="2F791FBC" w14:textId="77777777" w:rsidR="00E82D4E" w:rsidRPr="00E82D4E" w:rsidRDefault="00E82D4E" w:rsidP="00E82D4E">
      <w:pPr>
        <w:widowControl/>
        <w:numPr>
          <w:ilvl w:val="0"/>
          <w:numId w:val="181"/>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structure it with an overview followed by detailed discussions of income statement items, balance sheet items, liquidity, and other financial aspects.</w:t>
      </w:r>
    </w:p>
    <w:p w14:paraId="54C33C2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Standard opening / scope statement</w:t>
      </w:r>
    </w:p>
    <w:p w14:paraId="60E84BC2" w14:textId="77777777" w:rsidR="00E82D4E" w:rsidRPr="00E82D4E" w:rsidRDefault="00E82D4E" w:rsidP="00E82D4E">
      <w:pPr>
        <w:widowControl/>
        <w:numPr>
          <w:ilvl w:val="0"/>
          <w:numId w:val="182"/>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typically starts with a restatement of the scope: “The following discussion and analysis refer to our consolidated financial information for the years ended 2018, 2019, 2020 and the interim period of 2021, and should be read in conjunction with the Accountants’ Report in Appendix I” – such a preamble situates the reader.</w:t>
      </w:r>
    </w:p>
    <w:p w14:paraId="4AAF414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Overview of trends</w:t>
      </w:r>
    </w:p>
    <w:p w14:paraId="4067CE35" w14:textId="77777777" w:rsidR="00E82D4E" w:rsidRPr="00E82D4E" w:rsidRDefault="00E82D4E" w:rsidP="00E82D4E">
      <w:pPr>
        <w:widowControl/>
        <w:numPr>
          <w:ilvl w:val="0"/>
          <w:numId w:val="18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Overview: The AI should summarize the key financial trends – e.g., “We have experienced rapid growth in recent years. Our revenue increased from RMB X in 2018 to </w:t>
      </w:r>
      <w:r w:rsidRPr="00E82D4E">
        <w:rPr>
          <w:rFonts w:ascii="Times New Roman" w:eastAsia="宋体" w:hAnsi="Times New Roman" w:cs="Times New Roman"/>
          <w:color w:val="000000"/>
          <w:kern w:val="0"/>
          <w:sz w:val="22"/>
          <w:szCs w:val="22"/>
          <w14:ligatures w14:val="none"/>
        </w:rPr>
        <w:lastRenderedPageBreak/>
        <w:t>RMB Y in 2019, and further to RMB Z in 2020, representing a CAGR of __%. We turned profitable in 2019 with a net profit of RMB A, compared to a net loss in 2018, and our net profit expanded to RMB B in 2020.” (Using actual figures if available from the prospectus summary financials).</w:t>
      </w:r>
    </w:p>
    <w:p w14:paraId="695E8E6F" w14:textId="77777777" w:rsidR="00E82D4E" w:rsidRPr="00E82D4E" w:rsidRDefault="00E82D4E" w:rsidP="00E82D4E">
      <w:pPr>
        <w:widowControl/>
        <w:numPr>
          <w:ilvl w:val="0"/>
          <w:numId w:val="18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also might mention key factors driving the performance (like increase in number of stores or products launched, etc., if those are quantitatively significant).</w:t>
      </w:r>
    </w:p>
    <w:p w14:paraId="6B8B279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Revenue breakdown</w:t>
      </w:r>
    </w:p>
    <w:p w14:paraId="547AC1F1" w14:textId="77777777" w:rsidR="00E82D4E" w:rsidRPr="00E82D4E" w:rsidRDefault="00E82D4E" w:rsidP="00E82D4E">
      <w:pPr>
        <w:widowControl/>
        <w:numPr>
          <w:ilvl w:val="0"/>
          <w:numId w:val="18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Then Revenue analysis: The AI should break down revenue by segments or categories if the company does so (for example, revenue from retail stores vs. online vs. wholesale, or by product category) and discuss the growth in each, supported by percentages or amounts.</w:t>
      </w:r>
    </w:p>
    <w:p w14:paraId="046F1E96" w14:textId="77777777" w:rsidR="00E82D4E" w:rsidRPr="00E82D4E" w:rsidRDefault="00E82D4E" w:rsidP="00E82D4E">
      <w:pPr>
        <w:widowControl/>
        <w:numPr>
          <w:ilvl w:val="0"/>
          <w:numId w:val="184"/>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“Our revenue growth was primarily driven by the success of our core character lines such as Molly, which alone contributed X% of revenue in 2019. The introduction of new IPs and expansion of our store network also boosted sales.”</w:t>
      </w:r>
    </w:p>
    <w:p w14:paraId="35F5006A" w14:textId="77777777" w:rsidR="00E82D4E" w:rsidRPr="00E82D4E" w:rsidRDefault="00E82D4E" w:rsidP="00E82D4E">
      <w:pPr>
        <w:widowControl/>
        <w:numPr>
          <w:ilvl w:val="0"/>
          <w:numId w:val="18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are any one-off factors (like a promotional event or COVID-19 impact), those should be described in context.</w:t>
      </w:r>
    </w:p>
    <w:p w14:paraId="131DA48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Margins and costs</w:t>
      </w:r>
    </w:p>
    <w:p w14:paraId="733D5D20" w14:textId="77777777" w:rsidR="00E82D4E" w:rsidRPr="00E82D4E" w:rsidRDefault="00E82D4E" w:rsidP="00E82D4E">
      <w:pPr>
        <w:widowControl/>
        <w:numPr>
          <w:ilvl w:val="0"/>
          <w:numId w:val="18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Cost of sales and gross profit: mention how cost of sales moved and gross profit margins.</w:t>
      </w:r>
    </w:p>
    <w:p w14:paraId="142A9A86" w14:textId="77777777" w:rsidR="00E82D4E" w:rsidRPr="00E82D4E" w:rsidRDefault="00E82D4E" w:rsidP="00E82D4E">
      <w:pPr>
        <w:widowControl/>
        <w:numPr>
          <w:ilvl w:val="0"/>
          <w:numId w:val="185"/>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E.g., “Gross profit margin improved from A% in 2018 to B% in 2020 due to economies of scale and improved product mix.”</w:t>
      </w:r>
    </w:p>
    <w:p w14:paraId="4176D0EF" w14:textId="77777777" w:rsidR="00E82D4E" w:rsidRPr="00E82D4E" w:rsidRDefault="00E82D4E" w:rsidP="00E82D4E">
      <w:pPr>
        <w:widowControl/>
        <w:numPr>
          <w:ilvl w:val="0"/>
          <w:numId w:val="18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raw material or supplier info is relevant, note it.</w:t>
      </w:r>
    </w:p>
    <w:p w14:paraId="063A3AE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Operating expenses and other items</w:t>
      </w:r>
    </w:p>
    <w:p w14:paraId="02F1FD0C" w14:textId="77777777" w:rsidR="00E82D4E" w:rsidRPr="00E82D4E" w:rsidRDefault="00E82D4E" w:rsidP="00E82D4E">
      <w:pPr>
        <w:widowControl/>
        <w:numPr>
          <w:ilvl w:val="0"/>
          <w:numId w:val="18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Other P&amp;L items: The AI should discuss major expenses – selling &amp; distribution costs, admin expenses, R&amp;D (if applicable).</w:t>
      </w:r>
    </w:p>
    <w:p w14:paraId="18855C06" w14:textId="77777777" w:rsidR="00E82D4E" w:rsidRPr="00E82D4E" w:rsidRDefault="00E82D4E" w:rsidP="00E82D4E">
      <w:pPr>
        <w:widowControl/>
        <w:numPr>
          <w:ilvl w:val="0"/>
          <w:numId w:val="18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any expense item materially increased or decreased as a percentage of revenue, explain why (hiring more staff, marketing campaign, share-based payments, etc.).</w:t>
      </w:r>
    </w:p>
    <w:p w14:paraId="4F282188" w14:textId="77777777" w:rsidR="00E82D4E" w:rsidRPr="00E82D4E" w:rsidRDefault="00E82D4E" w:rsidP="00E82D4E">
      <w:pPr>
        <w:widowControl/>
        <w:numPr>
          <w:ilvl w:val="0"/>
          <w:numId w:val="18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Also point out if the company had any significant other gains or losses (like fair value changes, government grants, etc.).</w:t>
      </w:r>
    </w:p>
    <w:p w14:paraId="519B369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Profitability measures</w:t>
      </w:r>
    </w:p>
    <w:p w14:paraId="4A8A5D67" w14:textId="77777777" w:rsidR="00E82D4E" w:rsidRPr="00E82D4E" w:rsidRDefault="00E82D4E" w:rsidP="00E82D4E">
      <w:pPr>
        <w:widowControl/>
        <w:numPr>
          <w:ilvl w:val="0"/>
          <w:numId w:val="18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Profitability: If net profit or loss, and net profit margin, note those.</w:t>
      </w:r>
    </w:p>
    <w:p w14:paraId="392E1FBF" w14:textId="77777777" w:rsidR="00E82D4E" w:rsidRPr="00E82D4E" w:rsidRDefault="00E82D4E" w:rsidP="00E82D4E">
      <w:pPr>
        <w:widowControl/>
        <w:numPr>
          <w:ilvl w:val="0"/>
          <w:numId w:val="18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Possibly mention EBITDA or adjusted profits if the company highlights those (some companies present a non-IFRS measure excluding certain expenses; if so, define it and provide the figure).</w:t>
      </w:r>
    </w:p>
    <w:p w14:paraId="3984A85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Balance sheet discussion</w:t>
      </w:r>
    </w:p>
    <w:p w14:paraId="313C1104" w14:textId="77777777" w:rsidR="00E82D4E" w:rsidRPr="00E82D4E" w:rsidRDefault="00E82D4E" w:rsidP="00E82D4E">
      <w:pPr>
        <w:widowControl/>
        <w:numPr>
          <w:ilvl w:val="0"/>
          <w:numId w:val="18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Balance Sheet: The AI should comment on the company’s financial position – growth in assets like how cash and bank balances have changed, any major capital expenditures (increase in PPE), inventory levels and turnover, trade receivables (and any credit risk or bad debt allowances), etc.</w:t>
      </w:r>
    </w:p>
    <w:p w14:paraId="68658B63" w14:textId="77777777" w:rsidR="00E82D4E" w:rsidRPr="00E82D4E" w:rsidRDefault="00E82D4E" w:rsidP="00E82D4E">
      <w:pPr>
        <w:widowControl/>
        <w:numPr>
          <w:ilvl w:val="0"/>
          <w:numId w:val="18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 company has debt, discuss the borrowings and gearing.</w:t>
      </w:r>
    </w:p>
    <w:p w14:paraId="1AA13301" w14:textId="77777777" w:rsidR="00E82D4E" w:rsidRPr="00E82D4E" w:rsidRDefault="00E82D4E" w:rsidP="00E82D4E">
      <w:pPr>
        <w:widowControl/>
        <w:numPr>
          <w:ilvl w:val="0"/>
          <w:numId w:val="18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significant acquisitions happened, mention their effect on the balance sheet.</w:t>
      </w:r>
    </w:p>
    <w:p w14:paraId="352E5F4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Liquidity and working capital</w:t>
      </w:r>
    </w:p>
    <w:p w14:paraId="4F098C7E" w14:textId="77777777" w:rsidR="00E82D4E" w:rsidRPr="00E82D4E" w:rsidRDefault="00E82D4E" w:rsidP="00E82D4E">
      <w:pPr>
        <w:widowControl/>
        <w:numPr>
          <w:ilvl w:val="0"/>
          <w:numId w:val="18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Liquidity and capital resources: Here, describe if operating cash flow is positive and sufficient, any major financing raised (like the proceeds of the IPO and how they will affect liquidity).</w:t>
      </w:r>
    </w:p>
    <w:p w14:paraId="3C5FA0FB" w14:textId="77777777" w:rsidR="00E82D4E" w:rsidRPr="00E82D4E" w:rsidRDefault="00E82D4E" w:rsidP="00E82D4E">
      <w:pPr>
        <w:widowControl/>
        <w:numPr>
          <w:ilvl w:val="0"/>
          <w:numId w:val="18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Also mention the working capital sufficiency statement (in HK prospectus, usually “our directors are of the opinion that, taking into account the net proceeds from the IPO and our available facilities, we have sufficient working capital for at least the next 12 months”). If given, the AI should incorporate that assurance.</w:t>
      </w:r>
    </w:p>
    <w:p w14:paraId="3BAF838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Indebtedness</w:t>
      </w:r>
    </w:p>
    <w:p w14:paraId="5756347A" w14:textId="77777777" w:rsidR="00E82D4E" w:rsidRPr="00E82D4E" w:rsidRDefault="00E82D4E" w:rsidP="00E82D4E">
      <w:pPr>
        <w:widowControl/>
        <w:numPr>
          <w:ilvl w:val="0"/>
          <w:numId w:val="19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Indebtedness: Possibly list any bank loans, and whether they’re secured or unsecured, and the maturity profile.</w:t>
      </w:r>
    </w:p>
    <w:p w14:paraId="21280304" w14:textId="77777777" w:rsidR="00E82D4E" w:rsidRPr="00E82D4E" w:rsidRDefault="00E82D4E" w:rsidP="00E82D4E">
      <w:pPr>
        <w:widowControl/>
        <w:numPr>
          <w:ilvl w:val="0"/>
          <w:numId w:val="19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Confirm if gearing is low or high.</w:t>
      </w:r>
    </w:p>
    <w:p w14:paraId="17086A0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Accounting policies and judgments</w:t>
      </w:r>
    </w:p>
    <w:p w14:paraId="38D748A8" w14:textId="77777777" w:rsidR="00E82D4E" w:rsidRPr="00E82D4E" w:rsidRDefault="00E82D4E" w:rsidP="00E82D4E">
      <w:pPr>
        <w:widowControl/>
        <w:numPr>
          <w:ilvl w:val="0"/>
          <w:numId w:val="19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Significant financial policies: sometimes a subsection highlights critical accounting policies (like how revenue is recognized, how inventory is valued, impairment policy, etc.).</w:t>
      </w:r>
    </w:p>
    <w:p w14:paraId="360B39E3" w14:textId="77777777" w:rsidR="00E82D4E" w:rsidRPr="00E82D4E" w:rsidRDefault="00E82D4E" w:rsidP="00E82D4E">
      <w:pPr>
        <w:widowControl/>
        <w:numPr>
          <w:ilvl w:val="0"/>
          <w:numId w:val="19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can summarize: “The significant accounting policies are set out in the Accountants’ Report; key judgments include revenue recognition for blind box sales and valuation of inventory, given the need to write down slow-moving stock.”</w:t>
      </w:r>
    </w:p>
    <w:p w14:paraId="67B87FAC" w14:textId="77777777" w:rsidR="00E82D4E" w:rsidRPr="00E82D4E" w:rsidRDefault="00E82D4E" w:rsidP="00E82D4E">
      <w:pPr>
        <w:widowControl/>
        <w:numPr>
          <w:ilvl w:val="0"/>
          <w:numId w:val="19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any changes in accounting or one-time adjustments (like conversion of preferred shares to equity) took place, mention those and their effects.</w:t>
      </w:r>
    </w:p>
    <w:p w14:paraId="2C06CAE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Ratios and operational metrics</w:t>
      </w:r>
    </w:p>
    <w:p w14:paraId="1BA26BC4" w14:textId="77777777" w:rsidR="00E82D4E" w:rsidRPr="00E82D4E" w:rsidRDefault="00E82D4E" w:rsidP="00E82D4E">
      <w:pPr>
        <w:widowControl/>
        <w:numPr>
          <w:ilvl w:val="0"/>
          <w:numId w:val="19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Quantitative analysis: The section might include certain financial ratios or metrics.</w:t>
      </w:r>
    </w:p>
    <w:p w14:paraId="410CF700" w14:textId="77777777" w:rsidR="00E82D4E" w:rsidRPr="00E82D4E" w:rsidRDefault="00E82D4E" w:rsidP="00E82D4E">
      <w:pPr>
        <w:widowControl/>
        <w:numPr>
          <w:ilvl w:val="0"/>
          <w:numId w:val="19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 prospectus explicitly discusses things like inventory turnover days, trade receivable days, etc., the AI should reflect those (e.g., “Our inventory turnover days were 120 in 2018, improving to 90 days in 2020 due to better stock management.”).</w:t>
      </w:r>
    </w:p>
    <w:p w14:paraId="296C88B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Subsequent events / post-period trends</w:t>
      </w:r>
    </w:p>
    <w:p w14:paraId="43C522BA" w14:textId="77777777" w:rsidR="00E82D4E" w:rsidRPr="00E82D4E" w:rsidRDefault="00E82D4E" w:rsidP="00E82D4E">
      <w:pPr>
        <w:widowControl/>
        <w:numPr>
          <w:ilvl w:val="0"/>
          <w:numId w:val="193"/>
        </w:numPr>
        <w:spacing w:before="240"/>
        <w:jc w:val="left"/>
        <w:textAlignment w:val="baseline"/>
        <w:rPr>
          <w:rFonts w:ascii="Times New Roman" w:eastAsia="宋体" w:hAnsi="Times New Roman" w:cs="Times New Roman"/>
          <w:color w:val="000000"/>
          <w:kern w:val="0"/>
          <w:sz w:val="22"/>
          <w:szCs w:val="22"/>
          <w14:ligatures w14:val="none"/>
        </w:rPr>
      </w:pPr>
      <w:proofErr w:type="gramStart"/>
      <w:r w:rsidRPr="00E82D4E">
        <w:rPr>
          <w:rFonts w:ascii="Times New Roman" w:eastAsia="宋体" w:hAnsi="Times New Roman" w:cs="Times New Roman"/>
          <w:color w:val="000000"/>
          <w:kern w:val="0"/>
          <w:sz w:val="22"/>
          <w:szCs w:val="22"/>
          <w14:ligatures w14:val="none"/>
        </w:rPr>
        <w:t>Future outlook</w:t>
      </w:r>
      <w:proofErr w:type="gramEnd"/>
      <w:r w:rsidRPr="00E82D4E">
        <w:rPr>
          <w:rFonts w:ascii="Times New Roman" w:eastAsia="宋体" w:hAnsi="Times New Roman" w:cs="Times New Roman"/>
          <w:color w:val="000000"/>
          <w:kern w:val="0"/>
          <w:sz w:val="22"/>
          <w:szCs w:val="22"/>
          <w14:ligatures w14:val="none"/>
        </w:rPr>
        <w:t xml:space="preserve"> in financial terms: The company might mention subsequent events or known trends post-period.</w:t>
      </w:r>
    </w:p>
    <w:p w14:paraId="7CD22264" w14:textId="77777777" w:rsidR="00E82D4E" w:rsidRPr="00E82D4E" w:rsidRDefault="00E82D4E" w:rsidP="00E82D4E">
      <w:pPr>
        <w:widowControl/>
        <w:numPr>
          <w:ilvl w:val="0"/>
          <w:numId w:val="193"/>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E.g., Covid-19 impact on Q1 2021 sales (for a 2020-year prospectus) – mention how Q1 2021 performed vs Q1 2020 if they gave numbers or commentary.</w:t>
      </w:r>
    </w:p>
    <w:p w14:paraId="247E5AF4" w14:textId="77777777" w:rsidR="00E82D4E" w:rsidRPr="00E82D4E" w:rsidRDefault="00E82D4E" w:rsidP="00E82D4E">
      <w:pPr>
        <w:widowControl/>
        <w:numPr>
          <w:ilvl w:val="0"/>
          <w:numId w:val="19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Or any material subsequent events like a new financing or a significant subsequent loss/profit in the interim.</w:t>
      </w:r>
    </w:p>
    <w:p w14:paraId="1E74097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Granularity and “story behind the numbers”</w:t>
      </w:r>
    </w:p>
    <w:p w14:paraId="649B4D34" w14:textId="77777777" w:rsidR="00E82D4E" w:rsidRPr="00E82D4E" w:rsidRDefault="00E82D4E" w:rsidP="00E82D4E">
      <w:pPr>
        <w:widowControl/>
        <w:numPr>
          <w:ilvl w:val="0"/>
          <w:numId w:val="19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granularity should be such that an investor reading it understands the story behind the numbers, not just the numbers themselves.</w:t>
      </w:r>
    </w:p>
    <w:p w14:paraId="34EDA838" w14:textId="77777777" w:rsidR="00E82D4E" w:rsidRPr="00E82D4E" w:rsidRDefault="00E82D4E" w:rsidP="00E82D4E">
      <w:pPr>
        <w:widowControl/>
        <w:numPr>
          <w:ilvl w:val="0"/>
          <w:numId w:val="194"/>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That means including percentage changes and reasons.</w:t>
      </w:r>
    </w:p>
    <w:p w14:paraId="1C5B4E81" w14:textId="77777777" w:rsidR="00E82D4E" w:rsidRPr="00E82D4E" w:rsidRDefault="00E82D4E" w:rsidP="00E82D4E">
      <w:pPr>
        <w:widowControl/>
        <w:numPr>
          <w:ilvl w:val="0"/>
          <w:numId w:val="19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For example: “Selling and distribution expenses increased by 50% in 2019 due to the opening of 20 new retail stores and corresponding higher staff costs and rental expenses.”</w:t>
      </w:r>
    </w:p>
    <w:p w14:paraId="75DF5C6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Exceptional items</w:t>
      </w:r>
    </w:p>
    <w:p w14:paraId="14E844A5" w14:textId="77777777" w:rsidR="00E82D4E" w:rsidRPr="00E82D4E" w:rsidRDefault="00E82D4E" w:rsidP="00E82D4E">
      <w:pPr>
        <w:widowControl/>
        <w:numPr>
          <w:ilvl w:val="0"/>
          <w:numId w:val="19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are any exceptional items (maybe fair value change of preferred shares, which are usually significant in pre-IPO financials of tech companies), mention how they affected profit and that those won’t recur after listing if those preferred shares converted to equity (thus cleaning up losses).</w:t>
      </w:r>
    </w:p>
    <w:p w14:paraId="2D9E1907" w14:textId="77777777" w:rsidR="00E82D4E" w:rsidRPr="00E82D4E" w:rsidRDefault="00E82D4E" w:rsidP="00E82D4E">
      <w:pPr>
        <w:widowControl/>
        <w:numPr>
          <w:ilvl w:val="0"/>
          <w:numId w:val="19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Li Auto’s financials likely had such items – e.g., fair value changes of warrants or preferred shares; if Pop Mart had any fair value adjustments or share based payments, note those.</w:t>
      </w:r>
    </w:p>
    <w:p w14:paraId="2532E60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No fabrication + illustrative handling</w:t>
      </w:r>
    </w:p>
    <w:p w14:paraId="2CAF7522" w14:textId="77777777" w:rsidR="00E82D4E" w:rsidRPr="00E82D4E" w:rsidRDefault="00E82D4E" w:rsidP="00E82D4E">
      <w:pPr>
        <w:widowControl/>
        <w:numPr>
          <w:ilvl w:val="0"/>
          <w:numId w:val="19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Everything should tie back to the actual figures that would be in the financial statements, citing them qualitatively.</w:t>
      </w:r>
    </w:p>
    <w:p w14:paraId="622D63FA" w14:textId="77777777" w:rsidR="00E82D4E" w:rsidRPr="00E82D4E" w:rsidRDefault="00E82D4E" w:rsidP="00E82D4E">
      <w:pPr>
        <w:widowControl/>
        <w:numPr>
          <w:ilvl w:val="0"/>
          <w:numId w:val="196"/>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not invent numbers, but use relative descriptions or example figures if not provided explicitly.</w:t>
      </w:r>
    </w:p>
    <w:p w14:paraId="02616ABB" w14:textId="77777777" w:rsidR="00E82D4E" w:rsidRPr="00E82D4E" w:rsidRDefault="00E82D4E" w:rsidP="00E82D4E">
      <w:pPr>
        <w:widowControl/>
        <w:numPr>
          <w:ilvl w:val="0"/>
          <w:numId w:val="19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Given Pop Mart’s summary gave actual numbers, we can use those for illustration (like net profit from RMB1.6m to RMB99.5m, which is a fact we can cite).</w:t>
      </w:r>
    </w:p>
    <w:p w14:paraId="6E48338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Dividend policy</w:t>
      </w:r>
    </w:p>
    <w:p w14:paraId="62EE2A65" w14:textId="77777777" w:rsidR="00E82D4E" w:rsidRPr="00E82D4E" w:rsidRDefault="00E82D4E" w:rsidP="00E82D4E">
      <w:pPr>
        <w:widowControl/>
        <w:numPr>
          <w:ilvl w:val="0"/>
          <w:numId w:val="197"/>
        </w:numPr>
        <w:spacing w:before="240"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It’s also useful to mention any dividend policy if stated: some prospectuses say “we do not have a fixed dividend policy” or “we intend to distribute not less than X% of annual profit as dividend” – so include that if applicable.</w:t>
      </w:r>
    </w:p>
    <w:p w14:paraId="65DD5FC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Tone and credibility</w:t>
      </w:r>
    </w:p>
    <w:p w14:paraId="78B0FFA7" w14:textId="77777777" w:rsidR="00E82D4E" w:rsidRPr="00E82D4E" w:rsidRDefault="00E82D4E" w:rsidP="00E82D4E">
      <w:pPr>
        <w:widowControl/>
        <w:numPr>
          <w:ilvl w:val="0"/>
          <w:numId w:val="19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throughout is analytical and objective.</w:t>
      </w:r>
    </w:p>
    <w:p w14:paraId="394CB51C" w14:textId="77777777" w:rsidR="00E82D4E" w:rsidRPr="00E82D4E" w:rsidRDefault="00E82D4E" w:rsidP="00E82D4E">
      <w:pPr>
        <w:widowControl/>
        <w:numPr>
          <w:ilvl w:val="0"/>
          <w:numId w:val="19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It should not be promotional; any improvements are stated with their factual cause, and any negative trends are also explained (e.g., “our net profit margin slightly decreased in the interim 2020 due to temporary logistics disruptions from COVID-19” – acknowledging downsides).</w:t>
      </w:r>
    </w:p>
    <w:p w14:paraId="4ECCCE5C" w14:textId="77777777" w:rsidR="00E82D4E" w:rsidRPr="00E82D4E" w:rsidRDefault="00E82D4E" w:rsidP="00E82D4E">
      <w:pPr>
        <w:widowControl/>
        <w:numPr>
          <w:ilvl w:val="0"/>
          <w:numId w:val="19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builds trust that management is transparently discussing performance.</w:t>
      </w:r>
    </w:p>
    <w:p w14:paraId="22157B7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Outcome</w:t>
      </w:r>
    </w:p>
    <w:p w14:paraId="2D2D2D43" w14:textId="77777777" w:rsidR="00E82D4E" w:rsidRPr="00E82D4E" w:rsidRDefault="00E82D4E" w:rsidP="00E82D4E">
      <w:pPr>
        <w:widowControl/>
        <w:numPr>
          <w:ilvl w:val="0"/>
          <w:numId w:val="19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By thoroughly covering revenue, expenses, profits, and cash flows with explanatory context, the Financial Information section enables investors to understand the company’s financial health and viability.</w:t>
      </w:r>
    </w:p>
    <w:p w14:paraId="392E384F" w14:textId="77777777" w:rsidR="00E82D4E" w:rsidRPr="00E82D4E" w:rsidRDefault="00E82D4E" w:rsidP="00E82D4E">
      <w:pPr>
        <w:widowControl/>
        <w:numPr>
          <w:ilvl w:val="0"/>
          <w:numId w:val="19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All discussions should align with the audited numbers in the appendices, and the AI should ensure consistency and clarity in this critical analytical narrative.</w:t>
      </w:r>
    </w:p>
    <w:p w14:paraId="3D3307CA"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01A7DBBF">
          <v:rect id="_x0000_i1029" alt="" style="width:415.3pt;height:.05pt;mso-width-percent:0;mso-height-percent:0;mso-width-percent:0;mso-height-percent:0" o:hralign="center" o:hrstd="t" o:hr="t" fillcolor="#a0a0a0" stroked="f"/>
        </w:pict>
      </w:r>
    </w:p>
    <w:p w14:paraId="69BEA918" w14:textId="77777777" w:rsidR="00E82D4E" w:rsidRPr="00E82D4E" w:rsidRDefault="00E82D4E" w:rsidP="00E82D4E">
      <w:pPr>
        <w:widowControl/>
        <w:spacing w:before="240" w:after="240"/>
        <w:jc w:val="left"/>
        <w:outlineLvl w:val="1"/>
        <w:rPr>
          <w:rFonts w:ascii="宋体" w:eastAsia="宋体" w:hAnsi="宋体" w:cs="宋体"/>
          <w:b/>
          <w:bCs/>
          <w:kern w:val="0"/>
          <w:sz w:val="36"/>
          <w:szCs w:val="36"/>
          <w14:ligatures w14:val="none"/>
        </w:rPr>
      </w:pPr>
      <w:proofErr w:type="gramStart"/>
      <w:r w:rsidRPr="00E82D4E">
        <w:rPr>
          <w:rFonts w:ascii="Times New Roman" w:eastAsia="宋体" w:hAnsi="Times New Roman" w:cs="Times New Roman"/>
          <w:b/>
          <w:bCs/>
          <w:color w:val="000000"/>
          <w:kern w:val="0"/>
          <w:sz w:val="32"/>
          <w:szCs w:val="32"/>
          <w14:ligatures w14:val="none"/>
        </w:rPr>
        <w:t>Future Plans</w:t>
      </w:r>
      <w:proofErr w:type="gramEnd"/>
      <w:r w:rsidRPr="00E82D4E">
        <w:rPr>
          <w:rFonts w:ascii="Times New Roman" w:eastAsia="宋体" w:hAnsi="Times New Roman" w:cs="Times New Roman"/>
          <w:b/>
          <w:bCs/>
          <w:color w:val="000000"/>
          <w:kern w:val="0"/>
          <w:sz w:val="32"/>
          <w:szCs w:val="32"/>
          <w14:ligatures w14:val="none"/>
        </w:rPr>
        <w:t xml:space="preserve"> and Use of Proceeds</w:t>
      </w:r>
      <w:r w:rsidRPr="00E82D4E">
        <w:rPr>
          <w:rFonts w:ascii="Arial" w:eastAsia="宋体" w:hAnsi="Arial" w:cs="Arial"/>
          <w:b/>
          <w:bCs/>
          <w:color w:val="000000"/>
          <w:kern w:val="0"/>
          <w:sz w:val="32"/>
          <w:szCs w:val="32"/>
          <w14:ligatures w14:val="none"/>
        </w:rPr>
        <w:br/>
      </w:r>
      <w:r w:rsidRPr="00E82D4E">
        <w:rPr>
          <w:rFonts w:ascii="Arial" w:eastAsia="宋体" w:hAnsi="Arial" w:cs="Arial"/>
          <w:b/>
          <w:bCs/>
          <w:color w:val="000000"/>
          <w:kern w:val="0"/>
          <w:sz w:val="32"/>
          <w:szCs w:val="32"/>
          <w14:ligatures w14:val="none"/>
        </w:rPr>
        <w:br/>
      </w:r>
    </w:p>
    <w:p w14:paraId="526A005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Purpose</w:t>
      </w:r>
      <w:r w:rsidRPr="00E82D4E">
        <w:rPr>
          <w:rFonts w:ascii="Times New Roman" w:eastAsia="宋体" w:hAnsi="Times New Roman" w:cs="Times New Roman"/>
          <w:color w:val="000000"/>
          <w:kern w:val="0"/>
          <w:sz w:val="22"/>
          <w:szCs w:val="22"/>
          <w14:ligatures w14:val="none"/>
        </w:rPr>
        <w:br/>
        <w:t>This section explains how the net proceeds from the Global Offering will be applied and how such deployment supports the Company’s strategic development and operational priorities.</w:t>
      </w:r>
    </w:p>
    <w:p w14:paraId="479B144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w:t>
      </w:r>
      <w:r w:rsidRPr="00E82D4E">
        <w:rPr>
          <w:rFonts w:ascii="Times New Roman" w:eastAsia="宋体" w:hAnsi="Times New Roman" w:cs="Times New Roman"/>
          <w:color w:val="000000"/>
          <w:kern w:val="0"/>
          <w:sz w:val="22"/>
          <w:szCs w:val="22"/>
          <w14:ligatures w14:val="none"/>
        </w:rPr>
        <w:br/>
        <w:t>The AI should present this section in a clear allocation-based structure, typically using bullet points or sub-headings for each use category. Percentages and/or indicative amounts should be provided for each use, and the language should be practical, specific, and consistent with disclosed strategy.</w:t>
      </w:r>
    </w:p>
    <w:p w14:paraId="236563A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Strategic context</w:t>
      </w:r>
      <w:r w:rsidRPr="00E82D4E">
        <w:rPr>
          <w:rFonts w:ascii="Times New Roman" w:eastAsia="宋体" w:hAnsi="Times New Roman" w:cs="Times New Roman"/>
          <w:color w:val="000000"/>
          <w:kern w:val="0"/>
          <w:sz w:val="22"/>
          <w:szCs w:val="22"/>
          <w14:ligatures w14:val="none"/>
        </w:rPr>
        <w:br/>
        <w:t>The AI should begin with a short strategic overview explaining the overall purpose of fundraising (e.g., business expansion, R&amp;D enhancement, capacity improvement, market penetration, international growth), ensuring alignment with the Company’s stated strategy elsewhere in the prospectus.</w:t>
      </w:r>
    </w:p>
    <w:p w14:paraId="03AD97B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Net proceeds baseline</w:t>
      </w:r>
    </w:p>
    <w:p w14:paraId="35A17C2E" w14:textId="77777777" w:rsidR="00E82D4E" w:rsidRPr="00E82D4E" w:rsidRDefault="00E82D4E" w:rsidP="00E82D4E">
      <w:pPr>
        <w:widowControl/>
        <w:numPr>
          <w:ilvl w:val="0"/>
          <w:numId w:val="20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state the expected gross proceeds and net proceeds (after deducting underwriting commissions and estimated offering expenses), typically referencing an assumed offer price (often the mid-point of the indicative price range) if that is the standard drafting approach.</w:t>
      </w:r>
    </w:p>
    <w:p w14:paraId="0F25B580" w14:textId="77777777" w:rsidR="00E82D4E" w:rsidRPr="00E82D4E" w:rsidRDefault="00E82D4E" w:rsidP="00E82D4E">
      <w:pPr>
        <w:widowControl/>
        <w:numPr>
          <w:ilvl w:val="0"/>
          <w:numId w:val="20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provides a consistent base for the allocation percentages and enables investors to understand the scale of planned deployment.</w:t>
      </w:r>
    </w:p>
    <w:p w14:paraId="34B0993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Allocation categories and required specificity</w:t>
      </w:r>
    </w:p>
    <w:p w14:paraId="75F3734D" w14:textId="77777777" w:rsidR="00E82D4E" w:rsidRPr="00E82D4E" w:rsidRDefault="00E82D4E" w:rsidP="00E82D4E">
      <w:pPr>
        <w:widowControl/>
        <w:numPr>
          <w:ilvl w:val="0"/>
          <w:numId w:val="20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list each planned use of proceeds as a separate item, and for each item provide: the percentage (and/or indicative amount) allocated, the specific implementation plan, and any basic timing or priority cues if disclosed.</w:t>
      </w:r>
    </w:p>
    <w:p w14:paraId="179B4F61" w14:textId="77777777" w:rsidR="00E82D4E" w:rsidRPr="00E82D4E" w:rsidRDefault="00E82D4E" w:rsidP="00E82D4E">
      <w:pPr>
        <w:widowControl/>
        <w:numPr>
          <w:ilvl w:val="0"/>
          <w:numId w:val="20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Common allocation items include expansion of sales channels or store network, product development and R&amp;D investment, capacity expansion and equipment purchases, strategic investments and acquisitions, marketing and international expansion, and general working capital.</w:t>
      </w:r>
    </w:p>
    <w:p w14:paraId="3C410033" w14:textId="77777777" w:rsidR="00E82D4E" w:rsidRPr="00E82D4E" w:rsidRDefault="00E82D4E" w:rsidP="00E82D4E">
      <w:pPr>
        <w:widowControl/>
        <w:numPr>
          <w:ilvl w:val="0"/>
          <w:numId w:val="20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Where the Company discloses concrete targets (e.g., number of stores to open, number of R&amp;D hires, facility buildout milestones), the AI should include those targets in a factual manner to enhance specificity and credibility.</w:t>
      </w:r>
    </w:p>
    <w:p w14:paraId="24B174B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Implementation priorities and sequencing</w:t>
      </w:r>
      <w:r w:rsidRPr="00E82D4E">
        <w:rPr>
          <w:rFonts w:ascii="Times New Roman" w:eastAsia="宋体" w:hAnsi="Times New Roman" w:cs="Times New Roman"/>
          <w:color w:val="000000"/>
          <w:kern w:val="0"/>
          <w:sz w:val="22"/>
          <w:szCs w:val="22"/>
          <w14:ligatures w14:val="none"/>
        </w:rPr>
        <w:br/>
        <w:t>The AI may include short descriptions of execution sequencing (e.g., near-term vs. medium-term initiatives), ensuring each category is “actionable” rather than generic. The output should avoid vague statements that do not link to identifiable activities.</w:t>
      </w:r>
    </w:p>
    <w:p w14:paraId="46D6DE8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Adjustment mechanism for proceeds variance</w:t>
      </w:r>
    </w:p>
    <w:p w14:paraId="3C22CEC9" w14:textId="77777777" w:rsidR="00E82D4E" w:rsidRPr="00E82D4E" w:rsidRDefault="00E82D4E" w:rsidP="00E82D4E">
      <w:pPr>
        <w:widowControl/>
        <w:numPr>
          <w:ilvl w:val="0"/>
          <w:numId w:val="20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include a standard statement explaining how allocations may be adjusted if net proceeds are higher or lower than expected (e.g., due to pricing or exercise of the Over-allotment Option).</w:t>
      </w:r>
    </w:p>
    <w:p w14:paraId="1E63B948" w14:textId="77777777" w:rsidR="00E82D4E" w:rsidRPr="00E82D4E" w:rsidRDefault="00E82D4E" w:rsidP="00E82D4E">
      <w:pPr>
        <w:widowControl/>
        <w:numPr>
          <w:ilvl w:val="0"/>
          <w:numId w:val="20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disclosure should explain whether adjustments will be made proportionally or whether certain core priorities will be protected first, using cautious, governance-consistent language.</w:t>
      </w:r>
    </w:p>
    <w:p w14:paraId="72C7C4D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Closing consistency statement</w:t>
      </w:r>
      <w:r w:rsidRPr="00E82D4E">
        <w:rPr>
          <w:rFonts w:ascii="Times New Roman" w:eastAsia="宋体" w:hAnsi="Times New Roman" w:cs="Times New Roman"/>
          <w:color w:val="000000"/>
          <w:kern w:val="0"/>
          <w:sz w:val="22"/>
          <w:szCs w:val="22"/>
          <w14:ligatures w14:val="none"/>
        </w:rPr>
        <w:br/>
        <w:t>The AI should conclude with a statement that the proposed uses of proceeds are consistent with the Company’s long-term strategy and are intended to strengthen growth and competitiveness, while avoiding promotional exaggeration.</w:t>
      </w:r>
    </w:p>
    <w:p w14:paraId="74D7431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Investor value</w:t>
      </w:r>
      <w:r w:rsidRPr="00E82D4E">
        <w:rPr>
          <w:rFonts w:ascii="Times New Roman" w:eastAsia="宋体" w:hAnsi="Times New Roman" w:cs="Times New Roman"/>
          <w:color w:val="000000"/>
          <w:kern w:val="0"/>
          <w:sz w:val="22"/>
          <w:szCs w:val="22"/>
          <w14:ligatures w14:val="none"/>
        </w:rPr>
        <w:br/>
        <w:t>By linking fundraising amounts to specific deployment plans with clear allocation logic, this section enables investors to evaluate capital efficiency, strategic realism, and how the IPO proceeds translate into measurable business execution.</w:t>
      </w:r>
    </w:p>
    <w:p w14:paraId="0135EB94"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1FA5D966">
          <v:rect id="_x0000_i1028" alt="" style="width:415.3pt;height:.05pt;mso-width-percent:0;mso-height-percent:0;mso-width-percent:0;mso-height-percent:0" o:hralign="center" o:hrstd="t" o:hr="t" fillcolor="#a0a0a0" stroked="f"/>
        </w:pict>
      </w:r>
    </w:p>
    <w:p w14:paraId="0C9B49FC" w14:textId="77777777" w:rsidR="00E82D4E" w:rsidRPr="00E82D4E" w:rsidRDefault="00E82D4E" w:rsidP="00E82D4E">
      <w:pPr>
        <w:widowControl/>
        <w:spacing w:before="240" w:after="24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2"/>
          <w:szCs w:val="32"/>
          <w14:ligatures w14:val="none"/>
        </w:rPr>
        <w:t>Underwriting</w:t>
      </w:r>
      <w:r w:rsidRPr="00E82D4E">
        <w:rPr>
          <w:rFonts w:ascii="Arial" w:eastAsia="宋体" w:hAnsi="Arial" w:cs="Arial"/>
          <w:color w:val="000000"/>
          <w:kern w:val="0"/>
          <w:sz w:val="32"/>
          <w:szCs w:val="32"/>
          <w14:ligatures w14:val="none"/>
        </w:rPr>
        <w:br/>
      </w:r>
      <w:r w:rsidRPr="00E82D4E">
        <w:rPr>
          <w:rFonts w:ascii="Arial" w:eastAsia="宋体" w:hAnsi="Arial" w:cs="Arial"/>
          <w:color w:val="000000"/>
          <w:kern w:val="0"/>
          <w:sz w:val="32"/>
          <w:szCs w:val="32"/>
          <w14:ligatures w14:val="none"/>
        </w:rPr>
        <w:br/>
      </w:r>
    </w:p>
    <w:p w14:paraId="3C720B6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r w:rsidRPr="00E82D4E">
        <w:rPr>
          <w:rFonts w:ascii="Times New Roman" w:eastAsia="宋体" w:hAnsi="Times New Roman" w:cs="Times New Roman"/>
          <w:color w:val="000000"/>
          <w:kern w:val="0"/>
          <w:sz w:val="22"/>
          <w:szCs w:val="22"/>
          <w14:ligatures w14:val="none"/>
        </w:rPr>
        <w:br/>
      </w:r>
      <w:r w:rsidRPr="00E82D4E">
        <w:rPr>
          <w:rFonts w:ascii="Times New Roman" w:eastAsia="宋体" w:hAnsi="Times New Roman" w:cs="Times New Roman"/>
          <w:color w:val="000000"/>
          <w:kern w:val="0"/>
          <w:sz w:val="22"/>
          <w:szCs w:val="22"/>
          <w14:ligatures w14:val="none"/>
        </w:rPr>
        <w:br/>
      </w:r>
    </w:p>
    <w:p w14:paraId="7E2B94D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color w:val="000000"/>
          <w:kern w:val="0"/>
          <w:sz w:val="22"/>
          <w:szCs w:val="22"/>
          <w14:ligatures w14:val="none"/>
        </w:rPr>
        <w:t xml:space="preserve">This section discloses the underwriting arrangements for the Global Offering, including participating underwriters, key underwriting terms, fees, conditions precedent, termination rights, and </w:t>
      </w:r>
      <w:proofErr w:type="spellStart"/>
      <w:r w:rsidRPr="00E82D4E">
        <w:rPr>
          <w:rFonts w:ascii="Times New Roman" w:eastAsia="宋体" w:hAnsi="Times New Roman" w:cs="Times New Roman"/>
          <w:color w:val="000000"/>
          <w:kern w:val="0"/>
          <w:sz w:val="22"/>
          <w:szCs w:val="22"/>
          <w14:ligatures w14:val="none"/>
        </w:rPr>
        <w:t>stabilisation</w:t>
      </w:r>
      <w:proofErr w:type="spellEnd"/>
      <w:r w:rsidRPr="00E82D4E">
        <w:rPr>
          <w:rFonts w:ascii="Times New Roman" w:eastAsia="宋体" w:hAnsi="Times New Roman" w:cs="Times New Roman"/>
          <w:color w:val="000000"/>
          <w:kern w:val="0"/>
          <w:sz w:val="22"/>
          <w:szCs w:val="22"/>
          <w14:ligatures w14:val="none"/>
        </w:rPr>
        <w:t>-related provisions such as the over-allotment option.</w:t>
      </w:r>
    </w:p>
    <w:p w14:paraId="68F9E35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w:t>
      </w:r>
      <w:r w:rsidRPr="00E82D4E">
        <w:rPr>
          <w:rFonts w:ascii="Times New Roman" w:eastAsia="宋体" w:hAnsi="Times New Roman" w:cs="Times New Roman"/>
          <w:color w:val="000000"/>
          <w:kern w:val="0"/>
          <w:sz w:val="22"/>
          <w:szCs w:val="22"/>
          <w14:ligatures w14:val="none"/>
        </w:rPr>
        <w:br/>
        <w:t>The AI should draft this section in formal legal and transactional language, using clear sub-headings and structured listing where appropriate. The emphasis should be on accuracy, completeness, and alignment with underwriting agreement terms.</w:t>
      </w:r>
    </w:p>
    <w:p w14:paraId="5593FF7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Underwriters and roles</w:t>
      </w:r>
    </w:p>
    <w:p w14:paraId="29BB3C50" w14:textId="77777777" w:rsidR="00E82D4E" w:rsidRPr="00E82D4E" w:rsidRDefault="00E82D4E" w:rsidP="00E82D4E">
      <w:pPr>
        <w:widowControl/>
        <w:numPr>
          <w:ilvl w:val="0"/>
          <w:numId w:val="20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list the underwriters participating in the Global Offering and distinguish between Hong Kong underwriters and international underwriters where applicable.</w:t>
      </w:r>
    </w:p>
    <w:p w14:paraId="0F058DA0" w14:textId="77777777" w:rsidR="00E82D4E" w:rsidRPr="00E82D4E" w:rsidRDefault="00E82D4E" w:rsidP="00E82D4E">
      <w:pPr>
        <w:widowControl/>
        <w:numPr>
          <w:ilvl w:val="0"/>
          <w:numId w:val="20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identify transaction roles such as Joint Global Coordinators, Bookrunners, Lead Managers, and other named underwriting parties, presenting names exactly and consistently with the prospectus style.</w:t>
      </w:r>
    </w:p>
    <w:p w14:paraId="6316EE5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Underwriting commitments and scope</w:t>
      </w:r>
    </w:p>
    <w:p w14:paraId="01C1864D" w14:textId="77777777" w:rsidR="00E82D4E" w:rsidRPr="00E82D4E" w:rsidRDefault="00E82D4E" w:rsidP="00E82D4E">
      <w:pPr>
        <w:widowControl/>
        <w:numPr>
          <w:ilvl w:val="0"/>
          <w:numId w:val="20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state that the Hong Kong Offer Shares and International Offer Shares are fully </w:t>
      </w:r>
      <w:proofErr w:type="gramStart"/>
      <w:r w:rsidRPr="00E82D4E">
        <w:rPr>
          <w:rFonts w:ascii="Times New Roman" w:eastAsia="宋体" w:hAnsi="Times New Roman" w:cs="Times New Roman"/>
          <w:color w:val="000000"/>
          <w:kern w:val="0"/>
          <w:sz w:val="22"/>
          <w:szCs w:val="22"/>
          <w14:ligatures w14:val="none"/>
        </w:rPr>
        <w:t>underwritten, and</w:t>
      </w:r>
      <w:proofErr w:type="gramEnd"/>
      <w:r w:rsidRPr="00E82D4E">
        <w:rPr>
          <w:rFonts w:ascii="Times New Roman" w:eastAsia="宋体" w:hAnsi="Times New Roman" w:cs="Times New Roman"/>
          <w:color w:val="000000"/>
          <w:kern w:val="0"/>
          <w:sz w:val="22"/>
          <w:szCs w:val="22"/>
          <w14:ligatures w14:val="none"/>
        </w:rPr>
        <w:t xml:space="preserve"> describe the standard “several but not joint” underwriting obligation framework (i.e., underwriters commit to take up their proportionate share but are not jointly liable for others).</w:t>
      </w:r>
    </w:p>
    <w:p w14:paraId="7849E886" w14:textId="77777777" w:rsidR="00E82D4E" w:rsidRPr="00E82D4E" w:rsidRDefault="00E82D4E" w:rsidP="00E82D4E">
      <w:pPr>
        <w:widowControl/>
        <w:numPr>
          <w:ilvl w:val="0"/>
          <w:numId w:val="20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wording should make clear that underwriting provides assurance that the offer shares will be subscribed for, subject to conditions and termination rights.</w:t>
      </w:r>
    </w:p>
    <w:p w14:paraId="466A517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Pricing agreement mechanics</w:t>
      </w:r>
      <w:r w:rsidRPr="00E82D4E">
        <w:rPr>
          <w:rFonts w:ascii="Times New Roman" w:eastAsia="宋体" w:hAnsi="Times New Roman" w:cs="Times New Roman"/>
          <w:color w:val="000000"/>
          <w:kern w:val="0"/>
          <w:sz w:val="22"/>
          <w:szCs w:val="22"/>
          <w14:ligatures w14:val="none"/>
        </w:rPr>
        <w:br/>
        <w:t xml:space="preserve">The AI should describe that the final offer price is to be agreed between the Company and the Joint Global Coordinators (on behalf of the underwriters) on the pricing date, typically following </w:t>
      </w:r>
      <w:r w:rsidRPr="00E82D4E">
        <w:rPr>
          <w:rFonts w:ascii="Times New Roman" w:eastAsia="宋体" w:hAnsi="Times New Roman" w:cs="Times New Roman"/>
          <w:color w:val="000000"/>
          <w:kern w:val="0"/>
          <w:sz w:val="22"/>
          <w:szCs w:val="22"/>
          <w14:ligatures w14:val="none"/>
        </w:rPr>
        <w:lastRenderedPageBreak/>
        <w:t>bookbuilding.</w:t>
      </w:r>
      <w:r w:rsidRPr="00E82D4E">
        <w:rPr>
          <w:rFonts w:ascii="Times New Roman" w:eastAsia="宋体" w:hAnsi="Times New Roman" w:cs="Times New Roman"/>
          <w:color w:val="000000"/>
          <w:kern w:val="0"/>
          <w:sz w:val="22"/>
          <w:szCs w:val="22"/>
          <w14:ligatures w14:val="none"/>
        </w:rPr>
        <w:br/>
        <w:t>It should include a standard statement that if the parties fail to reach agreement on pricing, the Global Offering will not proceed, using precise and formal wording.</w:t>
      </w:r>
    </w:p>
    <w:p w14:paraId="77C5466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Underwriting commissions and expenses</w:t>
      </w:r>
    </w:p>
    <w:p w14:paraId="662BED3C" w14:textId="77777777" w:rsidR="00E82D4E" w:rsidRPr="00E82D4E" w:rsidRDefault="00E82D4E" w:rsidP="00E82D4E">
      <w:pPr>
        <w:widowControl/>
        <w:numPr>
          <w:ilvl w:val="0"/>
          <w:numId w:val="20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disclose underwriting commission rates and how offering-related expenses are borne, using the usual prospectus-level disclosure approach (commission percentage, description of reimbursable expenses, and any other disclosed fees).</w:t>
      </w:r>
    </w:p>
    <w:p w14:paraId="3E38F9A1" w14:textId="77777777" w:rsidR="00E82D4E" w:rsidRPr="00E82D4E" w:rsidRDefault="00E82D4E" w:rsidP="00E82D4E">
      <w:pPr>
        <w:widowControl/>
        <w:numPr>
          <w:ilvl w:val="0"/>
          <w:numId w:val="20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not fabricate numbers; it should leave placeholders if the exact commission rate is not provided in input </w:t>
      </w:r>
      <w:proofErr w:type="gramStart"/>
      <w:r w:rsidRPr="00E82D4E">
        <w:rPr>
          <w:rFonts w:ascii="Times New Roman" w:eastAsia="宋体" w:hAnsi="Times New Roman" w:cs="Times New Roman"/>
          <w:color w:val="000000"/>
          <w:kern w:val="0"/>
          <w:sz w:val="22"/>
          <w:szCs w:val="22"/>
          <w14:ligatures w14:val="none"/>
        </w:rPr>
        <w:t>data, but</w:t>
      </w:r>
      <w:proofErr w:type="gramEnd"/>
      <w:r w:rsidRPr="00E82D4E">
        <w:rPr>
          <w:rFonts w:ascii="Times New Roman" w:eastAsia="宋体" w:hAnsi="Times New Roman" w:cs="Times New Roman"/>
          <w:color w:val="000000"/>
          <w:kern w:val="0"/>
          <w:sz w:val="22"/>
          <w:szCs w:val="22"/>
          <w14:ligatures w14:val="none"/>
        </w:rPr>
        <w:t xml:space="preserve"> must preserve the structure requiring such disclosure.</w:t>
      </w:r>
    </w:p>
    <w:p w14:paraId="2ACD5F5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Lock-up arrangements</w:t>
      </w:r>
    </w:p>
    <w:p w14:paraId="23D076BC" w14:textId="77777777" w:rsidR="00E82D4E" w:rsidRPr="00E82D4E" w:rsidRDefault="00E82D4E" w:rsidP="00E82D4E">
      <w:pPr>
        <w:widowControl/>
        <w:numPr>
          <w:ilvl w:val="0"/>
          <w:numId w:val="20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describe lock-up undertakings given by the Company and relevant shareholders (often controlling shareholders), stating lock-up period length and the scope of restricted disposals or issuances, and clarifying that waiver requires prior written consent of the underwriters where applicable.</w:t>
      </w:r>
    </w:p>
    <w:p w14:paraId="0F67DF1E" w14:textId="77777777" w:rsidR="00E82D4E" w:rsidRPr="00E82D4E" w:rsidRDefault="00E82D4E" w:rsidP="00E82D4E">
      <w:pPr>
        <w:widowControl/>
        <w:numPr>
          <w:ilvl w:val="0"/>
          <w:numId w:val="20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must remain consistent with underwriting agreement terms and must not generalize beyond disclosed commitments.</w:t>
      </w:r>
    </w:p>
    <w:p w14:paraId="1EE74D0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Conditions precedent</w:t>
      </w:r>
    </w:p>
    <w:p w14:paraId="2A83CCAE" w14:textId="77777777" w:rsidR="00E82D4E" w:rsidRPr="00E82D4E" w:rsidRDefault="00E82D4E" w:rsidP="00E82D4E">
      <w:pPr>
        <w:widowControl/>
        <w:numPr>
          <w:ilvl w:val="0"/>
          <w:numId w:val="20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list key conditions precedent to the underwriting agreements becoming unconditional, such as Listing approval, execution of the pricing agreement, completion of requisite filings, and satisfaction of other customary conditions.</w:t>
      </w:r>
    </w:p>
    <w:p w14:paraId="1D500AB3" w14:textId="77777777" w:rsidR="00E82D4E" w:rsidRPr="00E82D4E" w:rsidRDefault="00E82D4E" w:rsidP="00E82D4E">
      <w:pPr>
        <w:widowControl/>
        <w:numPr>
          <w:ilvl w:val="0"/>
          <w:numId w:val="20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writing should convey that completion is conditional and that failure of conditions can lead to non-completion of the offering.</w:t>
      </w:r>
    </w:p>
    <w:p w14:paraId="22B7468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Termination rights</w:t>
      </w:r>
    </w:p>
    <w:p w14:paraId="6C1A5AAC" w14:textId="77777777" w:rsidR="00E82D4E" w:rsidRPr="00E82D4E" w:rsidRDefault="00E82D4E" w:rsidP="00E82D4E">
      <w:pPr>
        <w:widowControl/>
        <w:numPr>
          <w:ilvl w:val="0"/>
          <w:numId w:val="20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describe the principal termination triggers allowing underwriters to terminate, typically including material adverse change, breach of representations or undertakings, major market disruption, or other specified events.</w:t>
      </w:r>
    </w:p>
    <w:p w14:paraId="4A157551" w14:textId="77777777" w:rsidR="00E82D4E" w:rsidRPr="00E82D4E" w:rsidRDefault="00E82D4E" w:rsidP="00E82D4E">
      <w:pPr>
        <w:widowControl/>
        <w:numPr>
          <w:ilvl w:val="0"/>
          <w:numId w:val="20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present termination triggers as clear bullet points or sub-paragraphs to improve readability, while maintaining legal precision.</w:t>
      </w:r>
    </w:p>
    <w:p w14:paraId="34426F6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 xml:space="preserve">Over-allotment option and </w:t>
      </w:r>
      <w:proofErr w:type="spellStart"/>
      <w:r w:rsidRPr="00E82D4E">
        <w:rPr>
          <w:rFonts w:ascii="Times New Roman" w:eastAsia="宋体" w:hAnsi="Times New Roman" w:cs="Times New Roman"/>
          <w:b/>
          <w:bCs/>
          <w:color w:val="000000"/>
          <w:kern w:val="0"/>
          <w:sz w:val="22"/>
          <w:szCs w:val="22"/>
          <w14:ligatures w14:val="none"/>
        </w:rPr>
        <w:t>stabilisation</w:t>
      </w:r>
      <w:proofErr w:type="spellEnd"/>
      <w:r w:rsidRPr="00E82D4E">
        <w:rPr>
          <w:rFonts w:ascii="Times New Roman" w:eastAsia="宋体" w:hAnsi="Times New Roman" w:cs="Times New Roman"/>
          <w:color w:val="000000"/>
          <w:kern w:val="0"/>
          <w:sz w:val="22"/>
          <w:szCs w:val="22"/>
          <w14:ligatures w14:val="none"/>
        </w:rPr>
        <w:br/>
        <w:t>If applicable, the AI should describe the over-allotment option (greenshoe), including the maximum additional shares (typically up to 15% of the initial offering size), the exercise period (often 30 days from listing), and the exercising party (often Joint Global Coordinators on behalf of international underwriters).</w:t>
      </w:r>
      <w:r w:rsidRPr="00E82D4E">
        <w:rPr>
          <w:rFonts w:ascii="Times New Roman" w:eastAsia="宋体" w:hAnsi="Times New Roman" w:cs="Times New Roman"/>
          <w:color w:val="000000"/>
          <w:kern w:val="0"/>
          <w:sz w:val="22"/>
          <w:szCs w:val="22"/>
          <w14:ligatures w14:val="none"/>
        </w:rPr>
        <w:br/>
        <w:t xml:space="preserve">The output should explain that this option is used for over-allocation cover and </w:t>
      </w:r>
      <w:proofErr w:type="spellStart"/>
      <w:r w:rsidRPr="00E82D4E">
        <w:rPr>
          <w:rFonts w:ascii="Times New Roman" w:eastAsia="宋体" w:hAnsi="Times New Roman" w:cs="Times New Roman"/>
          <w:color w:val="000000"/>
          <w:kern w:val="0"/>
          <w:sz w:val="22"/>
          <w:szCs w:val="22"/>
          <w14:ligatures w14:val="none"/>
        </w:rPr>
        <w:t>stabilisation</w:t>
      </w:r>
      <w:proofErr w:type="spellEnd"/>
      <w:r w:rsidRPr="00E82D4E">
        <w:rPr>
          <w:rFonts w:ascii="Times New Roman" w:eastAsia="宋体" w:hAnsi="Times New Roman" w:cs="Times New Roman"/>
          <w:color w:val="000000"/>
          <w:kern w:val="0"/>
          <w:sz w:val="22"/>
          <w:szCs w:val="22"/>
          <w14:ligatures w14:val="none"/>
        </w:rPr>
        <w:t xml:space="preserve"> purposes and may affect post-offering share capital and allocation.</w:t>
      </w:r>
    </w:p>
    <w:p w14:paraId="73B9A1FB"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Other key provisions</w:t>
      </w:r>
      <w:r w:rsidRPr="00E82D4E">
        <w:rPr>
          <w:rFonts w:ascii="Times New Roman" w:eastAsia="宋体" w:hAnsi="Times New Roman" w:cs="Times New Roman"/>
          <w:color w:val="000000"/>
          <w:kern w:val="0"/>
          <w:sz w:val="22"/>
          <w:szCs w:val="22"/>
          <w14:ligatures w14:val="none"/>
        </w:rPr>
        <w:br/>
        <w:t>Where relevant, the AI may mention customary indemnities, representations, and independence-related confirmations in brief, ensuring the section remains disclosure-focused rather than contractual reproduction.</w:t>
      </w:r>
    </w:p>
    <w:p w14:paraId="3387FDEA"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lastRenderedPageBreak/>
        <w:t>Investor value</w:t>
      </w:r>
      <w:r w:rsidRPr="00E82D4E">
        <w:rPr>
          <w:rFonts w:ascii="Times New Roman" w:eastAsia="宋体" w:hAnsi="Times New Roman" w:cs="Times New Roman"/>
          <w:color w:val="000000"/>
          <w:kern w:val="0"/>
          <w:sz w:val="22"/>
          <w:szCs w:val="22"/>
          <w14:ligatures w14:val="none"/>
        </w:rPr>
        <w:br/>
        <w:t xml:space="preserve">This section provides investors with transparency on the transactional protections, completion conditions, fees, and potential post-offering </w:t>
      </w:r>
      <w:proofErr w:type="spellStart"/>
      <w:r w:rsidRPr="00E82D4E">
        <w:rPr>
          <w:rFonts w:ascii="Times New Roman" w:eastAsia="宋体" w:hAnsi="Times New Roman" w:cs="Times New Roman"/>
          <w:color w:val="000000"/>
          <w:kern w:val="0"/>
          <w:sz w:val="22"/>
          <w:szCs w:val="22"/>
          <w14:ligatures w14:val="none"/>
        </w:rPr>
        <w:t>stabilisation</w:t>
      </w:r>
      <w:proofErr w:type="spellEnd"/>
      <w:r w:rsidRPr="00E82D4E">
        <w:rPr>
          <w:rFonts w:ascii="Times New Roman" w:eastAsia="宋体" w:hAnsi="Times New Roman" w:cs="Times New Roman"/>
          <w:color w:val="000000"/>
          <w:kern w:val="0"/>
          <w:sz w:val="22"/>
          <w:szCs w:val="22"/>
          <w14:ligatures w14:val="none"/>
        </w:rPr>
        <w:t xml:space="preserve"> mechanisms, allowing investors to understand offering execution risk and related constraints.</w:t>
      </w:r>
    </w:p>
    <w:p w14:paraId="0324CADC"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3891DB93">
          <v:rect id="_x0000_i1027" alt="" style="width:415.3pt;height:.05pt;mso-width-percent:0;mso-height-percent:0;mso-width-percent:0;mso-height-percent:0" o:hralign="center" o:hrstd="t" o:hr="t" fillcolor="#a0a0a0" stroked="f"/>
        </w:pict>
      </w:r>
    </w:p>
    <w:p w14:paraId="35870D06" w14:textId="77777777" w:rsidR="00E82D4E" w:rsidRPr="00E82D4E" w:rsidRDefault="00E82D4E" w:rsidP="00E82D4E">
      <w:pPr>
        <w:widowControl/>
        <w:spacing w:before="240" w:after="24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2"/>
          <w:szCs w:val="32"/>
          <w14:ligatures w14:val="none"/>
        </w:rPr>
        <w:t>Structure of the Global Offering</w:t>
      </w:r>
      <w:r w:rsidRPr="00E82D4E">
        <w:rPr>
          <w:rFonts w:ascii="Arial" w:eastAsia="宋体" w:hAnsi="Arial" w:cs="Arial"/>
          <w:color w:val="000000"/>
          <w:kern w:val="0"/>
          <w:sz w:val="32"/>
          <w:szCs w:val="32"/>
          <w14:ligatures w14:val="none"/>
        </w:rPr>
        <w:br/>
      </w:r>
      <w:r w:rsidRPr="00E82D4E">
        <w:rPr>
          <w:rFonts w:ascii="Arial" w:eastAsia="宋体" w:hAnsi="Arial" w:cs="Arial"/>
          <w:color w:val="000000"/>
          <w:kern w:val="0"/>
          <w:sz w:val="32"/>
          <w:szCs w:val="32"/>
          <w14:ligatures w14:val="none"/>
        </w:rPr>
        <w:br/>
      </w:r>
    </w:p>
    <w:p w14:paraId="190B746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r w:rsidRPr="00E82D4E">
        <w:rPr>
          <w:rFonts w:ascii="Times New Roman" w:eastAsia="宋体" w:hAnsi="Times New Roman" w:cs="Times New Roman"/>
          <w:color w:val="000000"/>
          <w:kern w:val="0"/>
          <w:sz w:val="22"/>
          <w:szCs w:val="22"/>
          <w14:ligatures w14:val="none"/>
        </w:rPr>
        <w:br/>
        <w:t>This section explains the overall structure, allocation mechanics, pricing process, reallocation (</w:t>
      </w:r>
      <w:proofErr w:type="spellStart"/>
      <w:r w:rsidRPr="00E82D4E">
        <w:rPr>
          <w:rFonts w:ascii="Times New Roman" w:eastAsia="宋体" w:hAnsi="Times New Roman" w:cs="Times New Roman"/>
          <w:color w:val="000000"/>
          <w:kern w:val="0"/>
          <w:sz w:val="22"/>
          <w:szCs w:val="22"/>
          <w14:ligatures w14:val="none"/>
        </w:rPr>
        <w:t>clawback</w:t>
      </w:r>
      <w:proofErr w:type="spellEnd"/>
      <w:r w:rsidRPr="00E82D4E">
        <w:rPr>
          <w:rFonts w:ascii="Times New Roman" w:eastAsia="宋体" w:hAnsi="Times New Roman" w:cs="Times New Roman"/>
          <w:color w:val="000000"/>
          <w:kern w:val="0"/>
          <w:sz w:val="22"/>
          <w:szCs w:val="22"/>
          <w14:ligatures w14:val="none"/>
        </w:rPr>
        <w:t>) arrangements, investor categories, and listing/trading logistics of the Global Offering.</w:t>
      </w:r>
    </w:p>
    <w:p w14:paraId="677C658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w:t>
      </w:r>
      <w:r w:rsidRPr="00E82D4E">
        <w:rPr>
          <w:rFonts w:ascii="Times New Roman" w:eastAsia="宋体" w:hAnsi="Times New Roman" w:cs="Times New Roman"/>
          <w:color w:val="000000"/>
          <w:kern w:val="0"/>
          <w:sz w:val="22"/>
          <w:szCs w:val="22"/>
          <w14:ligatures w14:val="none"/>
        </w:rPr>
        <w:br/>
        <w:t xml:space="preserve">The AI should present the structure in a logical sequence from overall offering size to tranche allocation, then pricing and conditions, and finally allocation results and settlement arrangements. The writing should be clear and </w:t>
      </w:r>
      <w:proofErr w:type="gramStart"/>
      <w:r w:rsidRPr="00E82D4E">
        <w:rPr>
          <w:rFonts w:ascii="Times New Roman" w:eastAsia="宋体" w:hAnsi="Times New Roman" w:cs="Times New Roman"/>
          <w:color w:val="000000"/>
          <w:kern w:val="0"/>
          <w:sz w:val="22"/>
          <w:szCs w:val="22"/>
          <w14:ligatures w14:val="none"/>
        </w:rPr>
        <w:t>explanatory, but</w:t>
      </w:r>
      <w:proofErr w:type="gramEnd"/>
      <w:r w:rsidRPr="00E82D4E">
        <w:rPr>
          <w:rFonts w:ascii="Times New Roman" w:eastAsia="宋体" w:hAnsi="Times New Roman" w:cs="Times New Roman"/>
          <w:color w:val="000000"/>
          <w:kern w:val="0"/>
          <w:sz w:val="22"/>
          <w:szCs w:val="22"/>
          <w14:ligatures w14:val="none"/>
        </w:rPr>
        <w:t xml:space="preserve"> remain formal and precise.</w:t>
      </w:r>
    </w:p>
    <w:p w14:paraId="2A4F15E1"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Offering size and tranche split</w:t>
      </w:r>
    </w:p>
    <w:p w14:paraId="37071090" w14:textId="77777777" w:rsidR="00E82D4E" w:rsidRPr="00E82D4E" w:rsidRDefault="00E82D4E" w:rsidP="00E82D4E">
      <w:pPr>
        <w:widowControl/>
        <w:numPr>
          <w:ilvl w:val="0"/>
          <w:numId w:val="20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state the total number of shares offered under the Global Offering and the split between the Hong Kong Public Offering tranche and the International Placing tranche.</w:t>
      </w:r>
    </w:p>
    <w:p w14:paraId="25132427" w14:textId="77777777" w:rsidR="00E82D4E" w:rsidRPr="00E82D4E" w:rsidRDefault="00E82D4E" w:rsidP="00E82D4E">
      <w:pPr>
        <w:widowControl/>
        <w:numPr>
          <w:ilvl w:val="0"/>
          <w:numId w:val="209"/>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provide initial allocation percentages and corresponding share numbers, and should clearly state any assumptions (e.g., assuming the Over-allotment Option is not exercised).</w:t>
      </w:r>
    </w:p>
    <w:p w14:paraId="6A5EBCB7" w14:textId="77777777" w:rsidR="00E82D4E" w:rsidRPr="00E82D4E" w:rsidRDefault="00E82D4E" w:rsidP="00E82D4E">
      <w:pPr>
        <w:widowControl/>
        <w:numPr>
          <w:ilvl w:val="0"/>
          <w:numId w:val="20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there are reserved shares (e.g., employee or preferential allocation), the AI should include them and specify how they fit into the overall structure.</w:t>
      </w:r>
    </w:p>
    <w:p w14:paraId="4F7A9C6F"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Hong Kong Public Offering tranche mechanics</w:t>
      </w:r>
    </w:p>
    <w:p w14:paraId="2DD03401" w14:textId="77777777" w:rsidR="00E82D4E" w:rsidRPr="00E82D4E" w:rsidRDefault="00E82D4E" w:rsidP="00E82D4E">
      <w:pPr>
        <w:widowControl/>
        <w:numPr>
          <w:ilvl w:val="0"/>
          <w:numId w:val="21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describe the target investor group (Hong Kong public investors) and application rules, including one application per applicant and board lot requirements (application must be in multiples of board lots).</w:t>
      </w:r>
    </w:p>
    <w:p w14:paraId="2767D07F" w14:textId="77777777" w:rsidR="00E82D4E" w:rsidRPr="00E82D4E" w:rsidRDefault="00E82D4E" w:rsidP="00E82D4E">
      <w:pPr>
        <w:widowControl/>
        <w:numPr>
          <w:ilvl w:val="0"/>
          <w:numId w:val="210"/>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describe the </w:t>
      </w:r>
      <w:proofErr w:type="spellStart"/>
      <w:r w:rsidRPr="00E82D4E">
        <w:rPr>
          <w:rFonts w:ascii="Times New Roman" w:eastAsia="宋体" w:hAnsi="Times New Roman" w:cs="Times New Roman"/>
          <w:color w:val="000000"/>
          <w:kern w:val="0"/>
          <w:sz w:val="22"/>
          <w:szCs w:val="22"/>
          <w14:ligatures w14:val="none"/>
        </w:rPr>
        <w:t>clawback</w:t>
      </w:r>
      <w:proofErr w:type="spellEnd"/>
      <w:r w:rsidRPr="00E82D4E">
        <w:rPr>
          <w:rFonts w:ascii="Times New Roman" w:eastAsia="宋体" w:hAnsi="Times New Roman" w:cs="Times New Roman"/>
          <w:color w:val="000000"/>
          <w:kern w:val="0"/>
          <w:sz w:val="22"/>
          <w:szCs w:val="22"/>
          <w14:ligatures w14:val="none"/>
        </w:rPr>
        <w:t>/reallocation mechanism and present the reallocation thresholds and resulting tranche percentage adjustments in a clear and rule-consistent manner.</w:t>
      </w:r>
    </w:p>
    <w:p w14:paraId="54B67293" w14:textId="77777777" w:rsidR="00E82D4E" w:rsidRPr="00E82D4E" w:rsidRDefault="00E82D4E" w:rsidP="00E82D4E">
      <w:pPr>
        <w:widowControl/>
        <w:numPr>
          <w:ilvl w:val="0"/>
          <w:numId w:val="21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ensure the </w:t>
      </w:r>
      <w:proofErr w:type="spellStart"/>
      <w:r w:rsidRPr="00E82D4E">
        <w:rPr>
          <w:rFonts w:ascii="Times New Roman" w:eastAsia="宋体" w:hAnsi="Times New Roman" w:cs="Times New Roman"/>
          <w:color w:val="000000"/>
          <w:kern w:val="0"/>
          <w:sz w:val="22"/>
          <w:szCs w:val="22"/>
          <w14:ligatures w14:val="none"/>
        </w:rPr>
        <w:t>clawback</w:t>
      </w:r>
      <w:proofErr w:type="spellEnd"/>
      <w:r w:rsidRPr="00E82D4E">
        <w:rPr>
          <w:rFonts w:ascii="Times New Roman" w:eastAsia="宋体" w:hAnsi="Times New Roman" w:cs="Times New Roman"/>
          <w:color w:val="000000"/>
          <w:kern w:val="0"/>
          <w:sz w:val="22"/>
          <w:szCs w:val="22"/>
          <w14:ligatures w14:val="none"/>
        </w:rPr>
        <w:t xml:space="preserve"> structure is described in a precise tiered format (e.g., subscription multiples thresholds and the corresponding reallocation outcomes).</w:t>
      </w:r>
    </w:p>
    <w:p w14:paraId="7656547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International Placing tranche mechanics</w:t>
      </w:r>
    </w:p>
    <w:p w14:paraId="68F2EB49" w14:textId="77777777" w:rsidR="00E82D4E" w:rsidRPr="00E82D4E" w:rsidRDefault="00E82D4E" w:rsidP="00E82D4E">
      <w:pPr>
        <w:widowControl/>
        <w:numPr>
          <w:ilvl w:val="0"/>
          <w:numId w:val="21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describe that the International Placing tranche is allocated to professional, institutional, and other international investors, and that allocation is determined through bookbuilding and underwriter allocation decisions.</w:t>
      </w:r>
    </w:p>
    <w:p w14:paraId="4A39472E" w14:textId="77777777" w:rsidR="00E82D4E" w:rsidRPr="00E82D4E" w:rsidRDefault="00E82D4E" w:rsidP="00E82D4E">
      <w:pPr>
        <w:widowControl/>
        <w:numPr>
          <w:ilvl w:val="0"/>
          <w:numId w:val="21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explain how the International Placing tranche size will adjust downward if </w:t>
      </w:r>
      <w:proofErr w:type="spellStart"/>
      <w:r w:rsidRPr="00E82D4E">
        <w:rPr>
          <w:rFonts w:ascii="Times New Roman" w:eastAsia="宋体" w:hAnsi="Times New Roman" w:cs="Times New Roman"/>
          <w:color w:val="000000"/>
          <w:kern w:val="0"/>
          <w:sz w:val="22"/>
          <w:szCs w:val="22"/>
          <w14:ligatures w14:val="none"/>
        </w:rPr>
        <w:t>clawback</w:t>
      </w:r>
      <w:proofErr w:type="spellEnd"/>
      <w:r w:rsidRPr="00E82D4E">
        <w:rPr>
          <w:rFonts w:ascii="Times New Roman" w:eastAsia="宋体" w:hAnsi="Times New Roman" w:cs="Times New Roman"/>
          <w:color w:val="000000"/>
          <w:kern w:val="0"/>
          <w:sz w:val="22"/>
          <w:szCs w:val="22"/>
          <w14:ligatures w14:val="none"/>
        </w:rPr>
        <w:t xml:space="preserve"> increases the Hong Kong tranche.</w:t>
      </w:r>
    </w:p>
    <w:p w14:paraId="126C8CA0" w14:textId="77777777" w:rsidR="00E82D4E" w:rsidRPr="00E82D4E" w:rsidRDefault="00E82D4E" w:rsidP="00E82D4E">
      <w:pPr>
        <w:widowControl/>
        <w:numPr>
          <w:ilvl w:val="0"/>
          <w:numId w:val="21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If cornerstone investors exist, the AI should state that cornerstone subscriptions form part of the International Placing and disclose cornerstone share quantities and lock-up restrictions (commonly six months), using prospectus-style language.</w:t>
      </w:r>
    </w:p>
    <w:p w14:paraId="695B9297"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Pricing mechanism and price determination</w:t>
      </w:r>
    </w:p>
    <w:p w14:paraId="79139B18" w14:textId="77777777" w:rsidR="00E82D4E" w:rsidRPr="00E82D4E" w:rsidRDefault="00E82D4E" w:rsidP="00E82D4E">
      <w:pPr>
        <w:widowControl/>
        <w:numPr>
          <w:ilvl w:val="0"/>
          <w:numId w:val="21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explain that the final offer price is determined within the indicated offer price range, typically based on bookbuilding results and agreement between the Company and Joint Global Coordinators.</w:t>
      </w:r>
    </w:p>
    <w:p w14:paraId="0031EBAC" w14:textId="77777777" w:rsidR="00E82D4E" w:rsidRPr="00E82D4E" w:rsidRDefault="00E82D4E" w:rsidP="00E82D4E">
      <w:pPr>
        <w:widowControl/>
        <w:numPr>
          <w:ilvl w:val="0"/>
          <w:numId w:val="21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emphasize that all investors in both tranches pay the same final offer price and should include timing references for the pricing date and announcement of results where the prospectus framework requires it.</w:t>
      </w:r>
    </w:p>
    <w:p w14:paraId="162AD40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Conditions for completion and refund logic</w:t>
      </w:r>
    </w:p>
    <w:p w14:paraId="04146F94" w14:textId="77777777" w:rsidR="00E82D4E" w:rsidRPr="00E82D4E" w:rsidRDefault="00E82D4E" w:rsidP="00E82D4E">
      <w:pPr>
        <w:widowControl/>
        <w:numPr>
          <w:ilvl w:val="0"/>
          <w:numId w:val="21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list key offering conditions, including sufficient subscription under the Hong Kong tranche, non-termination of underwriting, and listing approval.</w:t>
      </w:r>
    </w:p>
    <w:p w14:paraId="1F09459C" w14:textId="77777777" w:rsidR="00E82D4E" w:rsidRPr="00E82D4E" w:rsidRDefault="00E82D4E" w:rsidP="00E82D4E">
      <w:pPr>
        <w:widowControl/>
        <w:numPr>
          <w:ilvl w:val="0"/>
          <w:numId w:val="21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state that if conditions are not satisfied, the Global Offering will not proceed and application monies will be refunded, using standard formal phrasing.</w:t>
      </w:r>
    </w:p>
    <w:p w14:paraId="41C02A3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Impact of over-allotment option on structure</w:t>
      </w:r>
    </w:p>
    <w:p w14:paraId="0420B3BD" w14:textId="77777777" w:rsidR="00E82D4E" w:rsidRPr="00E82D4E" w:rsidRDefault="00E82D4E" w:rsidP="00E82D4E">
      <w:pPr>
        <w:widowControl/>
        <w:numPr>
          <w:ilvl w:val="0"/>
          <w:numId w:val="21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explain how exercise of the over-allotment option may increase the total number of shares in issue and may affect final allocation and share capital.</w:t>
      </w:r>
    </w:p>
    <w:p w14:paraId="759C03C4" w14:textId="77777777" w:rsidR="00E82D4E" w:rsidRPr="00E82D4E" w:rsidRDefault="00E82D4E" w:rsidP="00E82D4E">
      <w:pPr>
        <w:widowControl/>
        <w:numPr>
          <w:ilvl w:val="0"/>
          <w:numId w:val="21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disclosure should state that the Company will announce whether the option is exercised and that post-offering share capital figures may change accordingly.</w:t>
      </w:r>
    </w:p>
    <w:p w14:paraId="7D49798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Allocation basis and publication of results</w:t>
      </w:r>
    </w:p>
    <w:p w14:paraId="06C9001A" w14:textId="77777777" w:rsidR="00E82D4E" w:rsidRPr="00E82D4E" w:rsidRDefault="00E82D4E" w:rsidP="00E82D4E">
      <w:pPr>
        <w:widowControl/>
        <w:numPr>
          <w:ilvl w:val="0"/>
          <w:numId w:val="21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explain that Hong Kong Public Offering allocations are typically determined by ballot/draw if oversubscribed, and results are published through specified channels, while International Placing allocations are determined by underwriters based on bookbuilding allocation principles.</w:t>
      </w:r>
    </w:p>
    <w:p w14:paraId="68158BE2" w14:textId="77777777" w:rsidR="00E82D4E" w:rsidRPr="00E82D4E" w:rsidRDefault="00E82D4E" w:rsidP="00E82D4E">
      <w:pPr>
        <w:widowControl/>
        <w:numPr>
          <w:ilvl w:val="0"/>
          <w:numId w:val="21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emphasize fairness and compliance with public float requirements, referencing standard minimum public float expectations where the prospectus framework includes such statements.</w:t>
      </w:r>
    </w:p>
    <w:p w14:paraId="1DA43DE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Listing, trading, and settlement arrangements</w:t>
      </w:r>
    </w:p>
    <w:p w14:paraId="40E7E132" w14:textId="77777777" w:rsidR="00E82D4E" w:rsidRPr="00E82D4E" w:rsidRDefault="00E82D4E" w:rsidP="00E82D4E">
      <w:pPr>
        <w:widowControl/>
        <w:numPr>
          <w:ilvl w:val="0"/>
          <w:numId w:val="21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provide listing and trading details such as expected listing date, stock code, board lot size, and settlement method.</w:t>
      </w:r>
    </w:p>
    <w:p w14:paraId="1AB714EE" w14:textId="77777777" w:rsidR="00E82D4E" w:rsidRPr="00E82D4E" w:rsidRDefault="00E82D4E" w:rsidP="00E82D4E">
      <w:pPr>
        <w:widowControl/>
        <w:numPr>
          <w:ilvl w:val="0"/>
          <w:numId w:val="21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output should mention that shares will be admitted into CCASS and will settle through CCASS </w:t>
      </w:r>
      <w:proofErr w:type="gramStart"/>
      <w:r w:rsidRPr="00E82D4E">
        <w:rPr>
          <w:rFonts w:ascii="Times New Roman" w:eastAsia="宋体" w:hAnsi="Times New Roman" w:cs="Times New Roman"/>
          <w:color w:val="000000"/>
          <w:kern w:val="0"/>
          <w:sz w:val="22"/>
          <w:szCs w:val="22"/>
          <w14:ligatures w14:val="none"/>
        </w:rPr>
        <w:t>arrangements, and</w:t>
      </w:r>
      <w:proofErr w:type="gramEnd"/>
      <w:r w:rsidRPr="00E82D4E">
        <w:rPr>
          <w:rFonts w:ascii="Times New Roman" w:eastAsia="宋体" w:hAnsi="Times New Roman" w:cs="Times New Roman"/>
          <w:color w:val="000000"/>
          <w:kern w:val="0"/>
          <w:sz w:val="22"/>
          <w:szCs w:val="22"/>
          <w14:ligatures w14:val="none"/>
        </w:rPr>
        <w:t xml:space="preserve"> should clarify whether physical share certificates are issued or whether settlement is primarily electronic, consistent with the offering structure.</w:t>
      </w:r>
    </w:p>
    <w:p w14:paraId="7CAAB929"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Investor value</w:t>
      </w:r>
      <w:r w:rsidRPr="00E82D4E">
        <w:rPr>
          <w:rFonts w:ascii="Times New Roman" w:eastAsia="宋体" w:hAnsi="Times New Roman" w:cs="Times New Roman"/>
          <w:color w:val="000000"/>
          <w:kern w:val="0"/>
          <w:sz w:val="22"/>
          <w:szCs w:val="22"/>
          <w14:ligatures w14:val="none"/>
        </w:rPr>
        <w:br/>
        <w:t xml:space="preserve">By explaining tranche structure, pricing logic, </w:t>
      </w:r>
      <w:proofErr w:type="spellStart"/>
      <w:r w:rsidRPr="00E82D4E">
        <w:rPr>
          <w:rFonts w:ascii="Times New Roman" w:eastAsia="宋体" w:hAnsi="Times New Roman" w:cs="Times New Roman"/>
          <w:color w:val="000000"/>
          <w:kern w:val="0"/>
          <w:sz w:val="22"/>
          <w:szCs w:val="22"/>
          <w14:ligatures w14:val="none"/>
        </w:rPr>
        <w:t>clawback</w:t>
      </w:r>
      <w:proofErr w:type="spellEnd"/>
      <w:r w:rsidRPr="00E82D4E">
        <w:rPr>
          <w:rFonts w:ascii="Times New Roman" w:eastAsia="宋体" w:hAnsi="Times New Roman" w:cs="Times New Roman"/>
          <w:color w:val="000000"/>
          <w:kern w:val="0"/>
          <w:sz w:val="22"/>
          <w:szCs w:val="22"/>
          <w14:ligatures w14:val="none"/>
        </w:rPr>
        <w:t xml:space="preserve"> mechanics, allocation process, and settlement arrangements in an accessible but precise way, this section enables investors to understand how the offering works and what determines their chance of allocation and trading readiness post-listing.</w:t>
      </w:r>
    </w:p>
    <w:p w14:paraId="3C8E5DC5"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lastRenderedPageBreak/>
        <w:pict w14:anchorId="4EA15A40">
          <v:rect id="_x0000_i1026" alt="" style="width:415.3pt;height:.05pt;mso-width-percent:0;mso-height-percent:0;mso-width-percent:0;mso-height-percent:0" o:hralign="center" o:hrstd="t" o:hr="t" fillcolor="#a0a0a0" stroked="f"/>
        </w:pict>
      </w:r>
    </w:p>
    <w:p w14:paraId="3CB01C6B" w14:textId="77777777" w:rsidR="00E82D4E" w:rsidRPr="00E82D4E" w:rsidRDefault="00E82D4E" w:rsidP="00E82D4E">
      <w:pPr>
        <w:widowControl/>
        <w:spacing w:before="240" w:after="240"/>
        <w:jc w:val="left"/>
        <w:outlineLvl w:val="1"/>
        <w:rPr>
          <w:rFonts w:ascii="宋体" w:eastAsia="宋体" w:hAnsi="宋体" w:cs="宋体"/>
          <w:b/>
          <w:bCs/>
          <w:kern w:val="0"/>
          <w:sz w:val="36"/>
          <w:szCs w:val="36"/>
          <w14:ligatures w14:val="none"/>
        </w:rPr>
      </w:pPr>
      <w:r w:rsidRPr="00E82D4E">
        <w:rPr>
          <w:rFonts w:ascii="Times New Roman" w:eastAsia="宋体" w:hAnsi="Times New Roman" w:cs="Times New Roman"/>
          <w:b/>
          <w:bCs/>
          <w:color w:val="000000"/>
          <w:kern w:val="0"/>
          <w:sz w:val="32"/>
          <w:szCs w:val="32"/>
          <w14:ligatures w14:val="none"/>
        </w:rPr>
        <w:t>How to Apply for Hong Kong Offer Shares</w:t>
      </w:r>
      <w:r w:rsidRPr="00E82D4E">
        <w:rPr>
          <w:rFonts w:ascii="Times New Roman" w:eastAsia="宋体" w:hAnsi="Times New Roman" w:cs="Times New Roman"/>
          <w:color w:val="000000"/>
          <w:kern w:val="0"/>
          <w:sz w:val="32"/>
          <w:szCs w:val="32"/>
          <w14:ligatures w14:val="none"/>
        </w:rPr>
        <w:br/>
      </w:r>
      <w:r w:rsidRPr="00E82D4E">
        <w:rPr>
          <w:rFonts w:ascii="Times New Roman" w:eastAsia="宋体" w:hAnsi="Times New Roman" w:cs="Times New Roman"/>
          <w:color w:val="000000"/>
          <w:kern w:val="0"/>
          <w:sz w:val="32"/>
          <w:szCs w:val="32"/>
          <w14:ligatures w14:val="none"/>
        </w:rPr>
        <w:br/>
      </w:r>
    </w:p>
    <w:p w14:paraId="4B3F042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Purpose</w:t>
      </w:r>
      <w:r w:rsidRPr="00E82D4E">
        <w:rPr>
          <w:rFonts w:ascii="Times New Roman" w:eastAsia="宋体" w:hAnsi="Times New Roman" w:cs="Times New Roman"/>
          <w:color w:val="000000"/>
          <w:kern w:val="0"/>
          <w:sz w:val="22"/>
          <w:szCs w:val="22"/>
          <w14:ligatures w14:val="none"/>
        </w:rPr>
        <w:br/>
        <w:t>This section provides procedural guidance to investors who wish to apply for Hong Kong Offer Shares in the Hong Kong Public Offering, including eligibility, application channels, payment requirements, timelines, and post-application arrangements.</w:t>
      </w:r>
    </w:p>
    <w:p w14:paraId="4B8EE006"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Format</w:t>
      </w:r>
      <w:r w:rsidRPr="00E82D4E">
        <w:rPr>
          <w:rFonts w:ascii="Times New Roman" w:eastAsia="宋体" w:hAnsi="Times New Roman" w:cs="Times New Roman"/>
          <w:color w:val="000000"/>
          <w:kern w:val="0"/>
          <w:sz w:val="22"/>
          <w:szCs w:val="22"/>
          <w14:ligatures w14:val="none"/>
        </w:rPr>
        <w:br/>
        <w:t>The AI should draft this section as step-by-step procedural instructions with clear sub-headings and numbered steps where appropriate. The language must be direct, operational, and compliance-consistent, ensuring investors can follow the process correctly without ambiguity.</w:t>
      </w:r>
    </w:p>
    <w:p w14:paraId="4335253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Eligibility and basic rules</w:t>
      </w:r>
    </w:p>
    <w:p w14:paraId="68E08890" w14:textId="77777777" w:rsidR="00E82D4E" w:rsidRPr="00E82D4E" w:rsidRDefault="00E82D4E" w:rsidP="00E82D4E">
      <w:pPr>
        <w:widowControl/>
        <w:numPr>
          <w:ilvl w:val="0"/>
          <w:numId w:val="21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state who is eligible to apply and the basic application restrictions, including the “one application per applicant” rule and prohibitions on multiple or duplicate applications.</w:t>
      </w:r>
    </w:p>
    <w:p w14:paraId="08E3EC42" w14:textId="77777777" w:rsidR="00E82D4E" w:rsidRPr="00E82D4E" w:rsidRDefault="00E82D4E" w:rsidP="00E82D4E">
      <w:pPr>
        <w:widowControl/>
        <w:numPr>
          <w:ilvl w:val="0"/>
          <w:numId w:val="21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clarify that invalid, duplicate, or ineligible applications may be rejected, and should include the common rule that an applicant and joint applicants together may submit only one application.</w:t>
      </w:r>
    </w:p>
    <w:p w14:paraId="2AEB61B1" w14:textId="77777777" w:rsidR="00E82D4E" w:rsidRPr="00E82D4E" w:rsidRDefault="00E82D4E" w:rsidP="00E82D4E">
      <w:pPr>
        <w:widowControl/>
        <w:numPr>
          <w:ilvl w:val="0"/>
          <w:numId w:val="21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Where age or identification requirements are part of the standard offering documentation, the AI should state them clearly and neutrally as eligibility conditions.</w:t>
      </w:r>
    </w:p>
    <w:p w14:paraId="230F823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Application channels overview</w:t>
      </w:r>
    </w:p>
    <w:p w14:paraId="25044E2E" w14:textId="77777777" w:rsidR="00E82D4E" w:rsidRPr="00E82D4E" w:rsidRDefault="00E82D4E" w:rsidP="00E82D4E">
      <w:pPr>
        <w:widowControl/>
        <w:numPr>
          <w:ilvl w:val="0"/>
          <w:numId w:val="21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describe the permitted application methods and make clear that applicants should choose only one channel.</w:t>
      </w:r>
    </w:p>
    <w:p w14:paraId="31380365" w14:textId="77777777" w:rsidR="00E82D4E" w:rsidRPr="00E82D4E" w:rsidRDefault="00E82D4E" w:rsidP="00E82D4E">
      <w:pPr>
        <w:widowControl/>
        <w:numPr>
          <w:ilvl w:val="0"/>
          <w:numId w:val="218"/>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Typical channels include White Form </w:t>
      </w:r>
      <w:proofErr w:type="spellStart"/>
      <w:r w:rsidRPr="00E82D4E">
        <w:rPr>
          <w:rFonts w:ascii="Times New Roman" w:eastAsia="宋体" w:hAnsi="Times New Roman" w:cs="Times New Roman"/>
          <w:color w:val="000000"/>
          <w:kern w:val="0"/>
          <w:sz w:val="22"/>
          <w:szCs w:val="22"/>
          <w14:ligatures w14:val="none"/>
        </w:rPr>
        <w:t>eIPO</w:t>
      </w:r>
      <w:proofErr w:type="spellEnd"/>
      <w:r w:rsidRPr="00E82D4E">
        <w:rPr>
          <w:rFonts w:ascii="Times New Roman" w:eastAsia="宋体" w:hAnsi="Times New Roman" w:cs="Times New Roman"/>
          <w:color w:val="000000"/>
          <w:kern w:val="0"/>
          <w:sz w:val="22"/>
          <w:szCs w:val="22"/>
          <w14:ligatures w14:val="none"/>
        </w:rPr>
        <w:t xml:space="preserve"> online application, CCASS (Yellow Form) application through CCASS participants or investor participant accounts, and paper application forms if applicable.</w:t>
      </w:r>
    </w:p>
    <w:p w14:paraId="4CE6F482" w14:textId="77777777" w:rsidR="00E82D4E" w:rsidRPr="00E82D4E" w:rsidRDefault="00E82D4E" w:rsidP="00E82D4E">
      <w:pPr>
        <w:widowControl/>
        <w:numPr>
          <w:ilvl w:val="0"/>
          <w:numId w:val="21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clearly separate each channel and explain that using more than one channel may constitute multiple applications and may lead to rejection.</w:t>
      </w:r>
    </w:p>
    <w:p w14:paraId="533F0F9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 xml:space="preserve">White Form </w:t>
      </w:r>
      <w:proofErr w:type="spellStart"/>
      <w:r w:rsidRPr="00E82D4E">
        <w:rPr>
          <w:rFonts w:ascii="Times New Roman" w:eastAsia="宋体" w:hAnsi="Times New Roman" w:cs="Times New Roman"/>
          <w:b/>
          <w:bCs/>
          <w:color w:val="000000"/>
          <w:kern w:val="0"/>
          <w:sz w:val="22"/>
          <w:szCs w:val="22"/>
          <w14:ligatures w14:val="none"/>
        </w:rPr>
        <w:t>eIPO</w:t>
      </w:r>
      <w:proofErr w:type="spellEnd"/>
      <w:r w:rsidRPr="00E82D4E">
        <w:rPr>
          <w:rFonts w:ascii="Times New Roman" w:eastAsia="宋体" w:hAnsi="Times New Roman" w:cs="Times New Roman"/>
          <w:b/>
          <w:bCs/>
          <w:color w:val="000000"/>
          <w:kern w:val="0"/>
          <w:sz w:val="22"/>
          <w:szCs w:val="22"/>
          <w14:ligatures w14:val="none"/>
        </w:rPr>
        <w:t xml:space="preserve"> application steps</w:t>
      </w:r>
    </w:p>
    <w:p w14:paraId="35470BEC" w14:textId="77777777" w:rsidR="00E82D4E" w:rsidRPr="00E82D4E" w:rsidRDefault="00E82D4E" w:rsidP="00E82D4E">
      <w:pPr>
        <w:widowControl/>
        <w:numPr>
          <w:ilvl w:val="0"/>
          <w:numId w:val="219"/>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AI should provide step-by-step guidance for White Form </w:t>
      </w:r>
      <w:proofErr w:type="spellStart"/>
      <w:r w:rsidRPr="00E82D4E">
        <w:rPr>
          <w:rFonts w:ascii="Times New Roman" w:eastAsia="宋体" w:hAnsi="Times New Roman" w:cs="Times New Roman"/>
          <w:color w:val="000000"/>
          <w:kern w:val="0"/>
          <w:sz w:val="22"/>
          <w:szCs w:val="22"/>
          <w14:ligatures w14:val="none"/>
        </w:rPr>
        <w:t>eIPO</w:t>
      </w:r>
      <w:proofErr w:type="spellEnd"/>
      <w:r w:rsidRPr="00E82D4E">
        <w:rPr>
          <w:rFonts w:ascii="Times New Roman" w:eastAsia="宋体" w:hAnsi="Times New Roman" w:cs="Times New Roman"/>
          <w:color w:val="000000"/>
          <w:kern w:val="0"/>
          <w:sz w:val="22"/>
          <w:szCs w:val="22"/>
          <w14:ligatures w14:val="none"/>
        </w:rPr>
        <w:t xml:space="preserve"> applications, including accessing the designated platform, entering personal details, selecting board lot multiples, arranging payment, and obtaining an application reference number.</w:t>
      </w:r>
    </w:p>
    <w:p w14:paraId="01A12951" w14:textId="77777777" w:rsidR="00E82D4E" w:rsidRPr="00E82D4E" w:rsidRDefault="00E82D4E" w:rsidP="00E82D4E">
      <w:pPr>
        <w:widowControl/>
        <w:numPr>
          <w:ilvl w:val="0"/>
          <w:numId w:val="219"/>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include the opening and closing times for online application windows where such time precision is required by the prospectus framework.</w:t>
      </w:r>
    </w:p>
    <w:p w14:paraId="1EBAADF8"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CCASS (Yellow Form) application procedures</w:t>
      </w:r>
    </w:p>
    <w:p w14:paraId="7AB0B6A4" w14:textId="77777777" w:rsidR="00E82D4E" w:rsidRPr="00E82D4E" w:rsidRDefault="00E82D4E" w:rsidP="00E82D4E">
      <w:pPr>
        <w:widowControl/>
        <w:numPr>
          <w:ilvl w:val="0"/>
          <w:numId w:val="220"/>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 xml:space="preserve">The AI should explain CCASS application procedures in two common scenarios: applying through a broker or CCASS </w:t>
      </w:r>
      <w:proofErr w:type="gramStart"/>
      <w:r w:rsidRPr="00E82D4E">
        <w:rPr>
          <w:rFonts w:ascii="Times New Roman" w:eastAsia="宋体" w:hAnsi="Times New Roman" w:cs="Times New Roman"/>
          <w:color w:val="000000"/>
          <w:kern w:val="0"/>
          <w:sz w:val="22"/>
          <w:szCs w:val="22"/>
          <w14:ligatures w14:val="none"/>
        </w:rPr>
        <w:t>participant, and</w:t>
      </w:r>
      <w:proofErr w:type="gramEnd"/>
      <w:r w:rsidRPr="00E82D4E">
        <w:rPr>
          <w:rFonts w:ascii="Times New Roman" w:eastAsia="宋体" w:hAnsi="Times New Roman" w:cs="Times New Roman"/>
          <w:color w:val="000000"/>
          <w:kern w:val="0"/>
          <w:sz w:val="22"/>
          <w:szCs w:val="22"/>
          <w14:ligatures w14:val="none"/>
        </w:rPr>
        <w:t xml:space="preserve"> applying directly as a CCASS Investor Participant.</w:t>
      </w:r>
    </w:p>
    <w:p w14:paraId="685BBC15" w14:textId="77777777" w:rsidR="00E82D4E" w:rsidRPr="00E82D4E" w:rsidRDefault="00E82D4E" w:rsidP="00E82D4E">
      <w:pPr>
        <w:widowControl/>
        <w:numPr>
          <w:ilvl w:val="0"/>
          <w:numId w:val="220"/>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explain that shares allotted through CCASS applications will be credited to the applicant’s CCASS account (or held in CCASS nominee form) and that physical certificates may not be issued for such applications.</w:t>
      </w:r>
    </w:p>
    <w:p w14:paraId="224B558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Payment and fee components</w:t>
      </w:r>
    </w:p>
    <w:p w14:paraId="3F1C3AF0" w14:textId="77777777" w:rsidR="00E82D4E" w:rsidRPr="00E82D4E" w:rsidRDefault="00E82D4E" w:rsidP="00E82D4E">
      <w:pPr>
        <w:widowControl/>
        <w:numPr>
          <w:ilvl w:val="0"/>
          <w:numId w:val="221"/>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state that full payment is required at the time of application.</w:t>
      </w:r>
    </w:p>
    <w:p w14:paraId="390DD371" w14:textId="77777777" w:rsidR="00E82D4E" w:rsidRPr="00E82D4E" w:rsidRDefault="00E82D4E" w:rsidP="00E82D4E">
      <w:pPr>
        <w:widowControl/>
        <w:numPr>
          <w:ilvl w:val="0"/>
          <w:numId w:val="221"/>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describe the standard payment composition: application monies based on the maximum offer price (or as specified), plus brokerage commission and relevant transaction levies and trading fees, with the common “more paid will be refunded” logic.</w:t>
      </w:r>
    </w:p>
    <w:p w14:paraId="6275701D" w14:textId="77777777" w:rsidR="00E82D4E" w:rsidRPr="00E82D4E" w:rsidRDefault="00E82D4E" w:rsidP="00E82D4E">
      <w:pPr>
        <w:widowControl/>
        <w:numPr>
          <w:ilvl w:val="0"/>
          <w:numId w:val="221"/>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specific rates (e.g., brokerage commission percentage and transaction levy rates) are required, the AI should present them exactly as provided in input data and in the standard disclosure style, ensuring numerical accuracy and avoiding approximations.</w:t>
      </w:r>
    </w:p>
    <w:p w14:paraId="4E5AEF1D"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Application timetable and key dates</w:t>
      </w:r>
    </w:p>
    <w:p w14:paraId="1193F891" w14:textId="77777777" w:rsidR="00E82D4E" w:rsidRPr="00E82D4E" w:rsidRDefault="00E82D4E" w:rsidP="00E82D4E">
      <w:pPr>
        <w:widowControl/>
        <w:numPr>
          <w:ilvl w:val="0"/>
          <w:numId w:val="222"/>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present key timetable items for the Hong Kong Public Offering, including application opening time, application closing time, expected results announcement date, refund date, and share dispatch/crediting date, aligning with the offering timetable section.</w:t>
      </w:r>
    </w:p>
    <w:p w14:paraId="74B37BA9" w14:textId="77777777" w:rsidR="00E82D4E" w:rsidRPr="00E82D4E" w:rsidRDefault="00E82D4E" w:rsidP="00E82D4E">
      <w:pPr>
        <w:widowControl/>
        <w:numPr>
          <w:ilvl w:val="0"/>
          <w:numId w:val="222"/>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Time precision should match prospectus requirements, using exact date and time expressions rather than vague references.</w:t>
      </w:r>
    </w:p>
    <w:p w14:paraId="249BE9F3"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Application form completion guidance</w:t>
      </w:r>
    </w:p>
    <w:p w14:paraId="0C6AC3CE" w14:textId="77777777" w:rsidR="00E82D4E" w:rsidRPr="00E82D4E" w:rsidRDefault="00E82D4E" w:rsidP="00E82D4E">
      <w:pPr>
        <w:widowControl/>
        <w:numPr>
          <w:ilvl w:val="0"/>
          <w:numId w:val="223"/>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paper forms are used, the AI should include brief guidance on form completion (e.g., writing names clearly, joint applicant limits, submission location and deadline).</w:t>
      </w:r>
    </w:p>
    <w:p w14:paraId="76E675F9" w14:textId="77777777" w:rsidR="00E82D4E" w:rsidRPr="00E82D4E" w:rsidRDefault="00E82D4E" w:rsidP="00E82D4E">
      <w:pPr>
        <w:widowControl/>
        <w:numPr>
          <w:ilvl w:val="0"/>
          <w:numId w:val="223"/>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If paper forms are not used, the AI should still ensure investors understand the accuracy requirements of application details, as errors may invalidate an application.</w:t>
      </w:r>
    </w:p>
    <w:p w14:paraId="0248BDE2"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Declarations and undertakings by applicants</w:t>
      </w:r>
    </w:p>
    <w:p w14:paraId="3BA93449" w14:textId="77777777" w:rsidR="00E82D4E" w:rsidRPr="00E82D4E" w:rsidRDefault="00E82D4E" w:rsidP="00E82D4E">
      <w:pPr>
        <w:widowControl/>
        <w:numPr>
          <w:ilvl w:val="0"/>
          <w:numId w:val="224"/>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list the key declarations typically made by applicants, such as confirming they have read the prospectus, provided accurate information, made only one application, and agree to accept the final offer price and allocation outcome.</w:t>
      </w:r>
    </w:p>
    <w:p w14:paraId="65479C4D" w14:textId="77777777" w:rsidR="00E82D4E" w:rsidRPr="00E82D4E" w:rsidRDefault="00E82D4E" w:rsidP="00E82D4E">
      <w:pPr>
        <w:widowControl/>
        <w:numPr>
          <w:ilvl w:val="0"/>
          <w:numId w:val="224"/>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This part should be written in a formal, bullet-point style that resembles standard application declarations, keeping the language close to typical prospectus legal phrasing.</w:t>
      </w:r>
    </w:p>
    <w:p w14:paraId="07442745"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Personal data statement</w:t>
      </w:r>
    </w:p>
    <w:p w14:paraId="5CA327C1" w14:textId="77777777" w:rsidR="00E82D4E" w:rsidRPr="00E82D4E" w:rsidRDefault="00E82D4E" w:rsidP="00E82D4E">
      <w:pPr>
        <w:widowControl/>
        <w:numPr>
          <w:ilvl w:val="0"/>
          <w:numId w:val="225"/>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include a personal information collection statement explaining how applicant data will be used for identity verification, allocation, refunds, and related offering administration, and should reference Hong Kong privacy law principles, including applicants’ rights to access and correct personal data.</w:t>
      </w:r>
    </w:p>
    <w:p w14:paraId="7A38FEF6" w14:textId="77777777" w:rsidR="00E82D4E" w:rsidRPr="00E82D4E" w:rsidRDefault="00E82D4E" w:rsidP="00E82D4E">
      <w:pPr>
        <w:widowControl/>
        <w:numPr>
          <w:ilvl w:val="0"/>
          <w:numId w:val="225"/>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tone must be formal and compliance-focused, reflecting statutory notice style.</w:t>
      </w:r>
    </w:p>
    <w:p w14:paraId="779A1A2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Special arrangements and contingencies</w:t>
      </w:r>
    </w:p>
    <w:p w14:paraId="6DE93A14" w14:textId="77777777" w:rsidR="00E82D4E" w:rsidRPr="00E82D4E" w:rsidRDefault="00E82D4E" w:rsidP="00E82D4E">
      <w:pPr>
        <w:widowControl/>
        <w:numPr>
          <w:ilvl w:val="0"/>
          <w:numId w:val="226"/>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lastRenderedPageBreak/>
        <w:t>The AI should describe special arrangements such as bad weather procedures (e.g., typhoon signal or black rainstorm warning), explaining how application deadlines may be extended and how announcements will be made.</w:t>
      </w:r>
    </w:p>
    <w:p w14:paraId="2766063B" w14:textId="77777777" w:rsidR="00E82D4E" w:rsidRPr="00E82D4E" w:rsidRDefault="00E82D4E" w:rsidP="00E82D4E">
      <w:pPr>
        <w:widowControl/>
        <w:numPr>
          <w:ilvl w:val="0"/>
          <w:numId w:val="226"/>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 xml:space="preserve">The output should structure these contingencies </w:t>
      </w:r>
      <w:proofErr w:type="gramStart"/>
      <w:r w:rsidRPr="00E82D4E">
        <w:rPr>
          <w:rFonts w:ascii="Times New Roman" w:eastAsia="宋体" w:hAnsi="Times New Roman" w:cs="Times New Roman"/>
          <w:color w:val="000000"/>
          <w:kern w:val="0"/>
          <w:sz w:val="22"/>
          <w:szCs w:val="22"/>
          <w14:ligatures w14:val="none"/>
        </w:rPr>
        <w:t>clearly</w:t>
      </w:r>
      <w:proofErr w:type="gramEnd"/>
      <w:r w:rsidRPr="00E82D4E">
        <w:rPr>
          <w:rFonts w:ascii="Times New Roman" w:eastAsia="宋体" w:hAnsi="Times New Roman" w:cs="Times New Roman"/>
          <w:color w:val="000000"/>
          <w:kern w:val="0"/>
          <w:sz w:val="22"/>
          <w:szCs w:val="22"/>
          <w14:ligatures w14:val="none"/>
        </w:rPr>
        <w:t xml:space="preserve"> so applicants understand scenario triggers and resulting timetable changes.</w:t>
      </w:r>
    </w:p>
    <w:p w14:paraId="1009CDBE"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Results announcement, refunds, and share delivery</w:t>
      </w:r>
    </w:p>
    <w:p w14:paraId="6326B05D" w14:textId="77777777" w:rsidR="00E82D4E" w:rsidRPr="00E82D4E" w:rsidRDefault="00E82D4E" w:rsidP="00E82D4E">
      <w:pPr>
        <w:widowControl/>
        <w:numPr>
          <w:ilvl w:val="0"/>
          <w:numId w:val="227"/>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explain how applicants can check allocation results (e.g., publication in newspapers and designated websites, identification by partial ID codes), and how refunds are processed for unsuccessful or partially successful applications.</w:t>
      </w:r>
    </w:p>
    <w:p w14:paraId="5E48BE6B" w14:textId="77777777" w:rsidR="00E82D4E" w:rsidRPr="00E82D4E" w:rsidRDefault="00E82D4E" w:rsidP="00E82D4E">
      <w:pPr>
        <w:widowControl/>
        <w:numPr>
          <w:ilvl w:val="0"/>
          <w:numId w:val="227"/>
        </w:numPr>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explain how shares are delivered: physical share certificates for White Form applicants where applicable, and CCASS crediting for CCASS applicants, with clear timing and method descriptions.</w:t>
      </w:r>
    </w:p>
    <w:p w14:paraId="27BDF886" w14:textId="77777777" w:rsidR="00E82D4E" w:rsidRPr="00E82D4E" w:rsidRDefault="00E82D4E" w:rsidP="00E82D4E">
      <w:pPr>
        <w:widowControl/>
        <w:numPr>
          <w:ilvl w:val="0"/>
          <w:numId w:val="227"/>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output should remind applicants of any identification requirements for in-person collection if that option exists.</w:t>
      </w:r>
    </w:p>
    <w:p w14:paraId="3DF3E480"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Trading and post-allocation reminder</w:t>
      </w:r>
    </w:p>
    <w:p w14:paraId="5091E8B4" w14:textId="77777777" w:rsidR="00E82D4E" w:rsidRPr="00E82D4E" w:rsidRDefault="00E82D4E" w:rsidP="00E82D4E">
      <w:pPr>
        <w:widowControl/>
        <w:numPr>
          <w:ilvl w:val="0"/>
          <w:numId w:val="228"/>
        </w:numPr>
        <w:spacing w:before="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AI should state when trading is expected to commence and remind investors that trading should only occur after results are formally announced, cautioning against speculative trading before official allocation confirmation.</w:t>
      </w:r>
    </w:p>
    <w:p w14:paraId="089911F1" w14:textId="77777777" w:rsidR="00E82D4E" w:rsidRPr="00E82D4E" w:rsidRDefault="00E82D4E" w:rsidP="00E82D4E">
      <w:pPr>
        <w:widowControl/>
        <w:numPr>
          <w:ilvl w:val="0"/>
          <w:numId w:val="228"/>
        </w:numPr>
        <w:spacing w:after="240"/>
        <w:jc w:val="left"/>
        <w:textAlignment w:val="baseline"/>
        <w:rPr>
          <w:rFonts w:ascii="Times New Roman" w:eastAsia="宋体" w:hAnsi="Times New Roman" w:cs="Times New Roman"/>
          <w:color w:val="000000"/>
          <w:kern w:val="0"/>
          <w:sz w:val="22"/>
          <w:szCs w:val="22"/>
          <w14:ligatures w14:val="none"/>
        </w:rPr>
      </w:pPr>
      <w:r w:rsidRPr="00E82D4E">
        <w:rPr>
          <w:rFonts w:ascii="Times New Roman" w:eastAsia="宋体" w:hAnsi="Times New Roman" w:cs="Times New Roman"/>
          <w:color w:val="000000"/>
          <w:kern w:val="0"/>
          <w:sz w:val="22"/>
          <w:szCs w:val="22"/>
          <w14:ligatures w14:val="none"/>
        </w:rPr>
        <w:t>The language should be short and practical, reinforcing process clarity and investor risk awareness.</w:t>
      </w:r>
    </w:p>
    <w:p w14:paraId="73520824"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b/>
          <w:bCs/>
          <w:color w:val="000000"/>
          <w:kern w:val="0"/>
          <w:sz w:val="22"/>
          <w:szCs w:val="22"/>
          <w14:ligatures w14:val="none"/>
        </w:rPr>
        <w:t>Investor value</w:t>
      </w:r>
      <w:r w:rsidRPr="00E82D4E">
        <w:rPr>
          <w:rFonts w:ascii="Times New Roman" w:eastAsia="宋体" w:hAnsi="Times New Roman" w:cs="Times New Roman"/>
          <w:color w:val="000000"/>
          <w:kern w:val="0"/>
          <w:sz w:val="22"/>
          <w:szCs w:val="22"/>
          <w14:ligatures w14:val="none"/>
        </w:rPr>
        <w:br/>
        <w:t xml:space="preserve">By providing complete, step-by-step application instructions with precise deadlines, payment requirements, and post-application logistics, this section ensures retail investors can participate correctly in the Hong Kong Public Offering and understand what to expect after </w:t>
      </w:r>
      <w:proofErr w:type="gramStart"/>
      <w:r w:rsidRPr="00E82D4E">
        <w:rPr>
          <w:rFonts w:ascii="Times New Roman" w:eastAsia="宋体" w:hAnsi="Times New Roman" w:cs="Times New Roman"/>
          <w:color w:val="000000"/>
          <w:kern w:val="0"/>
          <w:sz w:val="22"/>
          <w:szCs w:val="22"/>
          <w14:ligatures w14:val="none"/>
        </w:rPr>
        <w:t>submitting an application</w:t>
      </w:r>
      <w:proofErr w:type="gramEnd"/>
      <w:r w:rsidRPr="00E82D4E">
        <w:rPr>
          <w:rFonts w:ascii="Times New Roman" w:eastAsia="宋体" w:hAnsi="Times New Roman" w:cs="Times New Roman"/>
          <w:color w:val="000000"/>
          <w:kern w:val="0"/>
          <w:sz w:val="22"/>
          <w:szCs w:val="22"/>
          <w14:ligatures w14:val="none"/>
        </w:rPr>
        <w:t>.</w:t>
      </w:r>
    </w:p>
    <w:p w14:paraId="2D0F32C2" w14:textId="77777777" w:rsidR="00E82D4E" w:rsidRPr="00E82D4E" w:rsidRDefault="00324029" w:rsidP="00E82D4E">
      <w:pPr>
        <w:widowControl/>
        <w:jc w:val="left"/>
        <w:rPr>
          <w:rFonts w:ascii="宋体" w:eastAsia="宋体" w:hAnsi="宋体" w:cs="宋体"/>
          <w:kern w:val="0"/>
          <w:sz w:val="24"/>
          <w14:ligatures w14:val="none"/>
        </w:rPr>
      </w:pPr>
      <w:r w:rsidRPr="00324029">
        <w:rPr>
          <w:rFonts w:ascii="宋体" w:eastAsia="宋体" w:hAnsi="宋体" w:cs="宋体"/>
          <w:noProof/>
          <w:kern w:val="0"/>
          <w:sz w:val="24"/>
        </w:rPr>
        <w:pict w14:anchorId="1F102231">
          <v:rect id="_x0000_i1025" alt="" style="width:415.3pt;height:.05pt;mso-width-percent:0;mso-height-percent:0;mso-width-percent:0;mso-height-percent:0" o:hralign="center" o:hrstd="t" o:hr="t" fillcolor="#a0a0a0" stroked="f"/>
        </w:pict>
      </w:r>
    </w:p>
    <w:p w14:paraId="3B1B02AF" w14:textId="77777777" w:rsidR="00E82D4E" w:rsidRPr="00E82D4E" w:rsidRDefault="00E82D4E" w:rsidP="00E82D4E">
      <w:pPr>
        <w:widowControl/>
        <w:spacing w:before="240" w:after="240"/>
        <w:jc w:val="left"/>
        <w:outlineLvl w:val="0"/>
        <w:rPr>
          <w:rFonts w:ascii="宋体" w:eastAsia="宋体" w:hAnsi="宋体" w:cs="宋体"/>
          <w:b/>
          <w:bCs/>
          <w:kern w:val="36"/>
          <w:sz w:val="48"/>
          <w:szCs w:val="48"/>
          <w14:ligatures w14:val="none"/>
        </w:rPr>
      </w:pPr>
      <w:r w:rsidRPr="00E82D4E">
        <w:rPr>
          <w:rFonts w:ascii="Times New Roman" w:eastAsia="宋体" w:hAnsi="Times New Roman" w:cs="Times New Roman"/>
          <w:color w:val="000000"/>
          <w:kern w:val="36"/>
          <w:sz w:val="40"/>
          <w:szCs w:val="40"/>
          <w14:ligatures w14:val="none"/>
        </w:rPr>
        <w:t>Overall requirement</w:t>
      </w:r>
    </w:p>
    <w:p w14:paraId="1642D4FC" w14:textId="77777777" w:rsidR="00E82D4E" w:rsidRPr="00E82D4E" w:rsidRDefault="00E82D4E" w:rsidP="00E82D4E">
      <w:pPr>
        <w:widowControl/>
        <w:spacing w:before="240" w:after="240"/>
        <w:jc w:val="left"/>
        <w:rPr>
          <w:rFonts w:ascii="宋体" w:eastAsia="宋体" w:hAnsi="宋体" w:cs="宋体"/>
          <w:kern w:val="0"/>
          <w:sz w:val="24"/>
          <w14:ligatures w14:val="none"/>
        </w:rPr>
      </w:pPr>
      <w:r w:rsidRPr="00E82D4E">
        <w:rPr>
          <w:rFonts w:ascii="Times New Roman" w:eastAsia="宋体" w:hAnsi="Times New Roman" w:cs="Times New Roman"/>
          <w:color w:val="000000"/>
          <w:kern w:val="0"/>
          <w:sz w:val="22"/>
          <w:szCs w:val="22"/>
          <w14:ligatures w14:val="none"/>
        </w:rPr>
        <w:t xml:space="preserve">All sections must follow </w:t>
      </w:r>
      <w:r w:rsidRPr="00E82D4E">
        <w:rPr>
          <w:rFonts w:ascii="Times New Roman" w:eastAsia="宋体" w:hAnsi="Times New Roman" w:cs="Times New Roman"/>
          <w:b/>
          <w:bCs/>
          <w:color w:val="000000"/>
          <w:kern w:val="0"/>
          <w:sz w:val="22"/>
          <w:szCs w:val="22"/>
          <w14:ligatures w14:val="none"/>
        </w:rPr>
        <w:t>structured formatting, precise terminology, and compliant disclosure language</w:t>
      </w:r>
      <w:r w:rsidRPr="00E82D4E">
        <w:rPr>
          <w:rFonts w:ascii="Times New Roman" w:eastAsia="宋体" w:hAnsi="Times New Roman" w:cs="Times New Roman"/>
          <w:color w:val="000000"/>
          <w:kern w:val="0"/>
          <w:sz w:val="22"/>
          <w:szCs w:val="22"/>
          <w14:ligatures w14:val="none"/>
        </w:rPr>
        <w:t>, ensuring the prospectus content is professional, accurate, and fully aligned with Hong Kong listing standards.</w:t>
      </w:r>
    </w:p>
    <w:p w14:paraId="1CF1801F" w14:textId="77777777" w:rsidR="00E82D4E" w:rsidRPr="00E82D4E" w:rsidRDefault="00E82D4E" w:rsidP="00E82D4E">
      <w:pPr>
        <w:widowControl/>
        <w:spacing w:after="240"/>
        <w:jc w:val="left"/>
        <w:rPr>
          <w:rFonts w:ascii="宋体" w:eastAsia="宋体" w:hAnsi="宋体" w:cs="宋体"/>
          <w:kern w:val="0"/>
          <w:sz w:val="24"/>
          <w14:ligatures w14:val="none"/>
        </w:rPr>
      </w:pPr>
    </w:p>
    <w:p w14:paraId="77CCDE0E" w14:textId="77777777" w:rsidR="00E82D4E" w:rsidRPr="00E82D4E" w:rsidRDefault="00E82D4E" w:rsidP="00E82D4E">
      <w:pPr>
        <w:widowControl/>
        <w:jc w:val="left"/>
        <w:rPr>
          <w:rFonts w:ascii="宋体" w:eastAsia="宋体" w:hAnsi="宋体" w:cs="宋体"/>
          <w:kern w:val="0"/>
          <w:sz w:val="24"/>
          <w14:ligatures w14:val="none"/>
        </w:rPr>
      </w:pPr>
    </w:p>
    <w:p w14:paraId="681157C3" w14:textId="77777777" w:rsidR="003230EB" w:rsidRPr="00E82D4E" w:rsidRDefault="003230EB"/>
    <w:sectPr w:rsidR="003230EB" w:rsidRPr="00E82D4E" w:rsidSect="00E82D4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6278C"/>
    <w:multiLevelType w:val="multilevel"/>
    <w:tmpl w:val="DF3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4C4E"/>
    <w:multiLevelType w:val="multilevel"/>
    <w:tmpl w:val="12E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3A06"/>
    <w:multiLevelType w:val="multilevel"/>
    <w:tmpl w:val="839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21219"/>
    <w:multiLevelType w:val="multilevel"/>
    <w:tmpl w:val="DA8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D3764"/>
    <w:multiLevelType w:val="multilevel"/>
    <w:tmpl w:val="476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C69EE"/>
    <w:multiLevelType w:val="multilevel"/>
    <w:tmpl w:val="364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47B18"/>
    <w:multiLevelType w:val="multilevel"/>
    <w:tmpl w:val="325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145FC"/>
    <w:multiLevelType w:val="multilevel"/>
    <w:tmpl w:val="344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8676D"/>
    <w:multiLevelType w:val="multilevel"/>
    <w:tmpl w:val="1C38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F4604"/>
    <w:multiLevelType w:val="multilevel"/>
    <w:tmpl w:val="998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D0E5A"/>
    <w:multiLevelType w:val="multilevel"/>
    <w:tmpl w:val="799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A1042"/>
    <w:multiLevelType w:val="multilevel"/>
    <w:tmpl w:val="E5C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D2560"/>
    <w:multiLevelType w:val="multilevel"/>
    <w:tmpl w:val="31A8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329EE"/>
    <w:multiLevelType w:val="multilevel"/>
    <w:tmpl w:val="985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C072E"/>
    <w:multiLevelType w:val="multilevel"/>
    <w:tmpl w:val="3A3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06428"/>
    <w:multiLevelType w:val="multilevel"/>
    <w:tmpl w:val="59E8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1682A"/>
    <w:multiLevelType w:val="multilevel"/>
    <w:tmpl w:val="9CFA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35456"/>
    <w:multiLevelType w:val="multilevel"/>
    <w:tmpl w:val="71A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3452F"/>
    <w:multiLevelType w:val="multilevel"/>
    <w:tmpl w:val="BC1E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67AD1"/>
    <w:multiLevelType w:val="multilevel"/>
    <w:tmpl w:val="E250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10625"/>
    <w:multiLevelType w:val="multilevel"/>
    <w:tmpl w:val="EF5C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903854"/>
    <w:multiLevelType w:val="multilevel"/>
    <w:tmpl w:val="3660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30FBB"/>
    <w:multiLevelType w:val="multilevel"/>
    <w:tmpl w:val="60F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07A97"/>
    <w:multiLevelType w:val="multilevel"/>
    <w:tmpl w:val="87F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F11E3A"/>
    <w:multiLevelType w:val="multilevel"/>
    <w:tmpl w:val="941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C3593"/>
    <w:multiLevelType w:val="multilevel"/>
    <w:tmpl w:val="F55C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86012"/>
    <w:multiLevelType w:val="multilevel"/>
    <w:tmpl w:val="DBF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504A8"/>
    <w:multiLevelType w:val="multilevel"/>
    <w:tmpl w:val="84F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148BB"/>
    <w:multiLevelType w:val="multilevel"/>
    <w:tmpl w:val="C27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A3AEB"/>
    <w:multiLevelType w:val="multilevel"/>
    <w:tmpl w:val="2DA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807E3"/>
    <w:multiLevelType w:val="multilevel"/>
    <w:tmpl w:val="7DE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14096C"/>
    <w:multiLevelType w:val="multilevel"/>
    <w:tmpl w:val="2A7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A0C10"/>
    <w:multiLevelType w:val="multilevel"/>
    <w:tmpl w:val="0D6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981268"/>
    <w:multiLevelType w:val="multilevel"/>
    <w:tmpl w:val="89A0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C0207"/>
    <w:multiLevelType w:val="multilevel"/>
    <w:tmpl w:val="E7F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F6AFA"/>
    <w:multiLevelType w:val="multilevel"/>
    <w:tmpl w:val="936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CA73BB"/>
    <w:multiLevelType w:val="multilevel"/>
    <w:tmpl w:val="3C4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8491E"/>
    <w:multiLevelType w:val="multilevel"/>
    <w:tmpl w:val="B22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C45E2"/>
    <w:multiLevelType w:val="multilevel"/>
    <w:tmpl w:val="600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C91E4D"/>
    <w:multiLevelType w:val="multilevel"/>
    <w:tmpl w:val="3D8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DB6A0B"/>
    <w:multiLevelType w:val="multilevel"/>
    <w:tmpl w:val="D36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F4289B"/>
    <w:multiLevelType w:val="multilevel"/>
    <w:tmpl w:val="F8B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434AF"/>
    <w:multiLevelType w:val="multilevel"/>
    <w:tmpl w:val="C5F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8C5B6D"/>
    <w:multiLevelType w:val="multilevel"/>
    <w:tmpl w:val="536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C3411"/>
    <w:multiLevelType w:val="multilevel"/>
    <w:tmpl w:val="4C2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BD1347"/>
    <w:multiLevelType w:val="multilevel"/>
    <w:tmpl w:val="677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1F3D39"/>
    <w:multiLevelType w:val="multilevel"/>
    <w:tmpl w:val="E10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51F1D"/>
    <w:multiLevelType w:val="multilevel"/>
    <w:tmpl w:val="8B0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A83CBD"/>
    <w:multiLevelType w:val="multilevel"/>
    <w:tmpl w:val="E3B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4B4790"/>
    <w:multiLevelType w:val="multilevel"/>
    <w:tmpl w:val="5D3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955E62"/>
    <w:multiLevelType w:val="multilevel"/>
    <w:tmpl w:val="3AE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2C027A"/>
    <w:multiLevelType w:val="multilevel"/>
    <w:tmpl w:val="446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CE418F"/>
    <w:multiLevelType w:val="multilevel"/>
    <w:tmpl w:val="860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EF1EF6"/>
    <w:multiLevelType w:val="multilevel"/>
    <w:tmpl w:val="F59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217DE"/>
    <w:multiLevelType w:val="multilevel"/>
    <w:tmpl w:val="85CC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C2326C"/>
    <w:multiLevelType w:val="multilevel"/>
    <w:tmpl w:val="4F5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1E664B"/>
    <w:multiLevelType w:val="multilevel"/>
    <w:tmpl w:val="1C1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DA1E40"/>
    <w:multiLevelType w:val="multilevel"/>
    <w:tmpl w:val="82A2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FB02B7"/>
    <w:multiLevelType w:val="multilevel"/>
    <w:tmpl w:val="BB8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8E026E"/>
    <w:multiLevelType w:val="multilevel"/>
    <w:tmpl w:val="B1C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922E8A"/>
    <w:multiLevelType w:val="multilevel"/>
    <w:tmpl w:val="592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8217A"/>
    <w:multiLevelType w:val="multilevel"/>
    <w:tmpl w:val="F01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265E0A"/>
    <w:multiLevelType w:val="multilevel"/>
    <w:tmpl w:val="042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860DC9"/>
    <w:multiLevelType w:val="multilevel"/>
    <w:tmpl w:val="F72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D67E94"/>
    <w:multiLevelType w:val="multilevel"/>
    <w:tmpl w:val="A0E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6977A0"/>
    <w:multiLevelType w:val="multilevel"/>
    <w:tmpl w:val="229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755E02"/>
    <w:multiLevelType w:val="multilevel"/>
    <w:tmpl w:val="77D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841651"/>
    <w:multiLevelType w:val="multilevel"/>
    <w:tmpl w:val="B2D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9A52A2"/>
    <w:multiLevelType w:val="multilevel"/>
    <w:tmpl w:val="AD9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9F1283"/>
    <w:multiLevelType w:val="multilevel"/>
    <w:tmpl w:val="C6A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F02FEC"/>
    <w:multiLevelType w:val="multilevel"/>
    <w:tmpl w:val="411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961301"/>
    <w:multiLevelType w:val="multilevel"/>
    <w:tmpl w:val="6FE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F84B80"/>
    <w:multiLevelType w:val="multilevel"/>
    <w:tmpl w:val="470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2467C6"/>
    <w:multiLevelType w:val="multilevel"/>
    <w:tmpl w:val="A39E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315F5C"/>
    <w:multiLevelType w:val="multilevel"/>
    <w:tmpl w:val="3FA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426307"/>
    <w:multiLevelType w:val="multilevel"/>
    <w:tmpl w:val="ADC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CC445A"/>
    <w:multiLevelType w:val="multilevel"/>
    <w:tmpl w:val="FFD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9E33E9"/>
    <w:multiLevelType w:val="multilevel"/>
    <w:tmpl w:val="39E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110DF9"/>
    <w:multiLevelType w:val="multilevel"/>
    <w:tmpl w:val="7DF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AB11D5"/>
    <w:multiLevelType w:val="multilevel"/>
    <w:tmpl w:val="74F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586FC3"/>
    <w:multiLevelType w:val="multilevel"/>
    <w:tmpl w:val="A75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5C29E7"/>
    <w:multiLevelType w:val="multilevel"/>
    <w:tmpl w:val="8B4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936373"/>
    <w:multiLevelType w:val="multilevel"/>
    <w:tmpl w:val="08F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212259"/>
    <w:multiLevelType w:val="multilevel"/>
    <w:tmpl w:val="F13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122987"/>
    <w:multiLevelType w:val="multilevel"/>
    <w:tmpl w:val="AB28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540EF2"/>
    <w:multiLevelType w:val="multilevel"/>
    <w:tmpl w:val="FA3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A968C0"/>
    <w:multiLevelType w:val="multilevel"/>
    <w:tmpl w:val="9ED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E1345D"/>
    <w:multiLevelType w:val="multilevel"/>
    <w:tmpl w:val="02A6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372105"/>
    <w:multiLevelType w:val="multilevel"/>
    <w:tmpl w:val="F72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BC2453"/>
    <w:multiLevelType w:val="multilevel"/>
    <w:tmpl w:val="7A9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35245C"/>
    <w:multiLevelType w:val="multilevel"/>
    <w:tmpl w:val="094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546633"/>
    <w:multiLevelType w:val="multilevel"/>
    <w:tmpl w:val="12B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2E023D"/>
    <w:multiLevelType w:val="multilevel"/>
    <w:tmpl w:val="31F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B55378"/>
    <w:multiLevelType w:val="multilevel"/>
    <w:tmpl w:val="E76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DE65D0"/>
    <w:multiLevelType w:val="multilevel"/>
    <w:tmpl w:val="64A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0A6DF6"/>
    <w:multiLevelType w:val="multilevel"/>
    <w:tmpl w:val="9B5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813D92"/>
    <w:multiLevelType w:val="multilevel"/>
    <w:tmpl w:val="9D0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8707B0"/>
    <w:multiLevelType w:val="multilevel"/>
    <w:tmpl w:val="31E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9C41D8"/>
    <w:multiLevelType w:val="multilevel"/>
    <w:tmpl w:val="55E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D51525"/>
    <w:multiLevelType w:val="multilevel"/>
    <w:tmpl w:val="CF5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165017"/>
    <w:multiLevelType w:val="multilevel"/>
    <w:tmpl w:val="955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3E2F89"/>
    <w:multiLevelType w:val="multilevel"/>
    <w:tmpl w:val="C65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A9538F"/>
    <w:multiLevelType w:val="multilevel"/>
    <w:tmpl w:val="D5AC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DD009E"/>
    <w:multiLevelType w:val="multilevel"/>
    <w:tmpl w:val="A6D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DE1E01"/>
    <w:multiLevelType w:val="multilevel"/>
    <w:tmpl w:val="76A0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EE5443"/>
    <w:multiLevelType w:val="multilevel"/>
    <w:tmpl w:val="924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D14CBE"/>
    <w:multiLevelType w:val="multilevel"/>
    <w:tmpl w:val="BC3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133CB9"/>
    <w:multiLevelType w:val="multilevel"/>
    <w:tmpl w:val="AA4E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6D29E2"/>
    <w:multiLevelType w:val="multilevel"/>
    <w:tmpl w:val="E57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7013D9"/>
    <w:multiLevelType w:val="multilevel"/>
    <w:tmpl w:val="3A5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FB672A"/>
    <w:multiLevelType w:val="multilevel"/>
    <w:tmpl w:val="E86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13061E"/>
    <w:multiLevelType w:val="multilevel"/>
    <w:tmpl w:val="D4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C949F8"/>
    <w:multiLevelType w:val="multilevel"/>
    <w:tmpl w:val="EE2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D21799"/>
    <w:multiLevelType w:val="multilevel"/>
    <w:tmpl w:val="055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E450D8"/>
    <w:multiLevelType w:val="multilevel"/>
    <w:tmpl w:val="475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1825C0"/>
    <w:multiLevelType w:val="multilevel"/>
    <w:tmpl w:val="CD3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55189F"/>
    <w:multiLevelType w:val="multilevel"/>
    <w:tmpl w:val="648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726B20"/>
    <w:multiLevelType w:val="multilevel"/>
    <w:tmpl w:val="EBC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7C7DA6"/>
    <w:multiLevelType w:val="multilevel"/>
    <w:tmpl w:val="453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866AA7"/>
    <w:multiLevelType w:val="multilevel"/>
    <w:tmpl w:val="9F7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8C5316"/>
    <w:multiLevelType w:val="multilevel"/>
    <w:tmpl w:val="621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A16764"/>
    <w:multiLevelType w:val="multilevel"/>
    <w:tmpl w:val="701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4703CF"/>
    <w:multiLevelType w:val="multilevel"/>
    <w:tmpl w:val="7114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2D799E"/>
    <w:multiLevelType w:val="multilevel"/>
    <w:tmpl w:val="F55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2D3A76"/>
    <w:multiLevelType w:val="multilevel"/>
    <w:tmpl w:val="0D0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0058D2"/>
    <w:multiLevelType w:val="multilevel"/>
    <w:tmpl w:val="532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FE0563"/>
    <w:multiLevelType w:val="multilevel"/>
    <w:tmpl w:val="CE76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987DE7"/>
    <w:multiLevelType w:val="multilevel"/>
    <w:tmpl w:val="CD58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A037BA"/>
    <w:multiLevelType w:val="multilevel"/>
    <w:tmpl w:val="18D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C0003C"/>
    <w:multiLevelType w:val="multilevel"/>
    <w:tmpl w:val="415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1974E7"/>
    <w:multiLevelType w:val="multilevel"/>
    <w:tmpl w:val="477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096761"/>
    <w:multiLevelType w:val="multilevel"/>
    <w:tmpl w:val="7E70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6E57D4"/>
    <w:multiLevelType w:val="multilevel"/>
    <w:tmpl w:val="453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825900"/>
    <w:multiLevelType w:val="multilevel"/>
    <w:tmpl w:val="2B6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436C6"/>
    <w:multiLevelType w:val="multilevel"/>
    <w:tmpl w:val="336C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B15F72"/>
    <w:multiLevelType w:val="multilevel"/>
    <w:tmpl w:val="B004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F92C77"/>
    <w:multiLevelType w:val="multilevel"/>
    <w:tmpl w:val="FA0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FB6873"/>
    <w:multiLevelType w:val="multilevel"/>
    <w:tmpl w:val="87A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E2D525C"/>
    <w:multiLevelType w:val="multilevel"/>
    <w:tmpl w:val="C32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9168AA"/>
    <w:multiLevelType w:val="multilevel"/>
    <w:tmpl w:val="0C20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1C1E89"/>
    <w:multiLevelType w:val="multilevel"/>
    <w:tmpl w:val="374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DE2B7D"/>
    <w:multiLevelType w:val="multilevel"/>
    <w:tmpl w:val="1254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357F5B"/>
    <w:multiLevelType w:val="multilevel"/>
    <w:tmpl w:val="39D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AA1D10"/>
    <w:multiLevelType w:val="multilevel"/>
    <w:tmpl w:val="458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C1034A"/>
    <w:multiLevelType w:val="multilevel"/>
    <w:tmpl w:val="940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E67D57"/>
    <w:multiLevelType w:val="multilevel"/>
    <w:tmpl w:val="B2A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977C09"/>
    <w:multiLevelType w:val="multilevel"/>
    <w:tmpl w:val="5AC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D408E1"/>
    <w:multiLevelType w:val="multilevel"/>
    <w:tmpl w:val="91B0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9A4EAE"/>
    <w:multiLevelType w:val="multilevel"/>
    <w:tmpl w:val="74C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360CB6"/>
    <w:multiLevelType w:val="multilevel"/>
    <w:tmpl w:val="BD2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622EF4"/>
    <w:multiLevelType w:val="multilevel"/>
    <w:tmpl w:val="E0C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B52EE6"/>
    <w:multiLevelType w:val="multilevel"/>
    <w:tmpl w:val="E428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BA5C7C"/>
    <w:multiLevelType w:val="multilevel"/>
    <w:tmpl w:val="A53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6D3F01"/>
    <w:multiLevelType w:val="multilevel"/>
    <w:tmpl w:val="9A4A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D002EA"/>
    <w:multiLevelType w:val="multilevel"/>
    <w:tmpl w:val="F8B2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D30F0F"/>
    <w:multiLevelType w:val="multilevel"/>
    <w:tmpl w:val="C62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963187"/>
    <w:multiLevelType w:val="multilevel"/>
    <w:tmpl w:val="6D9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E1071D"/>
    <w:multiLevelType w:val="multilevel"/>
    <w:tmpl w:val="36C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2F2898"/>
    <w:multiLevelType w:val="multilevel"/>
    <w:tmpl w:val="238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310405"/>
    <w:multiLevelType w:val="multilevel"/>
    <w:tmpl w:val="B05A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6942DC"/>
    <w:multiLevelType w:val="multilevel"/>
    <w:tmpl w:val="81D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C7524A"/>
    <w:multiLevelType w:val="multilevel"/>
    <w:tmpl w:val="5A3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E30A43"/>
    <w:multiLevelType w:val="multilevel"/>
    <w:tmpl w:val="D4C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25611C"/>
    <w:multiLevelType w:val="multilevel"/>
    <w:tmpl w:val="6344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9E1731"/>
    <w:multiLevelType w:val="multilevel"/>
    <w:tmpl w:val="E2E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E114F9"/>
    <w:multiLevelType w:val="multilevel"/>
    <w:tmpl w:val="815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0C106D"/>
    <w:multiLevelType w:val="multilevel"/>
    <w:tmpl w:val="A0E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C821A1"/>
    <w:multiLevelType w:val="multilevel"/>
    <w:tmpl w:val="B49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FA259D"/>
    <w:multiLevelType w:val="multilevel"/>
    <w:tmpl w:val="5A8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E97BCF"/>
    <w:multiLevelType w:val="multilevel"/>
    <w:tmpl w:val="140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EB405C"/>
    <w:multiLevelType w:val="multilevel"/>
    <w:tmpl w:val="A8D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F34740"/>
    <w:multiLevelType w:val="multilevel"/>
    <w:tmpl w:val="40A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3948C0"/>
    <w:multiLevelType w:val="multilevel"/>
    <w:tmpl w:val="7AE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4166D9"/>
    <w:multiLevelType w:val="multilevel"/>
    <w:tmpl w:val="A10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0C5C6F"/>
    <w:multiLevelType w:val="multilevel"/>
    <w:tmpl w:val="B8F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467F4E"/>
    <w:multiLevelType w:val="multilevel"/>
    <w:tmpl w:val="5B7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A24B6A"/>
    <w:multiLevelType w:val="multilevel"/>
    <w:tmpl w:val="E17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4671BA"/>
    <w:multiLevelType w:val="multilevel"/>
    <w:tmpl w:val="92C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994614"/>
    <w:multiLevelType w:val="multilevel"/>
    <w:tmpl w:val="5A6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3952D6"/>
    <w:multiLevelType w:val="multilevel"/>
    <w:tmpl w:val="5A9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463402"/>
    <w:multiLevelType w:val="multilevel"/>
    <w:tmpl w:val="BAB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6438EF"/>
    <w:multiLevelType w:val="multilevel"/>
    <w:tmpl w:val="BCE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036EFD"/>
    <w:multiLevelType w:val="multilevel"/>
    <w:tmpl w:val="7DF6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216634"/>
    <w:multiLevelType w:val="multilevel"/>
    <w:tmpl w:val="4F8A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287267"/>
    <w:multiLevelType w:val="multilevel"/>
    <w:tmpl w:val="6E6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C61B94"/>
    <w:multiLevelType w:val="multilevel"/>
    <w:tmpl w:val="430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C42893"/>
    <w:multiLevelType w:val="multilevel"/>
    <w:tmpl w:val="80E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FA55BE"/>
    <w:multiLevelType w:val="multilevel"/>
    <w:tmpl w:val="39F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731D1B"/>
    <w:multiLevelType w:val="multilevel"/>
    <w:tmpl w:val="939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27310F"/>
    <w:multiLevelType w:val="multilevel"/>
    <w:tmpl w:val="6F4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C1109C"/>
    <w:multiLevelType w:val="multilevel"/>
    <w:tmpl w:val="E80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340F1F"/>
    <w:multiLevelType w:val="multilevel"/>
    <w:tmpl w:val="820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4F5979"/>
    <w:multiLevelType w:val="multilevel"/>
    <w:tmpl w:val="5DC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062313E"/>
    <w:multiLevelType w:val="multilevel"/>
    <w:tmpl w:val="9A4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A3776D"/>
    <w:multiLevelType w:val="multilevel"/>
    <w:tmpl w:val="A24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B93E3B"/>
    <w:multiLevelType w:val="multilevel"/>
    <w:tmpl w:val="547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179773F"/>
    <w:multiLevelType w:val="multilevel"/>
    <w:tmpl w:val="E87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1571D7"/>
    <w:multiLevelType w:val="multilevel"/>
    <w:tmpl w:val="16E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65516D"/>
    <w:multiLevelType w:val="multilevel"/>
    <w:tmpl w:val="FEEA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0674E4"/>
    <w:multiLevelType w:val="multilevel"/>
    <w:tmpl w:val="5EE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234A57"/>
    <w:multiLevelType w:val="multilevel"/>
    <w:tmpl w:val="867C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595DF1"/>
    <w:multiLevelType w:val="multilevel"/>
    <w:tmpl w:val="78A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640E3C"/>
    <w:multiLevelType w:val="multilevel"/>
    <w:tmpl w:val="78A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327A75"/>
    <w:multiLevelType w:val="multilevel"/>
    <w:tmpl w:val="3AA2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AA3F3C"/>
    <w:multiLevelType w:val="multilevel"/>
    <w:tmpl w:val="600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0B61AF"/>
    <w:multiLevelType w:val="multilevel"/>
    <w:tmpl w:val="889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1725AA"/>
    <w:multiLevelType w:val="multilevel"/>
    <w:tmpl w:val="241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4D3334"/>
    <w:multiLevelType w:val="multilevel"/>
    <w:tmpl w:val="3FA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766AA0"/>
    <w:multiLevelType w:val="multilevel"/>
    <w:tmpl w:val="764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ED23F4"/>
    <w:multiLevelType w:val="multilevel"/>
    <w:tmpl w:val="E28A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C50B6A"/>
    <w:multiLevelType w:val="multilevel"/>
    <w:tmpl w:val="2E7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D73CA8"/>
    <w:multiLevelType w:val="multilevel"/>
    <w:tmpl w:val="7108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3C5D19"/>
    <w:multiLevelType w:val="multilevel"/>
    <w:tmpl w:val="C6F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E117D3"/>
    <w:multiLevelType w:val="multilevel"/>
    <w:tmpl w:val="6D1C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E25826"/>
    <w:multiLevelType w:val="multilevel"/>
    <w:tmpl w:val="C77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3056A9"/>
    <w:multiLevelType w:val="multilevel"/>
    <w:tmpl w:val="A5BE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416D44"/>
    <w:multiLevelType w:val="multilevel"/>
    <w:tmpl w:val="56C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4C65BA"/>
    <w:multiLevelType w:val="multilevel"/>
    <w:tmpl w:val="AEE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930938"/>
    <w:multiLevelType w:val="multilevel"/>
    <w:tmpl w:val="BAC6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4E1195"/>
    <w:multiLevelType w:val="multilevel"/>
    <w:tmpl w:val="702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7576DB"/>
    <w:multiLevelType w:val="multilevel"/>
    <w:tmpl w:val="EFB2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D0B649A"/>
    <w:multiLevelType w:val="multilevel"/>
    <w:tmpl w:val="429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D25493B"/>
    <w:multiLevelType w:val="multilevel"/>
    <w:tmpl w:val="4F4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353140"/>
    <w:multiLevelType w:val="multilevel"/>
    <w:tmpl w:val="637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B905E6"/>
    <w:multiLevelType w:val="multilevel"/>
    <w:tmpl w:val="EB8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8A4C24"/>
    <w:multiLevelType w:val="multilevel"/>
    <w:tmpl w:val="6C3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8F08ED"/>
    <w:multiLevelType w:val="multilevel"/>
    <w:tmpl w:val="5E0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5E10FB"/>
    <w:multiLevelType w:val="multilevel"/>
    <w:tmpl w:val="4DE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402294">
    <w:abstractNumId w:val="129"/>
  </w:num>
  <w:num w:numId="2" w16cid:durableId="1582182986">
    <w:abstractNumId w:val="204"/>
  </w:num>
  <w:num w:numId="3" w16cid:durableId="2056465181">
    <w:abstractNumId w:val="215"/>
  </w:num>
  <w:num w:numId="4" w16cid:durableId="1705518559">
    <w:abstractNumId w:val="122"/>
  </w:num>
  <w:num w:numId="5" w16cid:durableId="244657061">
    <w:abstractNumId w:val="36"/>
  </w:num>
  <w:num w:numId="6" w16cid:durableId="1549956861">
    <w:abstractNumId w:val="27"/>
  </w:num>
  <w:num w:numId="7" w16cid:durableId="1530678657">
    <w:abstractNumId w:val="19"/>
  </w:num>
  <w:num w:numId="8" w16cid:durableId="1181629504">
    <w:abstractNumId w:val="13"/>
  </w:num>
  <w:num w:numId="9" w16cid:durableId="552040310">
    <w:abstractNumId w:val="89"/>
  </w:num>
  <w:num w:numId="10" w16cid:durableId="1730109577">
    <w:abstractNumId w:val="82"/>
  </w:num>
  <w:num w:numId="11" w16cid:durableId="1042440160">
    <w:abstractNumId w:val="64"/>
  </w:num>
  <w:num w:numId="12" w16cid:durableId="117340554">
    <w:abstractNumId w:val="180"/>
  </w:num>
  <w:num w:numId="13" w16cid:durableId="657077824">
    <w:abstractNumId w:val="1"/>
  </w:num>
  <w:num w:numId="14" w16cid:durableId="1055011350">
    <w:abstractNumId w:val="197"/>
  </w:num>
  <w:num w:numId="15" w16cid:durableId="1445811261">
    <w:abstractNumId w:val="58"/>
  </w:num>
  <w:num w:numId="16" w16cid:durableId="326977359">
    <w:abstractNumId w:val="210"/>
  </w:num>
  <w:num w:numId="17" w16cid:durableId="1397510798">
    <w:abstractNumId w:val="188"/>
  </w:num>
  <w:num w:numId="18" w16cid:durableId="110637248">
    <w:abstractNumId w:val="185"/>
  </w:num>
  <w:num w:numId="19" w16cid:durableId="96295029">
    <w:abstractNumId w:val="183"/>
  </w:num>
  <w:num w:numId="20" w16cid:durableId="189531500">
    <w:abstractNumId w:val="111"/>
  </w:num>
  <w:num w:numId="21" w16cid:durableId="2000767805">
    <w:abstractNumId w:val="75"/>
  </w:num>
  <w:num w:numId="22" w16cid:durableId="1521436020">
    <w:abstractNumId w:val="68"/>
  </w:num>
  <w:num w:numId="23" w16cid:durableId="262884628">
    <w:abstractNumId w:val="80"/>
  </w:num>
  <w:num w:numId="24" w16cid:durableId="691297773">
    <w:abstractNumId w:val="109"/>
  </w:num>
  <w:num w:numId="25" w16cid:durableId="255947281">
    <w:abstractNumId w:val="46"/>
  </w:num>
  <w:num w:numId="26" w16cid:durableId="1434789475">
    <w:abstractNumId w:val="98"/>
  </w:num>
  <w:num w:numId="27" w16cid:durableId="1571112896">
    <w:abstractNumId w:val="144"/>
  </w:num>
  <w:num w:numId="28" w16cid:durableId="1973557010">
    <w:abstractNumId w:val="162"/>
  </w:num>
  <w:num w:numId="29" w16cid:durableId="754745112">
    <w:abstractNumId w:val="134"/>
  </w:num>
  <w:num w:numId="30" w16cid:durableId="1766072619">
    <w:abstractNumId w:val="14"/>
  </w:num>
  <w:num w:numId="31" w16cid:durableId="2011911738">
    <w:abstractNumId w:val="49"/>
  </w:num>
  <w:num w:numId="32" w16cid:durableId="1325351245">
    <w:abstractNumId w:val="117"/>
  </w:num>
  <w:num w:numId="33" w16cid:durableId="773600089">
    <w:abstractNumId w:val="166"/>
  </w:num>
  <w:num w:numId="34" w16cid:durableId="23480906">
    <w:abstractNumId w:val="72"/>
  </w:num>
  <w:num w:numId="35" w16cid:durableId="1092505336">
    <w:abstractNumId w:val="96"/>
  </w:num>
  <w:num w:numId="36" w16cid:durableId="562063341">
    <w:abstractNumId w:val="130"/>
  </w:num>
  <w:num w:numId="37" w16cid:durableId="431703328">
    <w:abstractNumId w:val="86"/>
  </w:num>
  <w:num w:numId="38" w16cid:durableId="970090028">
    <w:abstractNumId w:val="87"/>
  </w:num>
  <w:num w:numId="39" w16cid:durableId="347831526">
    <w:abstractNumId w:val="213"/>
  </w:num>
  <w:num w:numId="40" w16cid:durableId="1082684291">
    <w:abstractNumId w:val="157"/>
  </w:num>
  <w:num w:numId="41" w16cid:durableId="1555777509">
    <w:abstractNumId w:val="102"/>
  </w:num>
  <w:num w:numId="42" w16cid:durableId="145168023">
    <w:abstractNumId w:val="163"/>
  </w:num>
  <w:num w:numId="43" w16cid:durableId="580791932">
    <w:abstractNumId w:val="170"/>
  </w:num>
  <w:num w:numId="44" w16cid:durableId="1621254774">
    <w:abstractNumId w:val="4"/>
  </w:num>
  <w:num w:numId="45" w16cid:durableId="652563086">
    <w:abstractNumId w:val="18"/>
  </w:num>
  <w:num w:numId="46" w16cid:durableId="684937415">
    <w:abstractNumId w:val="127"/>
  </w:num>
  <w:num w:numId="47" w16cid:durableId="1423835752">
    <w:abstractNumId w:val="73"/>
  </w:num>
  <w:num w:numId="48" w16cid:durableId="1925721496">
    <w:abstractNumId w:val="2"/>
  </w:num>
  <w:num w:numId="49" w16cid:durableId="426774139">
    <w:abstractNumId w:val="176"/>
  </w:num>
  <w:num w:numId="50" w16cid:durableId="1916474943">
    <w:abstractNumId w:val="110"/>
  </w:num>
  <w:num w:numId="51" w16cid:durableId="1131821843">
    <w:abstractNumId w:val="92"/>
  </w:num>
  <w:num w:numId="52" w16cid:durableId="1079905126">
    <w:abstractNumId w:val="224"/>
  </w:num>
  <w:num w:numId="53" w16cid:durableId="1772118434">
    <w:abstractNumId w:val="223"/>
  </w:num>
  <w:num w:numId="54" w16cid:durableId="1942302810">
    <w:abstractNumId w:val="140"/>
  </w:num>
  <w:num w:numId="55" w16cid:durableId="754210625">
    <w:abstractNumId w:val="104"/>
  </w:num>
  <w:num w:numId="56" w16cid:durableId="1285117416">
    <w:abstractNumId w:val="40"/>
  </w:num>
  <w:num w:numId="57" w16cid:durableId="224797416">
    <w:abstractNumId w:val="198"/>
  </w:num>
  <w:num w:numId="58" w16cid:durableId="534540980">
    <w:abstractNumId w:val="126"/>
  </w:num>
  <w:num w:numId="59" w16cid:durableId="1293437391">
    <w:abstractNumId w:val="84"/>
  </w:num>
  <w:num w:numId="60" w16cid:durableId="1968929312">
    <w:abstractNumId w:val="141"/>
  </w:num>
  <w:num w:numId="61" w16cid:durableId="356780400">
    <w:abstractNumId w:val="172"/>
  </w:num>
  <w:num w:numId="62" w16cid:durableId="1914311999">
    <w:abstractNumId w:val="118"/>
  </w:num>
  <w:num w:numId="63" w16cid:durableId="1465346085">
    <w:abstractNumId w:val="143"/>
  </w:num>
  <w:num w:numId="64" w16cid:durableId="241911804">
    <w:abstractNumId w:val="71"/>
  </w:num>
  <w:num w:numId="65" w16cid:durableId="141586490">
    <w:abstractNumId w:val="147"/>
  </w:num>
  <w:num w:numId="66" w16cid:durableId="848910978">
    <w:abstractNumId w:val="88"/>
  </w:num>
  <w:num w:numId="67" w16cid:durableId="1940678527">
    <w:abstractNumId w:val="10"/>
  </w:num>
  <w:num w:numId="68" w16cid:durableId="770855255">
    <w:abstractNumId w:val="77"/>
  </w:num>
  <w:num w:numId="69" w16cid:durableId="1983849350">
    <w:abstractNumId w:val="123"/>
  </w:num>
  <w:num w:numId="70" w16cid:durableId="138036729">
    <w:abstractNumId w:val="216"/>
  </w:num>
  <w:num w:numId="71" w16cid:durableId="1448086066">
    <w:abstractNumId w:val="70"/>
  </w:num>
  <w:num w:numId="72" w16cid:durableId="687411906">
    <w:abstractNumId w:val="159"/>
  </w:num>
  <w:num w:numId="73" w16cid:durableId="1624994715">
    <w:abstractNumId w:val="132"/>
  </w:num>
  <w:num w:numId="74" w16cid:durableId="998994536">
    <w:abstractNumId w:val="124"/>
  </w:num>
  <w:num w:numId="75" w16cid:durableId="989871533">
    <w:abstractNumId w:val="149"/>
  </w:num>
  <w:num w:numId="76" w16cid:durableId="1818378147">
    <w:abstractNumId w:val="167"/>
  </w:num>
  <w:num w:numId="77" w16cid:durableId="277031998">
    <w:abstractNumId w:val="26"/>
  </w:num>
  <w:num w:numId="78" w16cid:durableId="1649044842">
    <w:abstractNumId w:val="9"/>
  </w:num>
  <w:num w:numId="79" w16cid:durableId="586034226">
    <w:abstractNumId w:val="101"/>
  </w:num>
  <w:num w:numId="80" w16cid:durableId="727072324">
    <w:abstractNumId w:val="62"/>
  </w:num>
  <w:num w:numId="81" w16cid:durableId="1622414489">
    <w:abstractNumId w:val="219"/>
  </w:num>
  <w:num w:numId="82" w16cid:durableId="1561474892">
    <w:abstractNumId w:val="182"/>
  </w:num>
  <w:num w:numId="83" w16cid:durableId="885723430">
    <w:abstractNumId w:val="24"/>
  </w:num>
  <w:num w:numId="84" w16cid:durableId="1085342943">
    <w:abstractNumId w:val="7"/>
  </w:num>
  <w:num w:numId="85" w16cid:durableId="1120108493">
    <w:abstractNumId w:val="38"/>
  </w:num>
  <w:num w:numId="86" w16cid:durableId="479814009">
    <w:abstractNumId w:val="108"/>
  </w:num>
  <w:num w:numId="87" w16cid:durableId="559290713">
    <w:abstractNumId w:val="94"/>
  </w:num>
  <w:num w:numId="88" w16cid:durableId="1151405352">
    <w:abstractNumId w:val="35"/>
  </w:num>
  <w:num w:numId="89" w16cid:durableId="1746418282">
    <w:abstractNumId w:val="206"/>
  </w:num>
  <w:num w:numId="90" w16cid:durableId="1260722929">
    <w:abstractNumId w:val="99"/>
  </w:num>
  <w:num w:numId="91" w16cid:durableId="763498517">
    <w:abstractNumId w:val="148"/>
  </w:num>
  <w:num w:numId="92" w16cid:durableId="482431802">
    <w:abstractNumId w:val="34"/>
  </w:num>
  <w:num w:numId="93" w16cid:durableId="414060796">
    <w:abstractNumId w:val="25"/>
  </w:num>
  <w:num w:numId="94" w16cid:durableId="248273599">
    <w:abstractNumId w:val="139"/>
  </w:num>
  <w:num w:numId="95" w16cid:durableId="1397165159">
    <w:abstractNumId w:val="12"/>
  </w:num>
  <w:num w:numId="96" w16cid:durableId="514223210">
    <w:abstractNumId w:val="205"/>
  </w:num>
  <w:num w:numId="97" w16cid:durableId="800658267">
    <w:abstractNumId w:val="196"/>
  </w:num>
  <w:num w:numId="98" w16cid:durableId="907418562">
    <w:abstractNumId w:val="85"/>
  </w:num>
  <w:num w:numId="99" w16cid:durableId="680738203">
    <w:abstractNumId w:val="11"/>
  </w:num>
  <w:num w:numId="100" w16cid:durableId="1770154493">
    <w:abstractNumId w:val="44"/>
  </w:num>
  <w:num w:numId="101" w16cid:durableId="388237101">
    <w:abstractNumId w:val="156"/>
  </w:num>
  <w:num w:numId="102" w16cid:durableId="386035356">
    <w:abstractNumId w:val="0"/>
  </w:num>
  <w:num w:numId="103" w16cid:durableId="662318764">
    <w:abstractNumId w:val="59"/>
  </w:num>
  <w:num w:numId="104" w16cid:durableId="1207327322">
    <w:abstractNumId w:val="114"/>
  </w:num>
  <w:num w:numId="105" w16cid:durableId="2560938">
    <w:abstractNumId w:val="209"/>
  </w:num>
  <w:num w:numId="106" w16cid:durableId="1275675380">
    <w:abstractNumId w:val="55"/>
  </w:num>
  <w:num w:numId="107" w16cid:durableId="86775176">
    <w:abstractNumId w:val="171"/>
  </w:num>
  <w:num w:numId="108" w16cid:durableId="1059473635">
    <w:abstractNumId w:val="65"/>
  </w:num>
  <w:num w:numId="109" w16cid:durableId="955910503">
    <w:abstractNumId w:val="221"/>
  </w:num>
  <w:num w:numId="110" w16cid:durableId="1472402273">
    <w:abstractNumId w:val="201"/>
  </w:num>
  <w:num w:numId="111" w16cid:durableId="332757887">
    <w:abstractNumId w:val="57"/>
  </w:num>
  <w:num w:numId="112" w16cid:durableId="1432898373">
    <w:abstractNumId w:val="37"/>
  </w:num>
  <w:num w:numId="113" w16cid:durableId="1789735480">
    <w:abstractNumId w:val="187"/>
  </w:num>
  <w:num w:numId="114" w16cid:durableId="1484664896">
    <w:abstractNumId w:val="106"/>
  </w:num>
  <w:num w:numId="115" w16cid:durableId="1975136367">
    <w:abstractNumId w:val="135"/>
  </w:num>
  <w:num w:numId="116" w16cid:durableId="2091461730">
    <w:abstractNumId w:val="158"/>
  </w:num>
  <w:num w:numId="117" w16cid:durableId="246115677">
    <w:abstractNumId w:val="191"/>
  </w:num>
  <w:num w:numId="118" w16cid:durableId="452019758">
    <w:abstractNumId w:val="175"/>
  </w:num>
  <w:num w:numId="119" w16cid:durableId="325474922">
    <w:abstractNumId w:val="42"/>
  </w:num>
  <w:num w:numId="120" w16cid:durableId="1670523319">
    <w:abstractNumId w:val="174"/>
  </w:num>
  <w:num w:numId="121" w16cid:durableId="1839691321">
    <w:abstractNumId w:val="28"/>
  </w:num>
  <w:num w:numId="122" w16cid:durableId="1805080158">
    <w:abstractNumId w:val="81"/>
  </w:num>
  <w:num w:numId="123" w16cid:durableId="327876913">
    <w:abstractNumId w:val="74"/>
  </w:num>
  <w:num w:numId="124" w16cid:durableId="495415393">
    <w:abstractNumId w:val="193"/>
  </w:num>
  <w:num w:numId="125" w16cid:durableId="1279221361">
    <w:abstractNumId w:val="5"/>
  </w:num>
  <w:num w:numId="126" w16cid:durableId="1118838763">
    <w:abstractNumId w:val="194"/>
  </w:num>
  <w:num w:numId="127" w16cid:durableId="1938951095">
    <w:abstractNumId w:val="83"/>
  </w:num>
  <w:num w:numId="128" w16cid:durableId="517430132">
    <w:abstractNumId w:val="67"/>
  </w:num>
  <w:num w:numId="129" w16cid:durableId="2090615998">
    <w:abstractNumId w:val="121"/>
  </w:num>
  <w:num w:numId="130" w16cid:durableId="396100112">
    <w:abstractNumId w:val="195"/>
  </w:num>
  <w:num w:numId="131" w16cid:durableId="1819763399">
    <w:abstractNumId w:val="165"/>
  </w:num>
  <w:num w:numId="132" w16cid:durableId="1693070346">
    <w:abstractNumId w:val="128"/>
  </w:num>
  <w:num w:numId="133" w16cid:durableId="1682270669">
    <w:abstractNumId w:val="33"/>
  </w:num>
  <w:num w:numId="134" w16cid:durableId="1788113659">
    <w:abstractNumId w:val="51"/>
  </w:num>
  <w:num w:numId="135" w16cid:durableId="1834950524">
    <w:abstractNumId w:val="168"/>
  </w:num>
  <w:num w:numId="136" w16cid:durableId="1405838182">
    <w:abstractNumId w:val="222"/>
  </w:num>
  <w:num w:numId="137" w16cid:durableId="332493469">
    <w:abstractNumId w:val="32"/>
  </w:num>
  <w:num w:numId="138" w16cid:durableId="156072393">
    <w:abstractNumId w:val="100"/>
  </w:num>
  <w:num w:numId="139" w16cid:durableId="300038274">
    <w:abstractNumId w:val="199"/>
  </w:num>
  <w:num w:numId="140" w16cid:durableId="2089224661">
    <w:abstractNumId w:val="61"/>
  </w:num>
  <w:num w:numId="141" w16cid:durableId="1454132973">
    <w:abstractNumId w:val="181"/>
  </w:num>
  <w:num w:numId="142" w16cid:durableId="581182011">
    <w:abstractNumId w:val="76"/>
  </w:num>
  <w:num w:numId="143" w16cid:durableId="2139105232">
    <w:abstractNumId w:val="192"/>
  </w:num>
  <w:num w:numId="144" w16cid:durableId="1198666291">
    <w:abstractNumId w:val="21"/>
  </w:num>
  <w:num w:numId="145" w16cid:durableId="1184591769">
    <w:abstractNumId w:val="45"/>
  </w:num>
  <w:num w:numId="146" w16cid:durableId="1871068389">
    <w:abstractNumId w:val="41"/>
  </w:num>
  <w:num w:numId="147" w16cid:durableId="1405642893">
    <w:abstractNumId w:val="137"/>
  </w:num>
  <w:num w:numId="148" w16cid:durableId="1240360585">
    <w:abstractNumId w:val="105"/>
  </w:num>
  <w:num w:numId="149" w16cid:durableId="278607048">
    <w:abstractNumId w:val="142"/>
  </w:num>
  <w:num w:numId="150" w16cid:durableId="236476090">
    <w:abstractNumId w:val="52"/>
  </w:num>
  <w:num w:numId="151" w16cid:durableId="2013099551">
    <w:abstractNumId w:val="164"/>
  </w:num>
  <w:num w:numId="152" w16cid:durableId="868227798">
    <w:abstractNumId w:val="136"/>
  </w:num>
  <w:num w:numId="153" w16cid:durableId="778531313">
    <w:abstractNumId w:val="93"/>
  </w:num>
  <w:num w:numId="154" w16cid:durableId="932784783">
    <w:abstractNumId w:val="218"/>
  </w:num>
  <w:num w:numId="155" w16cid:durableId="1828209349">
    <w:abstractNumId w:val="208"/>
  </w:num>
  <w:num w:numId="156" w16cid:durableId="734353389">
    <w:abstractNumId w:val="97"/>
  </w:num>
  <w:num w:numId="157" w16cid:durableId="1590191080">
    <w:abstractNumId w:val="178"/>
  </w:num>
  <w:num w:numId="158" w16cid:durableId="1569412427">
    <w:abstractNumId w:val="20"/>
  </w:num>
  <w:num w:numId="159" w16cid:durableId="383063472">
    <w:abstractNumId w:val="186"/>
  </w:num>
  <w:num w:numId="160" w16cid:durableId="1480463506">
    <w:abstractNumId w:val="69"/>
  </w:num>
  <w:num w:numId="161" w16cid:durableId="1761103565">
    <w:abstractNumId w:val="145"/>
  </w:num>
  <w:num w:numId="162" w16cid:durableId="30619526">
    <w:abstractNumId w:val="133"/>
  </w:num>
  <w:num w:numId="163" w16cid:durableId="81218230">
    <w:abstractNumId w:val="155"/>
  </w:num>
  <w:num w:numId="164" w16cid:durableId="75253229">
    <w:abstractNumId w:val="211"/>
  </w:num>
  <w:num w:numId="165" w16cid:durableId="2041394130">
    <w:abstractNumId w:val="173"/>
  </w:num>
  <w:num w:numId="166" w16cid:durableId="2026057268">
    <w:abstractNumId w:val="138"/>
  </w:num>
  <w:num w:numId="167" w16cid:durableId="1213807720">
    <w:abstractNumId w:val="90"/>
  </w:num>
  <w:num w:numId="168" w16cid:durableId="417990129">
    <w:abstractNumId w:val="22"/>
  </w:num>
  <w:num w:numId="169" w16cid:durableId="1896090038">
    <w:abstractNumId w:val="48"/>
  </w:num>
  <w:num w:numId="170" w16cid:durableId="1492713514">
    <w:abstractNumId w:val="125"/>
  </w:num>
  <w:num w:numId="171" w16cid:durableId="1260025740">
    <w:abstractNumId w:val="202"/>
  </w:num>
  <w:num w:numId="172" w16cid:durableId="1947152287">
    <w:abstractNumId w:val="31"/>
  </w:num>
  <w:num w:numId="173" w16cid:durableId="1242254267">
    <w:abstractNumId w:val="39"/>
  </w:num>
  <w:num w:numId="174" w16cid:durableId="348682249">
    <w:abstractNumId w:val="8"/>
  </w:num>
  <w:num w:numId="175" w16cid:durableId="781417338">
    <w:abstractNumId w:val="103"/>
  </w:num>
  <w:num w:numId="176" w16cid:durableId="52585321">
    <w:abstractNumId w:val="112"/>
  </w:num>
  <w:num w:numId="177" w16cid:durableId="472253770">
    <w:abstractNumId w:val="16"/>
  </w:num>
  <w:num w:numId="178" w16cid:durableId="175921568">
    <w:abstractNumId w:val="63"/>
  </w:num>
  <w:num w:numId="179" w16cid:durableId="1201280851">
    <w:abstractNumId w:val="17"/>
  </w:num>
  <w:num w:numId="180" w16cid:durableId="1542010329">
    <w:abstractNumId w:val="212"/>
  </w:num>
  <w:num w:numId="181" w16cid:durableId="644968104">
    <w:abstractNumId w:val="203"/>
  </w:num>
  <w:num w:numId="182" w16cid:durableId="1410614115">
    <w:abstractNumId w:val="217"/>
  </w:num>
  <w:num w:numId="183" w16cid:durableId="2070036336">
    <w:abstractNumId w:val="225"/>
  </w:num>
  <w:num w:numId="184" w16cid:durableId="1541090370">
    <w:abstractNumId w:val="200"/>
  </w:num>
  <w:num w:numId="185" w16cid:durableId="1319113307">
    <w:abstractNumId w:val="78"/>
  </w:num>
  <w:num w:numId="186" w16cid:durableId="1449008996">
    <w:abstractNumId w:val="179"/>
  </w:num>
  <w:num w:numId="187" w16cid:durableId="214121364">
    <w:abstractNumId w:val="3"/>
  </w:num>
  <w:num w:numId="188" w16cid:durableId="1538204130">
    <w:abstractNumId w:val="160"/>
  </w:num>
  <w:num w:numId="189" w16cid:durableId="2086410114">
    <w:abstractNumId w:val="54"/>
  </w:num>
  <w:num w:numId="190" w16cid:durableId="1647398794">
    <w:abstractNumId w:val="23"/>
  </w:num>
  <w:num w:numId="191" w16cid:durableId="1981644741">
    <w:abstractNumId w:val="91"/>
  </w:num>
  <w:num w:numId="192" w16cid:durableId="1896045200">
    <w:abstractNumId w:val="15"/>
  </w:num>
  <w:num w:numId="193" w16cid:durableId="776489570">
    <w:abstractNumId w:val="29"/>
  </w:num>
  <w:num w:numId="194" w16cid:durableId="1177157763">
    <w:abstractNumId w:val="169"/>
  </w:num>
  <w:num w:numId="195" w16cid:durableId="597251086">
    <w:abstractNumId w:val="119"/>
  </w:num>
  <w:num w:numId="196" w16cid:durableId="163056085">
    <w:abstractNumId w:val="150"/>
  </w:num>
  <w:num w:numId="197" w16cid:durableId="1966352543">
    <w:abstractNumId w:val="152"/>
  </w:num>
  <w:num w:numId="198" w16cid:durableId="1202284761">
    <w:abstractNumId w:val="60"/>
  </w:num>
  <w:num w:numId="199" w16cid:durableId="1334453058">
    <w:abstractNumId w:val="43"/>
  </w:num>
  <w:num w:numId="200" w16cid:durableId="45641416">
    <w:abstractNumId w:val="161"/>
  </w:num>
  <w:num w:numId="201" w16cid:durableId="928584798">
    <w:abstractNumId w:val="116"/>
  </w:num>
  <w:num w:numId="202" w16cid:durableId="1457866065">
    <w:abstractNumId w:val="6"/>
  </w:num>
  <w:num w:numId="203" w16cid:durableId="187060161">
    <w:abstractNumId w:val="227"/>
  </w:num>
  <w:num w:numId="204" w16cid:durableId="492068840">
    <w:abstractNumId w:val="151"/>
  </w:num>
  <w:num w:numId="205" w16cid:durableId="977615796">
    <w:abstractNumId w:val="30"/>
  </w:num>
  <w:num w:numId="206" w16cid:durableId="2062244117">
    <w:abstractNumId w:val="53"/>
  </w:num>
  <w:num w:numId="207" w16cid:durableId="767508990">
    <w:abstractNumId w:val="95"/>
  </w:num>
  <w:num w:numId="208" w16cid:durableId="1233588502">
    <w:abstractNumId w:val="190"/>
  </w:num>
  <w:num w:numId="209" w16cid:durableId="259147379">
    <w:abstractNumId w:val="47"/>
  </w:num>
  <w:num w:numId="210" w16cid:durableId="2108841391">
    <w:abstractNumId w:val="177"/>
  </w:num>
  <w:num w:numId="211" w16cid:durableId="2037540919">
    <w:abstractNumId w:val="120"/>
  </w:num>
  <w:num w:numId="212" w16cid:durableId="2095275595">
    <w:abstractNumId w:val="146"/>
  </w:num>
  <w:num w:numId="213" w16cid:durableId="701784649">
    <w:abstractNumId w:val="50"/>
  </w:num>
  <w:num w:numId="214" w16cid:durableId="282661528">
    <w:abstractNumId w:val="131"/>
  </w:num>
  <w:num w:numId="215" w16cid:durableId="1358237411">
    <w:abstractNumId w:val="214"/>
  </w:num>
  <w:num w:numId="216" w16cid:durableId="624510444">
    <w:abstractNumId w:val="153"/>
  </w:num>
  <w:num w:numId="217" w16cid:durableId="1478718212">
    <w:abstractNumId w:val="66"/>
  </w:num>
  <w:num w:numId="218" w16cid:durableId="1460798813">
    <w:abstractNumId w:val="113"/>
  </w:num>
  <w:num w:numId="219" w16cid:durableId="118187427">
    <w:abstractNumId w:val="207"/>
  </w:num>
  <w:num w:numId="220" w16cid:durableId="1130245060">
    <w:abstractNumId w:val="154"/>
  </w:num>
  <w:num w:numId="221" w16cid:durableId="663899025">
    <w:abstractNumId w:val="115"/>
  </w:num>
  <w:num w:numId="222" w16cid:durableId="163282589">
    <w:abstractNumId w:val="79"/>
  </w:num>
  <w:num w:numId="223" w16cid:durableId="1771243075">
    <w:abstractNumId w:val="56"/>
  </w:num>
  <w:num w:numId="224" w16cid:durableId="1786537499">
    <w:abstractNumId w:val="189"/>
  </w:num>
  <w:num w:numId="225" w16cid:durableId="32655552">
    <w:abstractNumId w:val="184"/>
  </w:num>
  <w:num w:numId="226" w16cid:durableId="1888758589">
    <w:abstractNumId w:val="107"/>
  </w:num>
  <w:num w:numId="227" w16cid:durableId="1894850701">
    <w:abstractNumId w:val="226"/>
  </w:num>
  <w:num w:numId="228" w16cid:durableId="105882581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E"/>
    <w:rsid w:val="00023FF3"/>
    <w:rsid w:val="001A231A"/>
    <w:rsid w:val="003230EB"/>
    <w:rsid w:val="00324029"/>
    <w:rsid w:val="008D789E"/>
    <w:rsid w:val="00E82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E649"/>
  <w15:chartTrackingRefBased/>
  <w15:docId w15:val="{B10B5A47-CAD6-A142-AC80-930B8132A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82D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82D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2D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2D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2D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2D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2D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2D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2D4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2D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82D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2D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2D4E"/>
    <w:rPr>
      <w:rFonts w:cstheme="majorBidi"/>
      <w:color w:val="0F4761" w:themeColor="accent1" w:themeShade="BF"/>
      <w:sz w:val="28"/>
      <w:szCs w:val="28"/>
    </w:rPr>
  </w:style>
  <w:style w:type="character" w:customStyle="1" w:styleId="50">
    <w:name w:val="标题 5 字符"/>
    <w:basedOn w:val="a0"/>
    <w:link w:val="5"/>
    <w:uiPriority w:val="9"/>
    <w:semiHidden/>
    <w:rsid w:val="00E82D4E"/>
    <w:rPr>
      <w:rFonts w:cstheme="majorBidi"/>
      <w:color w:val="0F4761" w:themeColor="accent1" w:themeShade="BF"/>
      <w:sz w:val="24"/>
    </w:rPr>
  </w:style>
  <w:style w:type="character" w:customStyle="1" w:styleId="60">
    <w:name w:val="标题 6 字符"/>
    <w:basedOn w:val="a0"/>
    <w:link w:val="6"/>
    <w:uiPriority w:val="9"/>
    <w:semiHidden/>
    <w:rsid w:val="00E82D4E"/>
    <w:rPr>
      <w:rFonts w:cstheme="majorBidi"/>
      <w:b/>
      <w:bCs/>
      <w:color w:val="0F4761" w:themeColor="accent1" w:themeShade="BF"/>
    </w:rPr>
  </w:style>
  <w:style w:type="character" w:customStyle="1" w:styleId="70">
    <w:name w:val="标题 7 字符"/>
    <w:basedOn w:val="a0"/>
    <w:link w:val="7"/>
    <w:uiPriority w:val="9"/>
    <w:semiHidden/>
    <w:rsid w:val="00E82D4E"/>
    <w:rPr>
      <w:rFonts w:cstheme="majorBidi"/>
      <w:b/>
      <w:bCs/>
      <w:color w:val="595959" w:themeColor="text1" w:themeTint="A6"/>
    </w:rPr>
  </w:style>
  <w:style w:type="character" w:customStyle="1" w:styleId="80">
    <w:name w:val="标题 8 字符"/>
    <w:basedOn w:val="a0"/>
    <w:link w:val="8"/>
    <w:uiPriority w:val="9"/>
    <w:semiHidden/>
    <w:rsid w:val="00E82D4E"/>
    <w:rPr>
      <w:rFonts w:cstheme="majorBidi"/>
      <w:color w:val="595959" w:themeColor="text1" w:themeTint="A6"/>
    </w:rPr>
  </w:style>
  <w:style w:type="character" w:customStyle="1" w:styleId="90">
    <w:name w:val="标题 9 字符"/>
    <w:basedOn w:val="a0"/>
    <w:link w:val="9"/>
    <w:uiPriority w:val="9"/>
    <w:semiHidden/>
    <w:rsid w:val="00E82D4E"/>
    <w:rPr>
      <w:rFonts w:eastAsiaTheme="majorEastAsia" w:cstheme="majorBidi"/>
      <w:color w:val="595959" w:themeColor="text1" w:themeTint="A6"/>
    </w:rPr>
  </w:style>
  <w:style w:type="paragraph" w:styleId="a3">
    <w:name w:val="Title"/>
    <w:basedOn w:val="a"/>
    <w:next w:val="a"/>
    <w:link w:val="a4"/>
    <w:uiPriority w:val="10"/>
    <w:qFormat/>
    <w:rsid w:val="00E82D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2D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D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2D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2D4E"/>
    <w:pPr>
      <w:spacing w:before="160" w:after="160"/>
      <w:jc w:val="center"/>
    </w:pPr>
    <w:rPr>
      <w:i/>
      <w:iCs/>
      <w:color w:val="404040" w:themeColor="text1" w:themeTint="BF"/>
    </w:rPr>
  </w:style>
  <w:style w:type="character" w:customStyle="1" w:styleId="a8">
    <w:name w:val="引用 字符"/>
    <w:basedOn w:val="a0"/>
    <w:link w:val="a7"/>
    <w:uiPriority w:val="29"/>
    <w:rsid w:val="00E82D4E"/>
    <w:rPr>
      <w:i/>
      <w:iCs/>
      <w:color w:val="404040" w:themeColor="text1" w:themeTint="BF"/>
    </w:rPr>
  </w:style>
  <w:style w:type="paragraph" w:styleId="a9">
    <w:name w:val="List Paragraph"/>
    <w:basedOn w:val="a"/>
    <w:uiPriority w:val="34"/>
    <w:qFormat/>
    <w:rsid w:val="00E82D4E"/>
    <w:pPr>
      <w:ind w:left="720"/>
      <w:contextualSpacing/>
    </w:pPr>
  </w:style>
  <w:style w:type="character" w:styleId="aa">
    <w:name w:val="Intense Emphasis"/>
    <w:basedOn w:val="a0"/>
    <w:uiPriority w:val="21"/>
    <w:qFormat/>
    <w:rsid w:val="00E82D4E"/>
    <w:rPr>
      <w:i/>
      <w:iCs/>
      <w:color w:val="0F4761" w:themeColor="accent1" w:themeShade="BF"/>
    </w:rPr>
  </w:style>
  <w:style w:type="paragraph" w:styleId="ab">
    <w:name w:val="Intense Quote"/>
    <w:basedOn w:val="a"/>
    <w:next w:val="a"/>
    <w:link w:val="ac"/>
    <w:uiPriority w:val="30"/>
    <w:qFormat/>
    <w:rsid w:val="00E82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2D4E"/>
    <w:rPr>
      <w:i/>
      <w:iCs/>
      <w:color w:val="0F4761" w:themeColor="accent1" w:themeShade="BF"/>
    </w:rPr>
  </w:style>
  <w:style w:type="character" w:styleId="ad">
    <w:name w:val="Intense Reference"/>
    <w:basedOn w:val="a0"/>
    <w:uiPriority w:val="32"/>
    <w:qFormat/>
    <w:rsid w:val="00E82D4E"/>
    <w:rPr>
      <w:b/>
      <w:bCs/>
      <w:smallCaps/>
      <w:color w:val="0F4761" w:themeColor="accent1" w:themeShade="BF"/>
      <w:spacing w:val="5"/>
    </w:rPr>
  </w:style>
  <w:style w:type="paragraph" w:customStyle="1" w:styleId="msonormal0">
    <w:name w:val="msonormal"/>
    <w:basedOn w:val="a"/>
    <w:rsid w:val="00E82D4E"/>
    <w:pPr>
      <w:widowControl/>
      <w:spacing w:before="100" w:beforeAutospacing="1" w:after="100" w:afterAutospacing="1"/>
      <w:jc w:val="left"/>
    </w:pPr>
    <w:rPr>
      <w:rFonts w:ascii="宋体" w:eastAsia="宋体" w:hAnsi="宋体" w:cs="宋体"/>
      <w:kern w:val="0"/>
      <w:sz w:val="24"/>
      <w14:ligatures w14:val="none"/>
    </w:rPr>
  </w:style>
  <w:style w:type="paragraph" w:styleId="ae">
    <w:name w:val="Normal (Web)"/>
    <w:basedOn w:val="a"/>
    <w:uiPriority w:val="99"/>
    <w:semiHidden/>
    <w:unhideWhenUsed/>
    <w:rsid w:val="00E82D4E"/>
    <w:pPr>
      <w:widowControl/>
      <w:spacing w:before="100" w:beforeAutospacing="1" w:after="100" w:afterAutospacing="1"/>
      <w:jc w:val="left"/>
    </w:pPr>
    <w:rPr>
      <w:rFonts w:ascii="宋体" w:eastAsia="宋体" w:hAnsi="宋体" w:cs="宋体"/>
      <w:kern w:val="0"/>
      <w:sz w:val="24"/>
      <w14:ligatures w14:val="none"/>
    </w:rPr>
  </w:style>
  <w:style w:type="character" w:styleId="af">
    <w:name w:val="Hyperlink"/>
    <w:basedOn w:val="a0"/>
    <w:uiPriority w:val="99"/>
    <w:semiHidden/>
    <w:unhideWhenUsed/>
    <w:rsid w:val="00E82D4E"/>
    <w:rPr>
      <w:color w:val="0000FF"/>
      <w:u w:val="single"/>
    </w:rPr>
  </w:style>
  <w:style w:type="character" w:styleId="af0">
    <w:name w:val="FollowedHyperlink"/>
    <w:basedOn w:val="a0"/>
    <w:uiPriority w:val="99"/>
    <w:semiHidden/>
    <w:unhideWhenUsed/>
    <w:rsid w:val="00E82D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32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xyz.xn--com-9o0a/"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13341</Words>
  <Characters>76047</Characters>
  <Application>Microsoft Office Word</Application>
  <DocSecurity>0</DocSecurity>
  <Lines>633</Lines>
  <Paragraphs>178</Paragraphs>
  <ScaleCrop>false</ScaleCrop>
  <Company/>
  <LinksUpToDate>false</LinksUpToDate>
  <CharactersWithSpaces>89210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Qian</dc:creator>
  <cp:keywords/>
  <dc:description/>
  <cp:lastModifiedBy>Long Qian</cp:lastModifiedBy>
  <cp:revision>1</cp:revision>
  <dcterms:created xsi:type="dcterms:W3CDTF">2026-02-04T07:53:00Z</dcterms:created>
  <dcterms:modified xsi:type="dcterms:W3CDTF">2026-02-04T07:57:00Z</dcterms:modified>
</cp:coreProperties>
</file>