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C7C70" w14:textId="77777777" w:rsidR="00003960" w:rsidRDefault="00000000">
      <w:pPr>
        <w:spacing w:before="480" w:after="120"/>
        <w:jc w:val="center"/>
      </w:pPr>
      <w:r>
        <w:rPr>
          <w:rFonts w:eastAsia="Arial"/>
          <w:b/>
          <w:bCs/>
          <w:color w:val="1A2E52"/>
          <w:sz w:val="56"/>
          <w:szCs w:val="56"/>
        </w:rPr>
        <w:t>AEGIS NEXUS</w:t>
      </w:r>
    </w:p>
    <w:p w14:paraId="0DBE9DBF" w14:textId="77777777" w:rsidR="00003960" w:rsidRDefault="00000000">
      <w:pPr>
        <w:spacing w:after="120"/>
        <w:jc w:val="center"/>
      </w:pPr>
      <w:r>
        <w:rPr>
          <w:rFonts w:eastAsia="Arial"/>
          <w:color w:val="0D9488"/>
          <w:sz w:val="32"/>
          <w:szCs w:val="32"/>
        </w:rPr>
        <w:t>Presentation Script</w:t>
      </w:r>
    </w:p>
    <w:p w14:paraId="64B65FAF" w14:textId="77777777" w:rsidR="00003960" w:rsidRDefault="00000000">
      <w:pPr>
        <w:spacing w:after="120"/>
        <w:jc w:val="center"/>
      </w:pPr>
      <w:r>
        <w:rPr>
          <w:rFonts w:eastAsia="Arial"/>
          <w:color w:val="64748B"/>
          <w:sz w:val="22"/>
          <w:szCs w:val="22"/>
        </w:rPr>
        <w:t xml:space="preserve">RSM 8542 Analytics for Marketing </w:t>
      </w:r>
      <w:proofErr w:type="gramStart"/>
      <w:r>
        <w:rPr>
          <w:rFonts w:eastAsia="Arial"/>
          <w:color w:val="64748B"/>
          <w:sz w:val="22"/>
          <w:szCs w:val="22"/>
        </w:rPr>
        <w:t>Strategy  ·</w:t>
      </w:r>
      <w:proofErr w:type="gramEnd"/>
      <w:r>
        <w:rPr>
          <w:rFonts w:eastAsia="Arial"/>
          <w:color w:val="64748B"/>
          <w:sz w:val="22"/>
          <w:szCs w:val="22"/>
        </w:rPr>
        <w:t xml:space="preserve">  Spring </w:t>
      </w:r>
      <w:proofErr w:type="gramStart"/>
      <w:r>
        <w:rPr>
          <w:rFonts w:eastAsia="Arial"/>
          <w:color w:val="64748B"/>
          <w:sz w:val="22"/>
          <w:szCs w:val="22"/>
        </w:rPr>
        <w:t>2026  ·</w:t>
      </w:r>
      <w:proofErr w:type="gramEnd"/>
      <w:r>
        <w:rPr>
          <w:rFonts w:eastAsia="Arial"/>
          <w:color w:val="64748B"/>
          <w:sz w:val="22"/>
          <w:szCs w:val="22"/>
        </w:rPr>
        <w:t xml:space="preserve">  Tony Chen</w:t>
      </w:r>
    </w:p>
    <w:p w14:paraId="4381985D" w14:textId="77777777" w:rsidR="00003960" w:rsidRDefault="00000000">
      <w:pPr>
        <w:spacing w:after="480"/>
        <w:jc w:val="center"/>
      </w:pPr>
      <w:r>
        <w:rPr>
          <w:rFonts w:eastAsia="Arial"/>
          <w:b/>
          <w:bCs/>
          <w:color w:val="D4860B"/>
          <w:sz w:val="22"/>
          <w:szCs w:val="22"/>
        </w:rPr>
        <w:t xml:space="preserve">Total speaking time target: 5 </w:t>
      </w:r>
      <w:proofErr w:type="gramStart"/>
      <w:r>
        <w:rPr>
          <w:rFonts w:eastAsia="Arial"/>
          <w:b/>
          <w:bCs/>
          <w:color w:val="D4860B"/>
          <w:sz w:val="22"/>
          <w:szCs w:val="22"/>
        </w:rPr>
        <w:t>minutes  |</w:t>
      </w:r>
      <w:proofErr w:type="gramEnd"/>
      <w:r>
        <w:rPr>
          <w:rFonts w:eastAsia="Arial"/>
          <w:b/>
          <w:bCs/>
          <w:color w:val="D4860B"/>
          <w:sz w:val="22"/>
          <w:szCs w:val="22"/>
        </w:rPr>
        <w:t xml:space="preserve">  Leave 1 minute for Q&amp;A</w:t>
      </w:r>
    </w:p>
    <w:p w14:paraId="5DBEEED1" w14:textId="77777777" w:rsidR="00003960" w:rsidRDefault="00003960">
      <w:pPr>
        <w:pBdr>
          <w:bottom w:val="single" w:sz="4" w:space="1" w:color="C8DCF5"/>
        </w:pBdr>
        <w:spacing w:after="240"/>
      </w:pPr>
    </w:p>
    <w:p w14:paraId="00DCA943" w14:textId="77777777" w:rsidR="00003960" w:rsidRDefault="00000000">
      <w:pPr>
        <w:spacing w:after="80"/>
      </w:pPr>
      <w:r>
        <w:rPr>
          <w:rFonts w:eastAsia="Arial"/>
          <w:b/>
          <w:bCs/>
          <w:color w:val="1A2E52"/>
          <w:sz w:val="26"/>
          <w:szCs w:val="26"/>
        </w:rPr>
        <w:t>How to use this script</w:t>
      </w:r>
    </w:p>
    <w:p w14:paraId="2C5620F2" w14:textId="77777777" w:rsidR="00003960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4155"/>
        </w:rPr>
        <w:t>Each slide section has a timing target. Total budget is 5 minutes — stay within it.</w:t>
      </w:r>
    </w:p>
    <w:p w14:paraId="7F3AA0D4" w14:textId="77777777" w:rsidR="00003960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4155"/>
        </w:rPr>
        <w:t>The script text is what you should say, not read word-for-word. Internalize the ideas, speak naturally.</w:t>
      </w:r>
    </w:p>
    <w:p w14:paraId="0738E436" w14:textId="77777777" w:rsidR="00003960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4155"/>
        </w:rPr>
        <w:t>Notes in each section are delivery cues, not content.</w:t>
      </w:r>
    </w:p>
    <w:p w14:paraId="2C9798CD" w14:textId="77777777" w:rsidR="00003960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4155"/>
        </w:rPr>
        <w:t>The A/B test numbers and CLV figures on Slide 6–7 should be delivered from memory — they are your strongest credibility signal.</w:t>
      </w:r>
    </w:p>
    <w:p w14:paraId="4ECDB841" w14:textId="77777777" w:rsidR="00003960" w:rsidRDefault="00003960">
      <w:pPr>
        <w:spacing w:after="240"/>
      </w:pPr>
    </w:p>
    <w:p w14:paraId="45226FE7" w14:textId="77777777" w:rsidR="00003960" w:rsidRDefault="00003960">
      <w:pPr>
        <w:pBdr>
          <w:bottom w:val="single" w:sz="4" w:space="1" w:color="C8DCF5"/>
        </w:pBdr>
        <w:spacing w:after="240"/>
      </w:pPr>
    </w:p>
    <w:p w14:paraId="552BC609" w14:textId="77777777" w:rsidR="00003960" w:rsidRDefault="00000000">
      <w:pPr>
        <w:pStyle w:val="1"/>
      </w:pPr>
      <w:r>
        <w:t xml:space="preserve">Slide 1 — </w:t>
      </w:r>
      <w:proofErr w:type="gramStart"/>
      <w:r>
        <w:t>Title  (</w:t>
      </w:r>
      <w:proofErr w:type="gramEnd"/>
      <w:r>
        <w:t>0:00–0:20)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03960" w14:paraId="7751EA14" w14:textId="77777777">
        <w:tc>
          <w:tcPr>
            <w:tcW w:w="9360" w:type="dxa"/>
            <w:tcBorders>
              <w:top w:val="single" w:sz="3" w:space="0" w:color="D4860B"/>
              <w:left w:val="single" w:sz="3" w:space="0" w:color="D4860B"/>
              <w:bottom w:val="single" w:sz="3" w:space="0" w:color="D4860B"/>
              <w:right w:val="single" w:sz="3" w:space="0" w:color="D4860B"/>
            </w:tcBorders>
            <w:shd w:val="clear" w:color="auto" w:fill="FEF3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92E4D" w14:textId="77777777" w:rsidR="00003960" w:rsidRDefault="00000000">
            <w:r>
              <w:rPr>
                <w:rFonts w:eastAsia="Arial"/>
                <w:b/>
                <w:bCs/>
                <w:color w:val="92400E"/>
                <w:sz w:val="22"/>
                <w:szCs w:val="22"/>
              </w:rPr>
              <w:t>⏱ ~20 seconds</w:t>
            </w:r>
          </w:p>
        </w:tc>
      </w:tr>
    </w:tbl>
    <w:p w14:paraId="1C8E049E" w14:textId="77777777" w:rsidR="00003960" w:rsidRDefault="00000000">
      <w:pPr>
        <w:spacing w:after="120"/>
      </w:pPr>
      <w:r>
        <w:rPr>
          <w:rFonts w:eastAsia="Arial"/>
          <w:color w:val="334155"/>
        </w:rPr>
        <w:t>Good [morning/afternoon]. My name is Tony Chen, and today I'm pitching Aegis Nexus — an AI-enabled cloud asset-streaming platform for mobile and PC gaming.</w:t>
      </w:r>
    </w:p>
    <w:p w14:paraId="0F53E4EA" w14:textId="77777777" w:rsidR="00003960" w:rsidRDefault="00000000">
      <w:pPr>
        <w:spacing w:after="120"/>
      </w:pPr>
      <w:r>
        <w:rPr>
          <w:rFonts w:eastAsia="Arial"/>
          <w:color w:val="334155"/>
        </w:rPr>
        <w:t>The tagline is simple: Play Any Game. Skip the Download.</w:t>
      </w:r>
    </w:p>
    <w:p w14:paraId="20818B60" w14:textId="77777777" w:rsidR="00003960" w:rsidRDefault="00000000">
      <w:pPr>
        <w:spacing w:after="120"/>
      </w:pPr>
      <w:r>
        <w:rPr>
          <w:rFonts w:eastAsia="Arial"/>
          <w:color w:val="334155"/>
        </w:rPr>
        <w:t>In the next six minutes I'll walk you through the problem we're solving, the product, our marketing strategy, and the data behind every launch decision.</w:t>
      </w:r>
    </w:p>
    <w:p w14:paraId="24CC955A" w14:textId="77777777" w:rsidR="00003960" w:rsidRDefault="00003960">
      <w:pPr>
        <w:spacing w:after="80"/>
      </w:pPr>
    </w:p>
    <w:p w14:paraId="578A6F5E" w14:textId="77777777" w:rsidR="00003960" w:rsidRDefault="00000000">
      <w:pPr>
        <w:spacing w:after="80"/>
      </w:pPr>
      <w:proofErr w:type="gramStart"/>
      <w:r>
        <w:rPr>
          <w:rFonts w:eastAsia="Arial"/>
          <w:color w:val="94A3B8"/>
          <w:sz w:val="21"/>
          <w:szCs w:val="21"/>
        </w:rPr>
        <w:t>📋  Delivery</w:t>
      </w:r>
      <w:proofErr w:type="gramEnd"/>
      <w:r>
        <w:rPr>
          <w:rFonts w:eastAsia="Arial"/>
          <w:color w:val="94A3B8"/>
          <w:sz w:val="21"/>
          <w:szCs w:val="21"/>
        </w:rPr>
        <w:t xml:space="preserve"> note: Make eye contact, speak confidently. Don't read the tagline — say it like you mean it.</w:t>
      </w:r>
    </w:p>
    <w:p w14:paraId="74DF4289" w14:textId="77777777" w:rsidR="00003960" w:rsidRDefault="00003960">
      <w:pPr>
        <w:pBdr>
          <w:bottom w:val="single" w:sz="4" w:space="1" w:color="C8DCF5"/>
        </w:pBdr>
        <w:spacing w:after="240"/>
      </w:pPr>
    </w:p>
    <w:p w14:paraId="3408765C" w14:textId="77777777" w:rsidR="00003960" w:rsidRDefault="00000000">
      <w:pPr>
        <w:pStyle w:val="1"/>
      </w:pPr>
      <w:r>
        <w:t xml:space="preserve">Slide 2 — The Problem &amp; Target </w:t>
      </w:r>
      <w:proofErr w:type="gramStart"/>
      <w:r>
        <w:t>Customer  (</w:t>
      </w:r>
      <w:proofErr w:type="gramEnd"/>
      <w:r>
        <w:t>0:20–1:00)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03960" w14:paraId="099C5154" w14:textId="77777777">
        <w:tc>
          <w:tcPr>
            <w:tcW w:w="9360" w:type="dxa"/>
            <w:tcBorders>
              <w:top w:val="single" w:sz="3" w:space="0" w:color="D4860B"/>
              <w:left w:val="single" w:sz="3" w:space="0" w:color="D4860B"/>
              <w:bottom w:val="single" w:sz="3" w:space="0" w:color="D4860B"/>
              <w:right w:val="single" w:sz="3" w:space="0" w:color="D4860B"/>
            </w:tcBorders>
            <w:shd w:val="clear" w:color="auto" w:fill="FEF3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B1732D" w14:textId="77777777" w:rsidR="00003960" w:rsidRDefault="00000000">
            <w:r>
              <w:rPr>
                <w:rFonts w:eastAsia="Arial"/>
                <w:b/>
                <w:bCs/>
                <w:color w:val="92400E"/>
                <w:sz w:val="22"/>
                <w:szCs w:val="22"/>
              </w:rPr>
              <w:t>⏱ ~40 seconds</w:t>
            </w:r>
          </w:p>
        </w:tc>
      </w:tr>
    </w:tbl>
    <w:p w14:paraId="4CE8BE09" w14:textId="1A74EF66" w:rsidR="00003960" w:rsidRDefault="00000000">
      <w:pPr>
        <w:spacing w:after="120"/>
      </w:pPr>
      <w:r>
        <w:rPr>
          <w:rFonts w:eastAsia="Arial"/>
          <w:color w:val="334155"/>
        </w:rPr>
        <w:t>Modern AAA mobile games are enormous. The average mid-range smartphone has 64 to 128 GB total — and most of that is already full.</w:t>
      </w:r>
    </w:p>
    <w:p w14:paraId="17CF33CB" w14:textId="77777777" w:rsidR="00003960" w:rsidRPr="0058485F" w:rsidRDefault="00000000">
      <w:pPr>
        <w:spacing w:after="120"/>
        <w:rPr>
          <w:strike/>
        </w:rPr>
      </w:pPr>
      <w:r w:rsidRPr="0058485F">
        <w:rPr>
          <w:rFonts w:eastAsia="Arial"/>
          <w:strike/>
          <w:color w:val="334155"/>
        </w:rPr>
        <w:lastRenderedPageBreak/>
        <w:t xml:space="preserve">On the right side you're seeing an actual iPhone storage screen from </w:t>
      </w:r>
      <w:proofErr w:type="spellStart"/>
      <w:r w:rsidRPr="0058485F">
        <w:rPr>
          <w:rFonts w:eastAsia="Arial"/>
          <w:strike/>
          <w:color w:val="334155"/>
        </w:rPr>
        <w:t>HoYoLAB</w:t>
      </w:r>
      <w:proofErr w:type="spellEnd"/>
      <w:r w:rsidRPr="0058485F">
        <w:rPr>
          <w:rFonts w:eastAsia="Arial"/>
          <w:strike/>
          <w:color w:val="334155"/>
        </w:rPr>
        <w:t>: Genshin Impact alone takes 32 GB. That user has 99 of 128 GB used.</w:t>
      </w:r>
    </w:p>
    <w:p w14:paraId="0302A208" w14:textId="77777777" w:rsidR="00003960" w:rsidRDefault="00000000">
      <w:pPr>
        <w:spacing w:after="120"/>
      </w:pPr>
      <w:r>
        <w:rPr>
          <w:rFonts w:eastAsia="Arial"/>
          <w:color w:val="334155"/>
        </w:rPr>
        <w:t xml:space="preserve">Our target customer is the mid-range smartphone gamer — the single largest and fastest-growing segment in mobile gaming globally. These users want to play the best games but are forced to </w:t>
      </w:r>
      <w:proofErr w:type="gramStart"/>
      <w:r>
        <w:rPr>
          <w:rFonts w:eastAsia="Arial"/>
          <w:color w:val="334155"/>
        </w:rPr>
        <w:t>choose:</w:t>
      </w:r>
      <w:proofErr w:type="gramEnd"/>
      <w:r>
        <w:rPr>
          <w:rFonts w:eastAsia="Arial"/>
          <w:color w:val="334155"/>
        </w:rPr>
        <w:t xml:space="preserve"> delete an existing app or skip the new one entirely.</w:t>
      </w:r>
    </w:p>
    <w:p w14:paraId="170EB1A0" w14:textId="77777777" w:rsidR="00003960" w:rsidRDefault="00000000">
      <w:pPr>
        <w:spacing w:after="120"/>
      </w:pPr>
      <w:r>
        <w:rPr>
          <w:rFonts w:eastAsia="Arial"/>
          <w:color w:val="334155"/>
        </w:rPr>
        <w:t>And publishers feel this too. Large file sizes mean abandoned installs, lower retention, and lost revenue. Aegis Nexus solves the problem for both sides.</w:t>
      </w:r>
    </w:p>
    <w:p w14:paraId="29C0FAC1" w14:textId="77777777" w:rsidR="00003960" w:rsidRDefault="00003960">
      <w:pPr>
        <w:spacing w:after="80"/>
      </w:pPr>
    </w:p>
    <w:p w14:paraId="6B608E5C" w14:textId="77777777" w:rsidR="00003960" w:rsidRDefault="00000000">
      <w:pPr>
        <w:spacing w:after="80"/>
      </w:pPr>
      <w:proofErr w:type="gramStart"/>
      <w:r>
        <w:rPr>
          <w:rFonts w:eastAsia="Arial"/>
          <w:color w:val="94A3B8"/>
          <w:sz w:val="21"/>
          <w:szCs w:val="21"/>
        </w:rPr>
        <w:t>📋  Delivery</w:t>
      </w:r>
      <w:proofErr w:type="gramEnd"/>
      <w:r>
        <w:rPr>
          <w:rFonts w:eastAsia="Arial"/>
          <w:color w:val="94A3B8"/>
          <w:sz w:val="21"/>
          <w:szCs w:val="21"/>
        </w:rPr>
        <w:t xml:space="preserve"> note: Point to the storage bar chart on the left, then the iPhone screenshot. Keep energy high — this is the hook.</w:t>
      </w:r>
    </w:p>
    <w:p w14:paraId="72424DDD" w14:textId="77777777" w:rsidR="00003960" w:rsidRDefault="00003960">
      <w:pPr>
        <w:pBdr>
          <w:bottom w:val="single" w:sz="4" w:space="1" w:color="C8DCF5"/>
        </w:pBdr>
        <w:spacing w:after="240"/>
      </w:pPr>
    </w:p>
    <w:p w14:paraId="74B20D72" w14:textId="77777777" w:rsidR="00003960" w:rsidRDefault="00000000">
      <w:pPr>
        <w:pStyle w:val="1"/>
      </w:pPr>
      <w:r>
        <w:t xml:space="preserve">Slide 3 — Product &amp; </w:t>
      </w:r>
      <w:proofErr w:type="gramStart"/>
      <w:r>
        <w:t>Positioning  (</w:t>
      </w:r>
      <w:proofErr w:type="gramEnd"/>
      <w:r>
        <w:t>1:00–1:50)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03960" w14:paraId="2F6AB99E" w14:textId="77777777">
        <w:tc>
          <w:tcPr>
            <w:tcW w:w="9360" w:type="dxa"/>
            <w:tcBorders>
              <w:top w:val="single" w:sz="3" w:space="0" w:color="D4860B"/>
              <w:left w:val="single" w:sz="3" w:space="0" w:color="D4860B"/>
              <w:bottom w:val="single" w:sz="3" w:space="0" w:color="D4860B"/>
              <w:right w:val="single" w:sz="3" w:space="0" w:color="D4860B"/>
            </w:tcBorders>
            <w:shd w:val="clear" w:color="auto" w:fill="FEF3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BAB97C" w14:textId="77777777" w:rsidR="00003960" w:rsidRDefault="00000000">
            <w:r>
              <w:rPr>
                <w:rFonts w:eastAsia="Arial"/>
                <w:b/>
                <w:bCs/>
                <w:color w:val="92400E"/>
                <w:sz w:val="22"/>
                <w:szCs w:val="22"/>
              </w:rPr>
              <w:t>⏱ ~50 seconds</w:t>
            </w:r>
          </w:p>
        </w:tc>
      </w:tr>
    </w:tbl>
    <w:p w14:paraId="2C5FA7B5" w14:textId="77777777" w:rsidR="00003960" w:rsidRDefault="00000000">
      <w:pPr>
        <w:spacing w:after="120"/>
      </w:pPr>
      <w:proofErr w:type="gramStart"/>
      <w:r>
        <w:rPr>
          <w:rFonts w:eastAsia="Arial"/>
          <w:color w:val="334155"/>
        </w:rPr>
        <w:t>So</w:t>
      </w:r>
      <w:proofErr w:type="gramEnd"/>
      <w:r>
        <w:rPr>
          <w:rFonts w:eastAsia="Arial"/>
          <w:color w:val="334155"/>
        </w:rPr>
        <w:t xml:space="preserve"> what is Aegis Nexus — and more importantly, what is it not?</w:t>
      </w:r>
    </w:p>
    <w:p w14:paraId="6CB1A544" w14:textId="77777777" w:rsidR="00003960" w:rsidRDefault="00000000">
      <w:pPr>
        <w:spacing w:after="120"/>
      </w:pPr>
      <w:r>
        <w:rPr>
          <w:rFonts w:eastAsia="Arial"/>
          <w:color w:val="334155"/>
        </w:rPr>
        <w:t xml:space="preserve">It is NOT full-game cloud streaming. We are not GeForce </w:t>
      </w:r>
      <w:proofErr w:type="gramStart"/>
      <w:r>
        <w:rPr>
          <w:rFonts w:eastAsia="Arial"/>
          <w:color w:val="334155"/>
        </w:rPr>
        <w:t>NOW,</w:t>
      </w:r>
      <w:proofErr w:type="gramEnd"/>
      <w:r>
        <w:rPr>
          <w:rFonts w:eastAsia="Arial"/>
          <w:color w:val="334155"/>
        </w:rPr>
        <w:t xml:space="preserve"> we are not Xbox Cloud Gaming. Those services render the entire game on a remote server and stream the video back to you. That requires massive server-side </w:t>
      </w:r>
      <w:proofErr w:type="gramStart"/>
      <w:r>
        <w:rPr>
          <w:rFonts w:eastAsia="Arial"/>
          <w:color w:val="334155"/>
        </w:rPr>
        <w:t>compute, and</w:t>
      </w:r>
      <w:proofErr w:type="gramEnd"/>
      <w:r>
        <w:rPr>
          <w:rFonts w:eastAsia="Arial"/>
          <w:color w:val="334155"/>
        </w:rPr>
        <w:t xml:space="preserve"> introduces latency with every frame.</w:t>
      </w:r>
    </w:p>
    <w:p w14:paraId="761E0BB9" w14:textId="77777777" w:rsidR="00003960" w:rsidRDefault="00000000">
      <w:pPr>
        <w:spacing w:after="120"/>
      </w:pPr>
      <w:r>
        <w:rPr>
          <w:rFonts w:eastAsia="Arial"/>
          <w:color w:val="334155"/>
        </w:rPr>
        <w:t>Aegis Nexus takes a fundamentally different approach. The game logic runs locally on your device. We stream only the graphical assets — textures, audio, geometry — on demand. The result is near-zero latency because your CPU and GPU are doing the work. And instead of a 40-72 GB install, your client is about 50 megabytes.</w:t>
      </w:r>
    </w:p>
    <w:p w14:paraId="79B4B94E" w14:textId="77777777" w:rsidR="00003960" w:rsidRDefault="00000000">
      <w:pPr>
        <w:spacing w:after="120"/>
      </w:pPr>
      <w:r>
        <w:rPr>
          <w:rFonts w:eastAsia="Arial"/>
          <w:color w:val="334155"/>
        </w:rPr>
        <w:t>Our positioning: For mobile gamers with limited storage who refuse to compromise on quality, Aegis Nexus is the only asset-streaming platform that delivers instant, full-fidelity gameplay — without the download.</w:t>
      </w:r>
    </w:p>
    <w:p w14:paraId="2535E457" w14:textId="77777777" w:rsidR="00003960" w:rsidRDefault="00000000">
      <w:pPr>
        <w:spacing w:after="120"/>
      </w:pPr>
      <w:r>
        <w:rPr>
          <w:rFonts w:eastAsia="Arial"/>
          <w:color w:val="334155"/>
        </w:rPr>
        <w:t>Versus full-game cloud: lower latency. Versus local install: zero storage burden.</w:t>
      </w:r>
    </w:p>
    <w:p w14:paraId="1F85B2F3" w14:textId="77777777" w:rsidR="00003960" w:rsidRDefault="00003960">
      <w:pPr>
        <w:spacing w:after="80"/>
      </w:pPr>
    </w:p>
    <w:p w14:paraId="672EE9D8" w14:textId="77777777" w:rsidR="00003960" w:rsidRDefault="00000000">
      <w:pPr>
        <w:spacing w:after="80"/>
      </w:pPr>
      <w:proofErr w:type="gramStart"/>
      <w:r>
        <w:rPr>
          <w:rFonts w:eastAsia="Arial"/>
          <w:color w:val="94A3B8"/>
          <w:sz w:val="21"/>
          <w:szCs w:val="21"/>
        </w:rPr>
        <w:t>📋  Delivery</w:t>
      </w:r>
      <w:proofErr w:type="gramEnd"/>
      <w:r>
        <w:rPr>
          <w:rFonts w:eastAsia="Arial"/>
          <w:color w:val="94A3B8"/>
          <w:sz w:val="21"/>
          <w:szCs w:val="21"/>
        </w:rPr>
        <w:t xml:space="preserve"> note: Use your hands to distinguish 'their model' vs 'our model'. The positioning statement should be delivered slowly and clearly.</w:t>
      </w:r>
    </w:p>
    <w:p w14:paraId="0DCDEDF2" w14:textId="77777777" w:rsidR="00003960" w:rsidRDefault="00003960">
      <w:pPr>
        <w:pBdr>
          <w:bottom w:val="single" w:sz="4" w:space="1" w:color="C8DCF5"/>
        </w:pBdr>
        <w:spacing w:after="240"/>
      </w:pPr>
    </w:p>
    <w:p w14:paraId="302E14A9" w14:textId="77777777" w:rsidR="00003960" w:rsidRDefault="00000000">
      <w:pPr>
        <w:pStyle w:val="1"/>
      </w:pPr>
      <w:r>
        <w:t xml:space="preserve">Slide 4 — Pricing &amp; Channel </w:t>
      </w:r>
      <w:proofErr w:type="gramStart"/>
      <w:r>
        <w:t>Strategy  (</w:t>
      </w:r>
      <w:proofErr w:type="gramEnd"/>
      <w:r>
        <w:t>1:50–2:30)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03960" w14:paraId="6862D328" w14:textId="77777777">
        <w:tc>
          <w:tcPr>
            <w:tcW w:w="9360" w:type="dxa"/>
            <w:tcBorders>
              <w:top w:val="single" w:sz="3" w:space="0" w:color="D4860B"/>
              <w:left w:val="single" w:sz="3" w:space="0" w:color="D4860B"/>
              <w:bottom w:val="single" w:sz="3" w:space="0" w:color="D4860B"/>
              <w:right w:val="single" w:sz="3" w:space="0" w:color="D4860B"/>
            </w:tcBorders>
            <w:shd w:val="clear" w:color="auto" w:fill="FEF3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DB76A0" w14:textId="77777777" w:rsidR="00003960" w:rsidRDefault="00000000">
            <w:r>
              <w:rPr>
                <w:rFonts w:eastAsia="Arial"/>
                <w:b/>
                <w:bCs/>
                <w:color w:val="92400E"/>
                <w:sz w:val="22"/>
                <w:szCs w:val="22"/>
              </w:rPr>
              <w:t>⏱ ~40 seconds</w:t>
            </w:r>
          </w:p>
        </w:tc>
      </w:tr>
    </w:tbl>
    <w:p w14:paraId="324B891D" w14:textId="77777777" w:rsidR="00003960" w:rsidRDefault="00000000">
      <w:pPr>
        <w:spacing w:after="120"/>
      </w:pPr>
      <w:r>
        <w:rPr>
          <w:rFonts w:eastAsia="Arial"/>
          <w:color w:val="334155"/>
        </w:rPr>
        <w:t>We offer two subscription tiers. Basic at $11.99 per month — standard streaming quality, competitive with Xbox Game Pass Core — and Premium at $18.99, which offers higher fidelity and priority cloud access, aligned with GeForce NOW Priority pricing.</w:t>
      </w:r>
    </w:p>
    <w:p w14:paraId="16D7E060" w14:textId="77777777" w:rsidR="00003960" w:rsidRDefault="00000000">
      <w:pPr>
        <w:spacing w:after="120"/>
      </w:pPr>
      <w:r>
        <w:rPr>
          <w:rFonts w:eastAsia="Arial"/>
          <w:color w:val="334155"/>
        </w:rPr>
        <w:t xml:space="preserve">Revenue comes from two sources: the monthly subscription fee, and a revenue-sharing </w:t>
      </w:r>
      <w:r>
        <w:rPr>
          <w:rFonts w:eastAsia="Arial"/>
          <w:color w:val="334155"/>
        </w:rPr>
        <w:lastRenderedPageBreak/>
        <w:t>arrangement with participating game publishers.</w:t>
      </w:r>
    </w:p>
    <w:p w14:paraId="72C7773F" w14:textId="77777777" w:rsidR="00003960" w:rsidRDefault="00000000">
      <w:pPr>
        <w:spacing w:after="120"/>
      </w:pPr>
      <w:r>
        <w:rPr>
          <w:rFonts w:eastAsia="Arial"/>
          <w:color w:val="334155"/>
        </w:rPr>
        <w:t xml:space="preserve">The channel journey follows five steps: Discover through playable ads on Meta and TikTok — where the user </w:t>
      </w:r>
      <w:proofErr w:type="gramStart"/>
      <w:r>
        <w:rPr>
          <w:rFonts w:eastAsia="Arial"/>
          <w:color w:val="334155"/>
        </w:rPr>
        <w:t>actually plays</w:t>
      </w:r>
      <w:proofErr w:type="gramEnd"/>
      <w:r>
        <w:rPr>
          <w:rFonts w:eastAsia="Arial"/>
          <w:color w:val="334155"/>
        </w:rPr>
        <w:t xml:space="preserve"> a streamed demo inside the ad before installing. Evaluate, Install via a 50 MB app store download. Subscribe via an in-app prompt at day three. And Retain through our AI churn model.</w:t>
      </w:r>
    </w:p>
    <w:p w14:paraId="6936AAD0" w14:textId="77777777" w:rsidR="00003960" w:rsidRDefault="00000000">
      <w:pPr>
        <w:spacing w:after="120"/>
      </w:pPr>
      <w:r>
        <w:rPr>
          <w:rFonts w:eastAsia="Arial"/>
          <w:color w:val="334155"/>
        </w:rPr>
        <w:t>The Samsung Gaming Hub image here isn't accidental — it shows a real precedent for integrating third-party streaming services into device ecosystems. That's the partnership channel we're targeting in Phase 2.</w:t>
      </w:r>
    </w:p>
    <w:p w14:paraId="7143E239" w14:textId="77777777" w:rsidR="00003960" w:rsidRDefault="00003960">
      <w:pPr>
        <w:spacing w:after="80"/>
      </w:pPr>
    </w:p>
    <w:p w14:paraId="544A9DCA" w14:textId="77777777" w:rsidR="00003960" w:rsidRDefault="00000000">
      <w:pPr>
        <w:spacing w:after="80"/>
      </w:pPr>
      <w:proofErr w:type="gramStart"/>
      <w:r>
        <w:rPr>
          <w:rFonts w:eastAsia="Arial"/>
          <w:color w:val="94A3B8"/>
          <w:sz w:val="21"/>
          <w:szCs w:val="21"/>
        </w:rPr>
        <w:t>📋  Delivery</w:t>
      </w:r>
      <w:proofErr w:type="gramEnd"/>
      <w:r>
        <w:rPr>
          <w:rFonts w:eastAsia="Arial"/>
          <w:color w:val="94A3B8"/>
          <w:sz w:val="21"/>
          <w:szCs w:val="21"/>
        </w:rPr>
        <w:t xml:space="preserve"> note: Walk through the five-step channel flow at the bottom deliberately. Don't rush it.</w:t>
      </w:r>
    </w:p>
    <w:p w14:paraId="4D943C9A" w14:textId="77777777" w:rsidR="00003960" w:rsidRDefault="00003960">
      <w:pPr>
        <w:pBdr>
          <w:bottom w:val="single" w:sz="4" w:space="1" w:color="C8DCF5"/>
        </w:pBdr>
        <w:spacing w:after="240"/>
      </w:pPr>
    </w:p>
    <w:p w14:paraId="4AE5C134" w14:textId="77777777" w:rsidR="00003960" w:rsidRDefault="00000000">
      <w:pPr>
        <w:pStyle w:val="1"/>
      </w:pPr>
      <w:r>
        <w:t xml:space="preserve">Slide 5 — Marketing </w:t>
      </w:r>
      <w:proofErr w:type="gramStart"/>
      <w:r>
        <w:t>Communications  (</w:t>
      </w:r>
      <w:proofErr w:type="gramEnd"/>
      <w:r>
        <w:t>2:30–3:10)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03960" w14:paraId="6D8EC3DD" w14:textId="77777777">
        <w:tc>
          <w:tcPr>
            <w:tcW w:w="9360" w:type="dxa"/>
            <w:tcBorders>
              <w:top w:val="single" w:sz="3" w:space="0" w:color="D4860B"/>
              <w:left w:val="single" w:sz="3" w:space="0" w:color="D4860B"/>
              <w:bottom w:val="single" w:sz="3" w:space="0" w:color="D4860B"/>
              <w:right w:val="single" w:sz="3" w:space="0" w:color="D4860B"/>
            </w:tcBorders>
            <w:shd w:val="clear" w:color="auto" w:fill="FEF3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31B8E3" w14:textId="77777777" w:rsidR="00003960" w:rsidRDefault="00000000">
            <w:r>
              <w:rPr>
                <w:rFonts w:eastAsia="Arial"/>
                <w:b/>
                <w:bCs/>
                <w:color w:val="92400E"/>
                <w:sz w:val="22"/>
                <w:szCs w:val="22"/>
              </w:rPr>
              <w:t>⏱ ~40 seconds</w:t>
            </w:r>
          </w:p>
        </w:tc>
      </w:tr>
    </w:tbl>
    <w:p w14:paraId="18FCE89A" w14:textId="77777777" w:rsidR="00003960" w:rsidRDefault="00000000">
      <w:pPr>
        <w:spacing w:after="120"/>
      </w:pPr>
      <w:r>
        <w:rPr>
          <w:rFonts w:eastAsia="Arial"/>
          <w:color w:val="334155"/>
        </w:rPr>
        <w:t>Our campaign theme is: 'Your Game, Your Device — No Storage, No Compromise.'</w:t>
      </w:r>
    </w:p>
    <w:p w14:paraId="39742467" w14:textId="77777777" w:rsidR="00003960" w:rsidRDefault="00000000">
      <w:pPr>
        <w:spacing w:after="120"/>
      </w:pPr>
      <w:r>
        <w:rPr>
          <w:rFonts w:eastAsia="Arial"/>
          <w:color w:val="334155"/>
        </w:rPr>
        <w:t>Three executions. Primary: the playable ad. The user sees an ad on Meta or TikTok, plays a 60-second streamed demo of the actual game inside the ad, and the call-to-action is 'Start Playing Now — 50 MB Install.' This format self-selects high-intent users — the exact Premium | Heavy profile our CLV analysis identifies as our most valuable segment.</w:t>
      </w:r>
    </w:p>
    <w:p w14:paraId="37A54FB2" w14:textId="77777777" w:rsidR="00003960" w:rsidRDefault="00000000">
      <w:pPr>
        <w:spacing w:after="120"/>
      </w:pPr>
      <w:r>
        <w:rPr>
          <w:rFonts w:eastAsia="Arial"/>
          <w:color w:val="334155"/>
        </w:rPr>
        <w:t>Second: influencer seeding. We seed gaming micro-influencers on TikTok and YouTube Shorts with a specific narrative — 'I freed up 70 GB on my phone.' Authentic, relatable, visual.</w:t>
      </w:r>
    </w:p>
    <w:p w14:paraId="5BEF360E" w14:textId="77777777" w:rsidR="00003960" w:rsidRDefault="00000000">
      <w:pPr>
        <w:spacing w:after="120"/>
      </w:pPr>
      <w:r>
        <w:rPr>
          <w:rFonts w:eastAsia="Arial"/>
          <w:color w:val="334155"/>
        </w:rPr>
        <w:t xml:space="preserve">Third: App Store </w:t>
      </w:r>
      <w:proofErr w:type="spellStart"/>
      <w:r>
        <w:rPr>
          <w:rFonts w:eastAsia="Arial"/>
          <w:color w:val="334155"/>
        </w:rPr>
        <w:t>optimisation</w:t>
      </w:r>
      <w:proofErr w:type="spellEnd"/>
      <w:r>
        <w:rPr>
          <w:rFonts w:eastAsia="Arial"/>
          <w:color w:val="334155"/>
        </w:rPr>
        <w:t xml:space="preserve"> targeting 'play without downloading' keywords, combined with Google UAC targeting heavy-gaming genres and retargeting lapsed mobile gamers.</w:t>
      </w:r>
    </w:p>
    <w:p w14:paraId="02F9A17D" w14:textId="77777777" w:rsidR="00003960" w:rsidRDefault="00000000">
      <w:pPr>
        <w:spacing w:after="120"/>
      </w:pPr>
      <w:r>
        <w:rPr>
          <w:rFonts w:eastAsia="Arial"/>
          <w:color w:val="334155"/>
        </w:rPr>
        <w:t>Our message hierarchy: storage freedom first — that's the rational hook. Instant play is the emotional appeal. Publisher breadth is the social proof.</w:t>
      </w:r>
    </w:p>
    <w:p w14:paraId="3DB4E930" w14:textId="77777777" w:rsidR="00003960" w:rsidRDefault="00003960">
      <w:pPr>
        <w:spacing w:after="80"/>
      </w:pPr>
    </w:p>
    <w:p w14:paraId="6062B9CB" w14:textId="77777777" w:rsidR="00003960" w:rsidRDefault="00000000">
      <w:pPr>
        <w:spacing w:after="80"/>
      </w:pPr>
      <w:proofErr w:type="gramStart"/>
      <w:r>
        <w:rPr>
          <w:rFonts w:eastAsia="Arial"/>
          <w:color w:val="94A3B8"/>
          <w:sz w:val="21"/>
          <w:szCs w:val="21"/>
        </w:rPr>
        <w:t>📋  Delivery</w:t>
      </w:r>
      <w:proofErr w:type="gramEnd"/>
      <w:r>
        <w:rPr>
          <w:rFonts w:eastAsia="Arial"/>
          <w:color w:val="94A3B8"/>
          <w:sz w:val="21"/>
          <w:szCs w:val="21"/>
        </w:rPr>
        <w:t xml:space="preserve"> note: You can briefly mime 'playing a game in an ad' gesture to make the playable ad concept vivid.</w:t>
      </w:r>
    </w:p>
    <w:p w14:paraId="467E8C0B" w14:textId="77777777" w:rsidR="00003960" w:rsidRDefault="00003960">
      <w:pPr>
        <w:pBdr>
          <w:bottom w:val="single" w:sz="4" w:space="1" w:color="C8DCF5"/>
        </w:pBdr>
        <w:spacing w:after="240"/>
      </w:pPr>
    </w:p>
    <w:p w14:paraId="7FCF6007" w14:textId="77777777" w:rsidR="00003960" w:rsidRDefault="00000000">
      <w:pPr>
        <w:pStyle w:val="1"/>
      </w:pPr>
      <w:r>
        <w:t xml:space="preserve">Slide 6 — Analytics </w:t>
      </w:r>
      <w:proofErr w:type="gramStart"/>
      <w:r>
        <w:t>Result  (</w:t>
      </w:r>
      <w:proofErr w:type="gramEnd"/>
      <w:r>
        <w:t>3:10–4:00)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03960" w14:paraId="1881CFC7" w14:textId="77777777">
        <w:tc>
          <w:tcPr>
            <w:tcW w:w="9360" w:type="dxa"/>
            <w:tcBorders>
              <w:top w:val="single" w:sz="3" w:space="0" w:color="D4860B"/>
              <w:left w:val="single" w:sz="3" w:space="0" w:color="D4860B"/>
              <w:bottom w:val="single" w:sz="3" w:space="0" w:color="D4860B"/>
              <w:right w:val="single" w:sz="3" w:space="0" w:color="D4860B"/>
            </w:tcBorders>
            <w:shd w:val="clear" w:color="auto" w:fill="FEF3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A3EB2C" w14:textId="77777777" w:rsidR="00003960" w:rsidRDefault="00000000">
            <w:r>
              <w:rPr>
                <w:rFonts w:eastAsia="Arial"/>
                <w:b/>
                <w:bCs/>
                <w:color w:val="92400E"/>
                <w:sz w:val="22"/>
                <w:szCs w:val="22"/>
              </w:rPr>
              <w:t>⏱ ~50 seconds</w:t>
            </w:r>
          </w:p>
        </w:tc>
      </w:tr>
    </w:tbl>
    <w:p w14:paraId="470CC222" w14:textId="77777777" w:rsidR="00003960" w:rsidRDefault="00000000">
      <w:pPr>
        <w:spacing w:after="120"/>
      </w:pPr>
      <w:r>
        <w:rPr>
          <w:rFonts w:eastAsia="Arial"/>
          <w:color w:val="334155"/>
        </w:rPr>
        <w:t>This is the core analytics slide. Everything here comes from a CLV simulation of 100,000 users across six tier-by-activity segments.</w:t>
      </w:r>
    </w:p>
    <w:p w14:paraId="4F807F12" w14:textId="72B40B1D" w:rsidR="00003960" w:rsidRDefault="00000000">
      <w:pPr>
        <w:spacing w:after="120"/>
      </w:pPr>
      <w:r>
        <w:rPr>
          <w:rFonts w:eastAsia="Arial"/>
          <w:color w:val="334155"/>
        </w:rPr>
        <w:t xml:space="preserve">Portfolio average CLV is $57.52 against an average </w:t>
      </w:r>
      <w:r w:rsidR="007D48D6">
        <w:rPr>
          <w:rFonts w:eastAsia="Arial"/>
          <w:color w:val="334155"/>
        </w:rPr>
        <w:t xml:space="preserve">(Customer Acquisition Cost) </w:t>
      </w:r>
      <w:r>
        <w:rPr>
          <w:rFonts w:eastAsia="Arial"/>
          <w:color w:val="334155"/>
        </w:rPr>
        <w:t xml:space="preserve">CAC </w:t>
      </w:r>
      <w:r>
        <w:rPr>
          <w:rFonts w:eastAsia="Arial"/>
          <w:color w:val="334155"/>
        </w:rPr>
        <w:lastRenderedPageBreak/>
        <w:t>of $29.24 — that's a 2.02x CLV:CAC ratio. 95.1% of acquired users pay back within 12 months.</w:t>
      </w:r>
    </w:p>
    <w:p w14:paraId="0F97C4E3" w14:textId="77777777" w:rsidR="00003960" w:rsidRDefault="00000000">
      <w:pPr>
        <w:spacing w:after="120"/>
      </w:pPr>
      <w:r>
        <w:rPr>
          <w:rFonts w:eastAsia="Arial"/>
          <w:color w:val="334155"/>
        </w:rPr>
        <w:t>But the segmentation is where the real decision lives. Look at the bar chart. Premium users — teal bars — have CLV between $81 and $110. Basic users — navy bars — cluster around $42 to $44. The gap is not small.</w:t>
      </w:r>
    </w:p>
    <w:p w14:paraId="4C68E8CB" w14:textId="77777777" w:rsidR="00003960" w:rsidRDefault="00000000">
      <w:pPr>
        <w:spacing w:after="120"/>
      </w:pPr>
      <w:r>
        <w:rPr>
          <w:rFonts w:eastAsia="Arial"/>
          <w:color w:val="334155"/>
        </w:rPr>
        <w:t xml:space="preserve">The table on the right translates this into a concrete launch decision. All Premium segments have a CLV:CAC ratio above 2.0x — they're Priority targets. AI bid </w:t>
      </w:r>
      <w:proofErr w:type="spellStart"/>
      <w:r>
        <w:rPr>
          <w:rFonts w:eastAsia="Arial"/>
          <w:color w:val="334155"/>
        </w:rPr>
        <w:t>optimisers</w:t>
      </w:r>
      <w:proofErr w:type="spellEnd"/>
      <w:r>
        <w:rPr>
          <w:rFonts w:eastAsia="Arial"/>
          <w:color w:val="334155"/>
        </w:rPr>
        <w:t xml:space="preserve"> run playable-ad campaigns for these segments with a max CAC ceiling set at 50% of CLV — so $55 for Premium | Heavy.</w:t>
      </w:r>
    </w:p>
    <w:p w14:paraId="6FB793A7" w14:textId="77777777" w:rsidR="00003960" w:rsidRDefault="00000000">
      <w:pPr>
        <w:spacing w:after="120"/>
      </w:pPr>
      <w:r>
        <w:rPr>
          <w:rFonts w:eastAsia="Arial"/>
          <w:color w:val="334155"/>
        </w:rPr>
        <w:t>Basic segments sit between 1.6 and 1.7x — they're Secondary. Lower-cost social retargeting only. No high-CPM playable-ad spend.</w:t>
      </w:r>
    </w:p>
    <w:p w14:paraId="70A85AB0" w14:textId="77777777" w:rsidR="00003960" w:rsidRDefault="00000000">
      <w:pPr>
        <w:spacing w:after="120"/>
      </w:pPr>
      <w:r>
        <w:rPr>
          <w:rFonts w:eastAsia="Arial"/>
          <w:color w:val="334155"/>
        </w:rPr>
        <w:t>The analytics don't just describe our market. They set the guardrails for every acquisition dollar we spend.</w:t>
      </w:r>
    </w:p>
    <w:p w14:paraId="05ABF6DF" w14:textId="77777777" w:rsidR="00003960" w:rsidRDefault="00003960">
      <w:pPr>
        <w:spacing w:after="80"/>
      </w:pPr>
    </w:p>
    <w:p w14:paraId="312A6FE7" w14:textId="77777777" w:rsidR="00003960" w:rsidRDefault="00000000">
      <w:pPr>
        <w:spacing w:after="80"/>
      </w:pPr>
      <w:proofErr w:type="gramStart"/>
      <w:r>
        <w:rPr>
          <w:rFonts w:eastAsia="Arial"/>
          <w:color w:val="94A3B8"/>
          <w:sz w:val="21"/>
          <w:szCs w:val="21"/>
        </w:rPr>
        <w:t>📋  Delivery</w:t>
      </w:r>
      <w:proofErr w:type="gramEnd"/>
      <w:r>
        <w:rPr>
          <w:rFonts w:eastAsia="Arial"/>
          <w:color w:val="94A3B8"/>
          <w:sz w:val="21"/>
          <w:szCs w:val="21"/>
        </w:rPr>
        <w:t xml:space="preserve"> note: Point to the chart, then the table. Say 'this is the decision' clearly when you reach the bottom banner.</w:t>
      </w:r>
    </w:p>
    <w:p w14:paraId="4413AECF" w14:textId="77777777" w:rsidR="00003960" w:rsidRDefault="00003960">
      <w:pPr>
        <w:pBdr>
          <w:bottom w:val="single" w:sz="4" w:space="1" w:color="C8DCF5"/>
        </w:pBdr>
        <w:spacing w:after="240"/>
      </w:pPr>
    </w:p>
    <w:p w14:paraId="42261663" w14:textId="77777777" w:rsidR="00003960" w:rsidRDefault="00000000">
      <w:pPr>
        <w:pStyle w:val="1"/>
      </w:pPr>
      <w:r>
        <w:t xml:space="preserve">Slide 7 — AI in Marketing &amp; Measurement </w:t>
      </w:r>
      <w:proofErr w:type="gramStart"/>
      <w:r>
        <w:t>Plan  (</w:t>
      </w:r>
      <w:proofErr w:type="gramEnd"/>
      <w:r>
        <w:t>4:00–4:45)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03960" w14:paraId="08ACE5C3" w14:textId="77777777">
        <w:tc>
          <w:tcPr>
            <w:tcW w:w="9360" w:type="dxa"/>
            <w:tcBorders>
              <w:top w:val="single" w:sz="3" w:space="0" w:color="D4860B"/>
              <w:left w:val="single" w:sz="3" w:space="0" w:color="D4860B"/>
              <w:bottom w:val="single" w:sz="3" w:space="0" w:color="D4860B"/>
              <w:right w:val="single" w:sz="3" w:space="0" w:color="D4860B"/>
            </w:tcBorders>
            <w:shd w:val="clear" w:color="auto" w:fill="FEF3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35AFFA" w14:textId="77777777" w:rsidR="00003960" w:rsidRDefault="00000000">
            <w:r>
              <w:rPr>
                <w:rFonts w:eastAsia="Arial"/>
                <w:b/>
                <w:bCs/>
                <w:color w:val="92400E"/>
                <w:sz w:val="22"/>
                <w:szCs w:val="22"/>
              </w:rPr>
              <w:t>⏱ ~45 seconds</w:t>
            </w:r>
          </w:p>
        </w:tc>
      </w:tr>
    </w:tbl>
    <w:p w14:paraId="6BF71871" w14:textId="77777777" w:rsidR="00003960" w:rsidRDefault="00000000">
      <w:pPr>
        <w:spacing w:after="120"/>
      </w:pPr>
      <w:r>
        <w:rPr>
          <w:rFonts w:eastAsia="Arial"/>
          <w:color w:val="334155"/>
        </w:rPr>
        <w:t>Three AI systems power our marketing engine, and I want to be explicit about where the automation sits and where human judgment is required.</w:t>
      </w:r>
    </w:p>
    <w:p w14:paraId="0171A682" w14:textId="77777777" w:rsidR="00003960" w:rsidRDefault="00000000">
      <w:pPr>
        <w:spacing w:after="120"/>
      </w:pPr>
      <w:r>
        <w:rPr>
          <w:rFonts w:eastAsia="Arial"/>
          <w:color w:val="334155"/>
        </w:rPr>
        <w:t xml:space="preserve">Bid </w:t>
      </w:r>
      <w:proofErr w:type="spellStart"/>
      <w:r>
        <w:rPr>
          <w:rFonts w:eastAsia="Arial"/>
          <w:color w:val="334155"/>
        </w:rPr>
        <w:t>Optimisation</w:t>
      </w:r>
      <w:proofErr w:type="spellEnd"/>
      <w:r>
        <w:rPr>
          <w:rFonts w:eastAsia="Arial"/>
          <w:color w:val="334155"/>
        </w:rPr>
        <w:t>: AI adjusts CPI bids in real-time within per-segment CAC ceilings. Those ceilings are set by humans — any change requires approval.</w:t>
      </w:r>
    </w:p>
    <w:p w14:paraId="000D7BA8" w14:textId="77777777" w:rsidR="00003960" w:rsidRDefault="00000000">
      <w:pPr>
        <w:spacing w:after="120"/>
      </w:pPr>
      <w:r>
        <w:rPr>
          <w:rFonts w:eastAsia="Arial"/>
          <w:color w:val="334155"/>
        </w:rPr>
        <w:t>Creative Generation: AI generates playable-ad variants and auto-retires low-CTR creatives after a minimum impression threshold. But every new concept must be approved by a human creative director before going live.</w:t>
      </w:r>
    </w:p>
    <w:p w14:paraId="204D98E0" w14:textId="77777777" w:rsidR="00003960" w:rsidRDefault="00000000">
      <w:pPr>
        <w:spacing w:after="120"/>
      </w:pPr>
      <w:r>
        <w:rPr>
          <w:rFonts w:eastAsia="Arial"/>
          <w:color w:val="334155"/>
        </w:rPr>
        <w:t>Churn Prediction: monthly model scoring. Automated win-back offers fire when churn probability exceeds a human-set threshold. Premium | Heavy at-risk users are flagged for manual account review.</w:t>
      </w:r>
    </w:p>
    <w:p w14:paraId="5BEE9B3B" w14:textId="17441355" w:rsidR="00003960" w:rsidRDefault="00000000">
      <w:pPr>
        <w:spacing w:after="120"/>
      </w:pPr>
      <w:r>
        <w:rPr>
          <w:rFonts w:eastAsia="Arial"/>
          <w:color w:val="334155"/>
        </w:rPr>
        <w:t xml:space="preserve">Below the AI framework, you can see the A/B test we've designed. We're testing playable ads against standard video ads, measured on </w:t>
      </w:r>
      <w:r w:rsidR="00886084">
        <w:rPr>
          <w:rFonts w:eastAsia="Arial"/>
          <w:color w:val="334155"/>
        </w:rPr>
        <w:t>one-month</w:t>
      </w:r>
      <w:r>
        <w:rPr>
          <w:rFonts w:eastAsia="Arial"/>
          <w:color w:val="334155"/>
        </w:rPr>
        <w:t xml:space="preserve"> retention, in the Premium | Heavy segment. We need 1,059 users per arm. If playable ads deliver the </w:t>
      </w:r>
      <w:proofErr w:type="gramStart"/>
      <w:r>
        <w:rPr>
          <w:rFonts w:eastAsia="Arial"/>
          <w:color w:val="334155"/>
        </w:rPr>
        <w:t>3 percentage</w:t>
      </w:r>
      <w:proofErr w:type="gramEnd"/>
      <w:r>
        <w:rPr>
          <w:rFonts w:eastAsia="Arial"/>
          <w:color w:val="334155"/>
        </w:rPr>
        <w:t xml:space="preserve"> point retention lift — which is the exact breakeven threshold from our sensitivity analysis — that's $53.50 more CLV per user and $113,000 in total cohort uplift.</w:t>
      </w:r>
    </w:p>
    <w:p w14:paraId="6BC60F98" w14:textId="77777777" w:rsidR="00003960" w:rsidRDefault="00003960">
      <w:pPr>
        <w:spacing w:after="80"/>
      </w:pPr>
    </w:p>
    <w:p w14:paraId="285124B2" w14:textId="77777777" w:rsidR="00003960" w:rsidRDefault="00000000">
      <w:pPr>
        <w:spacing w:after="80"/>
      </w:pPr>
      <w:proofErr w:type="gramStart"/>
      <w:r>
        <w:rPr>
          <w:rFonts w:eastAsia="Arial"/>
          <w:color w:val="94A3B8"/>
          <w:sz w:val="21"/>
          <w:szCs w:val="21"/>
        </w:rPr>
        <w:t>📋  Delivery</w:t>
      </w:r>
      <w:proofErr w:type="gramEnd"/>
      <w:r>
        <w:rPr>
          <w:rFonts w:eastAsia="Arial"/>
          <w:color w:val="94A3B8"/>
          <w:sz w:val="21"/>
          <w:szCs w:val="21"/>
        </w:rPr>
        <w:t xml:space="preserve"> note: The AUTO and HUMAN labels on each card make the human-in-the-loop structure visual — briefly reference them. The A/B test numbers should be delivered with confidence.</w:t>
      </w:r>
    </w:p>
    <w:p w14:paraId="4BF9787C" w14:textId="77777777" w:rsidR="00003960" w:rsidRDefault="00003960">
      <w:pPr>
        <w:pBdr>
          <w:bottom w:val="single" w:sz="4" w:space="1" w:color="C8DCF5"/>
        </w:pBdr>
        <w:spacing w:after="240"/>
      </w:pPr>
    </w:p>
    <w:p w14:paraId="3C901340" w14:textId="77777777" w:rsidR="00003960" w:rsidRDefault="00000000">
      <w:pPr>
        <w:pStyle w:val="1"/>
      </w:pPr>
      <w:r>
        <w:t xml:space="preserve">Slide 8 — Phased Rollout &amp; Why </w:t>
      </w:r>
      <w:proofErr w:type="gramStart"/>
      <w:r>
        <w:t>Now  (</w:t>
      </w:r>
      <w:proofErr w:type="gramEnd"/>
      <w:r>
        <w:t>4:45–5:30)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03960" w14:paraId="5DBECC10" w14:textId="77777777">
        <w:tc>
          <w:tcPr>
            <w:tcW w:w="9360" w:type="dxa"/>
            <w:tcBorders>
              <w:top w:val="single" w:sz="3" w:space="0" w:color="D4860B"/>
              <w:left w:val="single" w:sz="3" w:space="0" w:color="D4860B"/>
              <w:bottom w:val="single" w:sz="3" w:space="0" w:color="D4860B"/>
              <w:right w:val="single" w:sz="3" w:space="0" w:color="D4860B"/>
            </w:tcBorders>
            <w:shd w:val="clear" w:color="auto" w:fill="FEF3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3F4ECB" w14:textId="77777777" w:rsidR="00003960" w:rsidRDefault="00000000">
            <w:r>
              <w:rPr>
                <w:rFonts w:eastAsia="Arial"/>
                <w:b/>
                <w:bCs/>
                <w:color w:val="92400E"/>
                <w:sz w:val="22"/>
                <w:szCs w:val="22"/>
              </w:rPr>
              <w:t xml:space="preserve">⏱ ~45 </w:t>
            </w:r>
            <w:proofErr w:type="gramStart"/>
            <w:r>
              <w:rPr>
                <w:rFonts w:eastAsia="Arial"/>
                <w:b/>
                <w:bCs/>
                <w:color w:val="92400E"/>
                <w:sz w:val="22"/>
                <w:szCs w:val="22"/>
              </w:rPr>
              <w:t>seconds  |</w:t>
            </w:r>
            <w:proofErr w:type="gramEnd"/>
            <w:r>
              <w:rPr>
                <w:rFonts w:eastAsia="Arial"/>
                <w:b/>
                <w:bCs/>
                <w:color w:val="92400E"/>
                <w:sz w:val="22"/>
                <w:szCs w:val="22"/>
              </w:rPr>
              <w:t xml:space="preserve">  Stop at 5:30, leave 30s buffer before questions</w:t>
            </w:r>
          </w:p>
        </w:tc>
      </w:tr>
    </w:tbl>
    <w:p w14:paraId="7BA7677D" w14:textId="77777777" w:rsidR="00003960" w:rsidRDefault="00000000">
      <w:pPr>
        <w:spacing w:after="120"/>
      </w:pPr>
      <w:r>
        <w:rPr>
          <w:rFonts w:eastAsia="Arial"/>
          <w:color w:val="334155"/>
        </w:rPr>
        <w:t xml:space="preserve">We launch in three phases, each gated by a </w:t>
      </w:r>
      <w:proofErr w:type="gramStart"/>
      <w:r>
        <w:rPr>
          <w:rFonts w:eastAsia="Arial"/>
          <w:color w:val="334155"/>
        </w:rPr>
        <w:t>CLV:CAC</w:t>
      </w:r>
      <w:proofErr w:type="gramEnd"/>
      <w:r>
        <w:rPr>
          <w:rFonts w:eastAsia="Arial"/>
          <w:color w:val="334155"/>
        </w:rPr>
        <w:t xml:space="preserve"> checkpoint.</w:t>
      </w:r>
    </w:p>
    <w:p w14:paraId="603A12E8" w14:textId="77777777" w:rsidR="00003960" w:rsidRDefault="00000000">
      <w:pPr>
        <w:spacing w:after="120"/>
      </w:pPr>
      <w:r>
        <w:rPr>
          <w:rFonts w:eastAsia="Arial"/>
          <w:color w:val="334155"/>
        </w:rPr>
        <w:t xml:space="preserve">Phase 1, months 1 to 3: Premium | Heavy mobile users only. Playable ads on Meta and TikTok. We need to see </w:t>
      </w:r>
      <w:proofErr w:type="gramStart"/>
      <w:r>
        <w:rPr>
          <w:rFonts w:eastAsia="Arial"/>
          <w:color w:val="334155"/>
        </w:rPr>
        <w:t>CLV:CAC</w:t>
      </w:r>
      <w:proofErr w:type="gramEnd"/>
      <w:r>
        <w:rPr>
          <w:rFonts w:eastAsia="Arial"/>
          <w:color w:val="334155"/>
        </w:rPr>
        <w:t xml:space="preserve"> above 2.0x on our first 500 acquired users before we open the tap. The A/B test runs in Phase </w:t>
      </w:r>
      <w:proofErr w:type="gramStart"/>
      <w:r>
        <w:rPr>
          <w:rFonts w:eastAsia="Arial"/>
          <w:color w:val="334155"/>
        </w:rPr>
        <w:t>1</w:t>
      </w:r>
      <w:proofErr w:type="gramEnd"/>
      <w:r>
        <w:rPr>
          <w:rFonts w:eastAsia="Arial"/>
          <w:color w:val="334155"/>
        </w:rPr>
        <w:t xml:space="preserve"> so we have creative-format results before Phase 2 spend scales.</w:t>
      </w:r>
    </w:p>
    <w:p w14:paraId="2EF428B9" w14:textId="77777777" w:rsidR="00003960" w:rsidRDefault="00000000">
      <w:pPr>
        <w:spacing w:after="120"/>
      </w:pPr>
      <w:r>
        <w:rPr>
          <w:rFonts w:eastAsia="Arial"/>
          <w:color w:val="334155"/>
        </w:rPr>
        <w:t xml:space="preserve">Phase 2, months 4 to 9: expand to Premium Medium and Basic Heavy, plus a PC beta. Gate is 1.5x </w:t>
      </w:r>
      <w:proofErr w:type="gramStart"/>
      <w:r>
        <w:rPr>
          <w:rFonts w:eastAsia="Arial"/>
          <w:color w:val="334155"/>
        </w:rPr>
        <w:t>CLV:CAC</w:t>
      </w:r>
      <w:proofErr w:type="gramEnd"/>
      <w:r>
        <w:rPr>
          <w:rFonts w:eastAsia="Arial"/>
          <w:color w:val="334155"/>
        </w:rPr>
        <w:t xml:space="preserve"> maintained across expanded segments.</w:t>
      </w:r>
    </w:p>
    <w:p w14:paraId="67CAFDE6" w14:textId="77777777" w:rsidR="00003960" w:rsidRDefault="00000000">
      <w:pPr>
        <w:spacing w:after="120"/>
      </w:pPr>
      <w:r>
        <w:rPr>
          <w:rFonts w:eastAsia="Arial"/>
          <w:color w:val="334155"/>
        </w:rPr>
        <w:t>Phase 3, month 10 and beyond: full launch with publisher partnerships and a fully trained ML churn model.</w:t>
      </w:r>
    </w:p>
    <w:p w14:paraId="717B3F56" w14:textId="77777777" w:rsidR="00003960" w:rsidRDefault="00000000">
      <w:pPr>
        <w:spacing w:after="120"/>
      </w:pPr>
      <w:r>
        <w:rPr>
          <w:rFonts w:eastAsia="Arial"/>
          <w:color w:val="334155"/>
        </w:rPr>
        <w:t>Why now? The cloud gaming market is $14 billion in 2026 and projected to reach $241 billion by 2033 — a 50% CAGR. Smartphones are 38.7% of device share. North America dominates at 47.8% of revenue. And 5G rollout is reducing the latency risk that has historically held back cloud services.</w:t>
      </w:r>
    </w:p>
    <w:p w14:paraId="2039BDD4" w14:textId="77777777" w:rsidR="00003960" w:rsidRDefault="00000000">
      <w:pPr>
        <w:spacing w:after="120"/>
      </w:pPr>
      <w:r>
        <w:rPr>
          <w:rFonts w:eastAsia="Arial"/>
          <w:color w:val="334155"/>
        </w:rPr>
        <w:t>Aegis Nexus is positioned at the intersection of mobile-first growth, storage pain, and AI-driven acquisition. The unit economics work. The market timing is right. Thank you.</w:t>
      </w:r>
    </w:p>
    <w:p w14:paraId="623443F5" w14:textId="77777777" w:rsidR="00003960" w:rsidRDefault="00003960">
      <w:pPr>
        <w:spacing w:after="80"/>
      </w:pPr>
    </w:p>
    <w:p w14:paraId="0A1FF4F6" w14:textId="77777777" w:rsidR="00003960" w:rsidRDefault="00000000">
      <w:pPr>
        <w:spacing w:after="80"/>
      </w:pPr>
      <w:proofErr w:type="gramStart"/>
      <w:r>
        <w:rPr>
          <w:rFonts w:eastAsia="Arial"/>
          <w:color w:val="94A3B8"/>
          <w:sz w:val="21"/>
          <w:szCs w:val="21"/>
        </w:rPr>
        <w:t>📋  Delivery</w:t>
      </w:r>
      <w:proofErr w:type="gramEnd"/>
      <w:r>
        <w:rPr>
          <w:rFonts w:eastAsia="Arial"/>
          <w:color w:val="94A3B8"/>
          <w:sz w:val="21"/>
          <w:szCs w:val="21"/>
        </w:rPr>
        <w:t xml:space="preserve"> note: Close on 'Thank you' with a pause. Don't add anything after — let the silence signal you're done and ready for questions.</w:t>
      </w:r>
    </w:p>
    <w:p w14:paraId="07052483" w14:textId="77777777" w:rsidR="00003960" w:rsidRDefault="00003960">
      <w:pPr>
        <w:pBdr>
          <w:bottom w:val="single" w:sz="4" w:space="1" w:color="C8DCF5"/>
        </w:pBdr>
        <w:spacing w:after="240"/>
      </w:pPr>
    </w:p>
    <w:p w14:paraId="6B567055" w14:textId="77777777" w:rsidR="00003960" w:rsidRDefault="00000000">
      <w:pPr>
        <w:pStyle w:val="1"/>
      </w:pPr>
      <w:r>
        <w:t>Anticipated Q&amp;</w:t>
      </w:r>
      <w:proofErr w:type="gramStart"/>
      <w:r>
        <w:t>A  (</w:t>
      </w:r>
      <w:proofErr w:type="gramEnd"/>
      <w:r>
        <w:t>1 minute)</w:t>
      </w:r>
    </w:p>
    <w:p w14:paraId="6E20564D" w14:textId="77777777" w:rsidR="00003960" w:rsidRDefault="00003960">
      <w:pPr>
        <w:spacing w:after="60"/>
      </w:pPr>
    </w:p>
    <w:p w14:paraId="699BB7B0" w14:textId="77777777" w:rsidR="00003960" w:rsidRDefault="00000000">
      <w:pPr>
        <w:pStyle w:val="2"/>
      </w:pPr>
      <w:r>
        <w:t>Q: How is this different from GeForce NOW?</w:t>
      </w:r>
    </w:p>
    <w:p w14:paraId="15E2D48D" w14:textId="77777777" w:rsidR="00003960" w:rsidRDefault="00000000">
      <w:pPr>
        <w:spacing w:after="120"/>
      </w:pPr>
      <w:r>
        <w:rPr>
          <w:rFonts w:eastAsia="Arial"/>
          <w:color w:val="334155"/>
        </w:rPr>
        <w:t xml:space="preserve">GeForce NOW renders the game on a remote server and streams the video feed back to you — every frame travels over the internet, which creates latency. Aegis Nexus runs the game logic locally. Only the asset files — textures, audio — are streamed on demand. The result is near-zero </w:t>
      </w:r>
      <w:proofErr w:type="gramStart"/>
      <w:r>
        <w:rPr>
          <w:rFonts w:eastAsia="Arial"/>
          <w:color w:val="334155"/>
        </w:rPr>
        <w:t>latency</w:t>
      </w:r>
      <w:proofErr w:type="gramEnd"/>
      <w:r>
        <w:rPr>
          <w:rFonts w:eastAsia="Arial"/>
          <w:color w:val="334155"/>
        </w:rPr>
        <w:t xml:space="preserve"> and a 50 MB install instead of a 40+ GB one.</w:t>
      </w:r>
    </w:p>
    <w:p w14:paraId="3A00D122" w14:textId="77777777" w:rsidR="00003960" w:rsidRDefault="00000000">
      <w:pPr>
        <w:pStyle w:val="2"/>
      </w:pPr>
      <w:r>
        <w:t>Q: Why would publishers agree to revenue sharing?</w:t>
      </w:r>
    </w:p>
    <w:p w14:paraId="4C63C9C3" w14:textId="77777777" w:rsidR="00003960" w:rsidRDefault="00000000">
      <w:pPr>
        <w:spacing w:after="120"/>
      </w:pPr>
      <w:r>
        <w:rPr>
          <w:rFonts w:eastAsia="Arial"/>
          <w:color w:val="334155"/>
        </w:rPr>
        <w:t>Publishers benefit because we reduce installation friction — the single biggest drop-off point in mobile game acquisition. A smaller install means more users complete the download, start playing, and potentially convert to paying customers. We're solving their retention problem at the top of the funnel.</w:t>
      </w:r>
    </w:p>
    <w:p w14:paraId="2B401176" w14:textId="77777777" w:rsidR="00003960" w:rsidRDefault="00000000">
      <w:pPr>
        <w:pStyle w:val="2"/>
      </w:pPr>
      <w:r>
        <w:t>Q: Your CLV data is simulated — how do you know it's realistic?</w:t>
      </w:r>
    </w:p>
    <w:p w14:paraId="53EAAA9E" w14:textId="77777777" w:rsidR="00003960" w:rsidRDefault="00000000">
      <w:pPr>
        <w:spacing w:after="120"/>
      </w:pPr>
      <w:r>
        <w:rPr>
          <w:rFonts w:eastAsia="Arial"/>
          <w:color w:val="334155"/>
        </w:rPr>
        <w:lastRenderedPageBreak/>
        <w:t xml:space="preserve">The assumptions are benchmarked against real analogues: pricing against Xbox Game Pass Core and GeForce NOW Priority, CAC against </w:t>
      </w:r>
      <w:proofErr w:type="spellStart"/>
      <w:r>
        <w:rPr>
          <w:rFonts w:eastAsia="Arial"/>
          <w:color w:val="334155"/>
        </w:rPr>
        <w:t>AppsFlyer</w:t>
      </w:r>
      <w:proofErr w:type="spellEnd"/>
      <w:r>
        <w:rPr>
          <w:rFonts w:eastAsia="Arial"/>
          <w:color w:val="334155"/>
        </w:rPr>
        <w:t xml:space="preserve"> 2024 mobile gaming benchmarks, and infrastructure costs against AWS </w:t>
      </w:r>
      <w:proofErr w:type="spellStart"/>
      <w:r>
        <w:rPr>
          <w:rFonts w:eastAsia="Arial"/>
          <w:color w:val="334155"/>
        </w:rPr>
        <w:t>GameLift</w:t>
      </w:r>
      <w:proofErr w:type="spellEnd"/>
      <w:r>
        <w:rPr>
          <w:rFonts w:eastAsia="Arial"/>
          <w:color w:val="334155"/>
        </w:rPr>
        <w:t xml:space="preserve"> and Azure </w:t>
      </w:r>
      <w:proofErr w:type="spellStart"/>
      <w:r>
        <w:rPr>
          <w:rFonts w:eastAsia="Arial"/>
          <w:color w:val="334155"/>
        </w:rPr>
        <w:t>PlayFab</w:t>
      </w:r>
      <w:proofErr w:type="spellEnd"/>
      <w:r>
        <w:rPr>
          <w:rFonts w:eastAsia="Arial"/>
          <w:color w:val="334155"/>
        </w:rPr>
        <w:t xml:space="preserve"> ranges. The simulation is designed to set guardrails, not to forecast. If real-world data in Phase 1 deviates from the assumptions, we update the model and adjust the CAC ceilings before scaling spend.</w:t>
      </w:r>
    </w:p>
    <w:p w14:paraId="6CA04590" w14:textId="77777777" w:rsidR="00003960" w:rsidRDefault="00000000">
      <w:pPr>
        <w:pStyle w:val="2"/>
      </w:pPr>
      <w:r>
        <w:t>Q: What's your biggest risk?</w:t>
      </w:r>
    </w:p>
    <w:p w14:paraId="7CF7C2FD" w14:textId="047C8657" w:rsidR="00470C95" w:rsidRPr="00470C95" w:rsidRDefault="00000000" w:rsidP="00470C95">
      <w:pPr>
        <w:pStyle w:val="a4"/>
        <w:numPr>
          <w:ilvl w:val="0"/>
          <w:numId w:val="6"/>
        </w:numPr>
        <w:spacing w:after="120"/>
        <w:ind w:left="284"/>
        <w:rPr>
          <w:rFonts w:eastAsia="Arial"/>
          <w:color w:val="334155"/>
          <w:lang w:val="en-CA"/>
        </w:rPr>
      </w:pPr>
      <w:r w:rsidRPr="00470C95">
        <w:rPr>
          <w:rFonts w:eastAsia="Arial"/>
          <w:color w:val="334155"/>
        </w:rPr>
        <w:t>Publisher licensing. We need content agreements before launch, and without exclusive or popular titles, Heavy-activity users — our Priority segment — may not find enough to justify the subscription. That's why Phase 1 is deliberately narrow: we want to validate retention with a small, high-value cohort before committing to a broad content library investment</w:t>
      </w:r>
      <w:r w:rsidR="00470C95">
        <w:rPr>
          <w:rFonts w:eastAsia="Arial"/>
          <w:color w:val="334155"/>
        </w:rPr>
        <w:t>.</w:t>
      </w:r>
    </w:p>
    <w:p w14:paraId="332ABC6E" w14:textId="77777777" w:rsidR="00FA0953" w:rsidRPr="00FA0953" w:rsidRDefault="00FA0953" w:rsidP="00FA0953">
      <w:pPr>
        <w:spacing w:after="120"/>
        <w:rPr>
          <w:lang w:val="en-CA"/>
        </w:rPr>
      </w:pPr>
    </w:p>
    <w:sectPr w:rsidR="00FA0953" w:rsidRPr="00FA095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34E69"/>
    <w:multiLevelType w:val="hybridMultilevel"/>
    <w:tmpl w:val="8FAE9C92"/>
    <w:lvl w:ilvl="0" w:tplc="5E4CEFC2">
      <w:start w:val="1"/>
      <w:numFmt w:val="bullet"/>
      <w:lvlText w:val=""/>
      <w:lvlJc w:val="left"/>
      <w:pPr>
        <w:ind w:left="340" w:hanging="3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83C425D"/>
    <w:multiLevelType w:val="hybridMultilevel"/>
    <w:tmpl w:val="AAB0D3C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4F3864D6"/>
    <w:multiLevelType w:val="hybridMultilevel"/>
    <w:tmpl w:val="73CE16B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6CA11FC"/>
    <w:multiLevelType w:val="hybridMultilevel"/>
    <w:tmpl w:val="05E200CA"/>
    <w:lvl w:ilvl="0" w:tplc="9E70B82E">
      <w:start w:val="1"/>
      <w:numFmt w:val="bullet"/>
      <w:lvlText w:val="●"/>
      <w:lvlJc w:val="left"/>
      <w:pPr>
        <w:ind w:left="720" w:hanging="360"/>
      </w:pPr>
    </w:lvl>
    <w:lvl w:ilvl="1" w:tplc="471A01BA">
      <w:start w:val="1"/>
      <w:numFmt w:val="bullet"/>
      <w:lvlText w:val="○"/>
      <w:lvlJc w:val="left"/>
      <w:pPr>
        <w:ind w:left="1440" w:hanging="360"/>
      </w:pPr>
    </w:lvl>
    <w:lvl w:ilvl="2" w:tplc="A1B0781A">
      <w:start w:val="1"/>
      <w:numFmt w:val="bullet"/>
      <w:lvlText w:val="■"/>
      <w:lvlJc w:val="left"/>
      <w:pPr>
        <w:ind w:left="2160" w:hanging="360"/>
      </w:pPr>
    </w:lvl>
    <w:lvl w:ilvl="3" w:tplc="20D4E5D2">
      <w:start w:val="1"/>
      <w:numFmt w:val="bullet"/>
      <w:lvlText w:val="●"/>
      <w:lvlJc w:val="left"/>
      <w:pPr>
        <w:ind w:left="2880" w:hanging="360"/>
      </w:pPr>
    </w:lvl>
    <w:lvl w:ilvl="4" w:tplc="4F62BF28">
      <w:start w:val="1"/>
      <w:numFmt w:val="bullet"/>
      <w:lvlText w:val="○"/>
      <w:lvlJc w:val="left"/>
      <w:pPr>
        <w:ind w:left="3600" w:hanging="360"/>
      </w:pPr>
    </w:lvl>
    <w:lvl w:ilvl="5" w:tplc="EC6A3CB0">
      <w:start w:val="1"/>
      <w:numFmt w:val="bullet"/>
      <w:lvlText w:val="■"/>
      <w:lvlJc w:val="left"/>
      <w:pPr>
        <w:ind w:left="4320" w:hanging="360"/>
      </w:pPr>
    </w:lvl>
    <w:lvl w:ilvl="6" w:tplc="805E16C2">
      <w:start w:val="1"/>
      <w:numFmt w:val="bullet"/>
      <w:lvlText w:val="●"/>
      <w:lvlJc w:val="left"/>
      <w:pPr>
        <w:ind w:left="5040" w:hanging="360"/>
      </w:pPr>
    </w:lvl>
    <w:lvl w:ilvl="7" w:tplc="898A028C">
      <w:start w:val="1"/>
      <w:numFmt w:val="bullet"/>
      <w:lvlText w:val="●"/>
      <w:lvlJc w:val="left"/>
      <w:pPr>
        <w:ind w:left="5760" w:hanging="360"/>
      </w:pPr>
    </w:lvl>
    <w:lvl w:ilvl="8" w:tplc="F2764152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A6A3EE5"/>
    <w:multiLevelType w:val="hybridMultilevel"/>
    <w:tmpl w:val="2A901F78"/>
    <w:lvl w:ilvl="0" w:tplc="7EC25638">
      <w:start w:val="1"/>
      <w:numFmt w:val="bullet"/>
      <w:lvlText w:val="•"/>
      <w:lvlJc w:val="left"/>
      <w:pPr>
        <w:ind w:left="720" w:hanging="360"/>
      </w:pPr>
    </w:lvl>
    <w:lvl w:ilvl="1" w:tplc="15607C58">
      <w:numFmt w:val="decimal"/>
      <w:lvlText w:val=""/>
      <w:lvlJc w:val="left"/>
    </w:lvl>
    <w:lvl w:ilvl="2" w:tplc="A8565FA0">
      <w:numFmt w:val="decimal"/>
      <w:lvlText w:val=""/>
      <w:lvlJc w:val="left"/>
    </w:lvl>
    <w:lvl w:ilvl="3" w:tplc="F26220D2">
      <w:numFmt w:val="decimal"/>
      <w:lvlText w:val=""/>
      <w:lvlJc w:val="left"/>
    </w:lvl>
    <w:lvl w:ilvl="4" w:tplc="98905D56">
      <w:numFmt w:val="decimal"/>
      <w:lvlText w:val=""/>
      <w:lvlJc w:val="left"/>
    </w:lvl>
    <w:lvl w:ilvl="5" w:tplc="196CA98A">
      <w:numFmt w:val="decimal"/>
      <w:lvlText w:val=""/>
      <w:lvlJc w:val="left"/>
    </w:lvl>
    <w:lvl w:ilvl="6" w:tplc="856030A6">
      <w:numFmt w:val="decimal"/>
      <w:lvlText w:val=""/>
      <w:lvlJc w:val="left"/>
    </w:lvl>
    <w:lvl w:ilvl="7" w:tplc="B172F1F6">
      <w:numFmt w:val="decimal"/>
      <w:lvlText w:val=""/>
      <w:lvlJc w:val="left"/>
    </w:lvl>
    <w:lvl w:ilvl="8" w:tplc="F446C566">
      <w:numFmt w:val="decimal"/>
      <w:lvlText w:val=""/>
      <w:lvlJc w:val="left"/>
    </w:lvl>
  </w:abstractNum>
  <w:abstractNum w:abstractNumId="5" w15:restartNumberingAfterBreak="0">
    <w:nsid w:val="73571694"/>
    <w:multiLevelType w:val="hybridMultilevel"/>
    <w:tmpl w:val="A48880C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730767697">
    <w:abstractNumId w:val="3"/>
    <w:lvlOverride w:ilvl="0">
      <w:startOverride w:val="1"/>
    </w:lvlOverride>
  </w:num>
  <w:num w:numId="2" w16cid:durableId="1826508923">
    <w:abstractNumId w:val="4"/>
    <w:lvlOverride w:ilvl="0">
      <w:startOverride w:val="1"/>
    </w:lvlOverride>
  </w:num>
  <w:num w:numId="3" w16cid:durableId="1706565245">
    <w:abstractNumId w:val="2"/>
  </w:num>
  <w:num w:numId="4" w16cid:durableId="1382362928">
    <w:abstractNumId w:val="5"/>
  </w:num>
  <w:num w:numId="5" w16cid:durableId="1255557021">
    <w:abstractNumId w:val="1"/>
  </w:num>
  <w:num w:numId="6" w16cid:durableId="889532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2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960"/>
    <w:rsid w:val="00003960"/>
    <w:rsid w:val="002C1A09"/>
    <w:rsid w:val="00470C95"/>
    <w:rsid w:val="0058485F"/>
    <w:rsid w:val="005B77B4"/>
    <w:rsid w:val="007D48D6"/>
    <w:rsid w:val="00886084"/>
    <w:rsid w:val="00DC4BA1"/>
    <w:rsid w:val="00FA0953"/>
    <w:rsid w:val="00FD4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81045"/>
  <w15:docId w15:val="{7BA30743-08E6-6B4D-8AA8-92CE4466F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20" w:after="120"/>
      <w:outlineLvl w:val="0"/>
    </w:pPr>
    <w:rPr>
      <w:rFonts w:eastAsia="Arial"/>
      <w:b/>
      <w:bCs/>
      <w:color w:val="1A2E52"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80"/>
      <w:outlineLvl w:val="1"/>
    </w:pPr>
    <w:rPr>
      <w:rFonts w:eastAsia="Arial"/>
      <w:b/>
      <w:bCs/>
      <w:color w:val="0D9488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E79B891-7E1A-B144-822E-94A9FD8706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6</Pages>
  <Words>1763</Words>
  <Characters>9081</Characters>
  <Application>Microsoft Office Word</Application>
  <DocSecurity>0</DocSecurity>
  <Lines>189</Lines>
  <Paragraphs>95</Paragraphs>
  <ScaleCrop>false</ScaleCrop>
  <Company/>
  <LinksUpToDate>false</LinksUpToDate>
  <CharactersWithSpaces>10749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Tony Chen</cp:lastModifiedBy>
  <cp:revision>6</cp:revision>
  <dcterms:created xsi:type="dcterms:W3CDTF">2026-04-07T22:35:00Z</dcterms:created>
  <dcterms:modified xsi:type="dcterms:W3CDTF">2026-04-13T02:29:00Z</dcterms:modified>
</cp:coreProperties>
</file>