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Guannan Shen                                                                                 HW7 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Question: how do air pollution effects compare with the common cold? How can you manipulate the slope values so that you have an apples-to-apples comparison?</w:t>
      </w:r>
    </w:p>
    <w:tbl>
      <w:tblPr>
        <w:tblStyle w:val="TableGrid"/>
        <w:tblW w:w="93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337"/>
        <w:gridCol w:w="1337"/>
        <w:gridCol w:w="1337"/>
        <w:gridCol w:w="1338"/>
        <w:gridCol w:w="1337"/>
        <w:gridCol w:w="1337"/>
        <w:gridCol w:w="1334"/>
      </w:tblGrid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Solutions for Fixed Effects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Effect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asthma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Estimate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Standard</w:t>
            </w:r>
            <w:r>
              <w:rPr/>
              <w:br/>
            </w: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 xml:space="preserve"> Error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DF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t Value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Pr &gt; |t|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Intercept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5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-4.7495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0.6584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57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-7.21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&lt;.0001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Intercept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4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-3.8535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0.6288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57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-6.13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&lt;.0001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Intercept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3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-3.0251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0.6165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57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-4.91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&lt;.0001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Intercept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2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-2.2276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0.6107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57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-3.65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0.0006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l1mmaxpm25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br/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0.002118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0.005429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1220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0.39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0.6966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temperature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br/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-0.00497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0.009680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1220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-0.51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0.6081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humidity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br/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-0.00260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0.006389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1220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-0.41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0.6843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l1cold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br/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1.8464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0.2205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1220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8.37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&lt;.0001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Variable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Label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Mean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Std Dev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b/>
                <w:bCs/>
                <w:color w:val="000000" w:themeColor="text1" w:themeShade="ff" w:themeTint="ff"/>
                <w:sz w:val="22"/>
                <w:szCs w:val="22"/>
              </w:rPr>
              <w:t>Lower Quartile</w:t>
            </w:r>
          </w:p>
        </w:tc>
      </w:tr>
      <w:tr>
        <w:trPr/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l1mmaxpm25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temperature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humidity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l1cold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" w:hAnsi="Times" w:eastAsia="Times" w:cs="Times"/>
                <w:color w:val="000000" w:themeColor="text1" w:themeShade="ff" w:themeTint="ff"/>
              </w:rPr>
            </w:pP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>temp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humidity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</w:t>
            </w:r>
            <w:r>
              <w:rPr/>
              <w:br/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22.5505703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41.8995519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38.7578728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0.1574746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17.2674677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11.4984365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16.4713041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0.3643799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" w:cs="Times" w:ascii="Times" w:hAnsi="Times"/>
                <w:color w:val="000000" w:themeColor="text1" w:themeShade="ff" w:themeTint="ff"/>
              </w:rPr>
              <w:t>12.0000000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33.3333333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27.9583333</w:t>
            </w:r>
            <w:r>
              <w:rPr/>
              <w:br/>
            </w:r>
            <w:r>
              <w:rPr>
                <w:rFonts w:eastAsia="Times" w:cs="Times" w:ascii="Times" w:hAnsi="Times"/>
                <w:color w:val="000000" w:themeColor="text1" w:themeShade="ff" w:themeTint="ff"/>
              </w:rPr>
              <w:t xml:space="preserve"> 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PROC GLIMMIX DATA= asthma method= RMPL;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class id;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model asthma(desc) = l1mmaxpm25 temperature humidity l1cold/ solution dist = multinomial link= cumlogit;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random id; 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run;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PROC MEANS DATA = asthma MEAN STD Q1;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var l1mmaxpm25 temperature humidity l1cold;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where asthma^=. and l1cold^=.;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title3 'Step 3: Selecting Statistics';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run;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The model is ordinal logistic regression with random intercepts for subjects. And the cumulative odds were calculated for P(Y ≥ k), where k = 1, 2, 3, 4, and 5. The air pollution effect (</w:t>
      </w:r>
      <w:r>
        <w:rPr>
          <w:rFonts w:eastAsia="Times" w:cs="Times" w:ascii="Times" w:hAnsi="Times"/>
          <w:color w:val="000000" w:themeColor="text1" w:themeShade="ff" w:themeTint="ff"/>
        </w:rPr>
        <w:t>l1mmaxpm25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) is not significantly associated with the asthma symptoms (p = 0.6966), while the common cold is significantly associated with the asthma symptoms (p &lt; 0.0001). One unit increase in </w:t>
      </w:r>
      <w:r>
        <w:rPr>
          <w:rFonts w:eastAsia="Times New Roman" w:cs="Times New Roman" w:ascii="Times New Roman" w:hAnsi="Times New Roman"/>
          <w:sz w:val="24"/>
          <w:szCs w:val="24"/>
        </w:rPr>
        <w:t>l1mmaxpm25 will increase P(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 ≥ 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)/(1 - P(Y ≥ k)) (odds) by exp(0.002118). Similarly, with cold compared to without cold, P(Y ≥ k)/(1 - P(Y ≥ k)) will increase by exp(1.8464). Generally, both air pollution and cold will make asthma patients sicker. However, only the effect of cold is significant.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make the effects of air pollution and cold comparable, we can use standard deviation or inter quartile range (IQR) to standardize the units. For instance, standardized effect of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l1mmaxpm25 is exp((1/</w:t>
      </w:r>
      <w:r>
        <w:rPr>
          <w:rFonts w:eastAsia="Times New Roman" w:cs="Times New Roman" w:ascii="Times New Roman" w:hAnsi="Times New Roman"/>
          <w:sz w:val="24"/>
          <w:szCs w:val="24"/>
        </w:rPr>
        <w:t>17.2674677) * 0.002118)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Determine P(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>Y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=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>y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) for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>y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=1, 2, 3, 4 and 5. Note that your answer will depend on levels of the covariates, so use average values of the 4 covariates. What if you had used, say, the first quartile of each of the covariates? How would your answer change, generally?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By restricting the data so that it like data used in the OLR model, I got average values and the 1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quartiles for l1mmaxpm25, temperature, humidity and l1cold. To make the patterns between the 1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quartiles and mean comparable, I used l1cold as 1 both for the average and the 1st quartiles (The l1cold is the only significant covariate, the status of cold impacts the outcome a lot).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For l1mmaxpm25, temperature, humidity and l1cold, I used 22.5505703, 41.8995519, 38.7578728, 1 as the average values and 12.0000000, 33.3333333, 27.9583333, 1 as the 1st quartile.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P(Y=y) for y=1, 2, 3, 4 and 5, using the averages: 0.65530688, 0.15313989, 0.09777481, 0.05324882 and 0.04052959.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P(Y=y) for y=1, 2, 3, 4 and 5, using the 1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quartile: 0.64431502, 0.15653928, 0.10118063, 0.05551471 and 0.04245035.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 pattern reflects the overall effects of air pollution, temperature and humidity, as all these values increase, the asthma symptoms tend to be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less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severe.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Code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############### l1mmaxpm25 temperature humidity l1cold ################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beta0 &lt;- c(-2.2276, -3.0251, -3.8535, -4.7495)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 covariates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betas &lt;- c(0.002118, -0.00497, -0.00260, 1.8464)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 predictors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mean_sas &lt;- c(22.5505703, 41.8995519, 38.7578728, 1)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q1_sas &lt;- c(12.0000000, 33.3333333, 27.9583333, 1)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## p &gt;= 1 == 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cum_mean &lt;- exp(beta0)*exp(sum(betas*mean_sas) )/ (1 + exp(beta0)*exp(sum(betas*mean_sas) 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## individual p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p_mean &lt;- c(1, cum_mean) - c(cum_mean, 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p_mean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sum(p_mean)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## for q1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cum_q1 &lt;- exp(beta0)*exp(sum(betas*q1_sas) )/ (1 + exp(beta0)*exp(sum(betas*q1_sas) 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p_q1 &lt;- c(1, cum_q1) - c(cum_q1, 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p_q1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sum(p_q1)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LibreOffice/6.0.3.2$Linux_X86_64 LibreOffice_project/00m0$Build-2</Application>
  <Pages>3</Pages>
  <Words>597</Words>
  <Characters>3314</Characters>
  <CharactersWithSpaces>3931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2018-11-16T22:16:32Z</dcterms:created>
  <dc:creator>Shen, Guannan</dc:creator>
  <dc:description/>
  <dc:language>en-US</dc:language>
  <cp:lastModifiedBy/>
  <dcterms:modified xsi:type="dcterms:W3CDTF">2018-11-16T16:48:43Z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