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128FC00">
      <w:pPr>
        <w:spacing w:before="480" w:after="120"/>
        <w:jc w:val="center"/>
      </w:pPr>
      <w:r>
        <w:rPr>
          <w:rFonts w:ascii="Calibri" w:hAnsi="Calibri" w:eastAsia="Calibri" w:cs="Calibri"/>
          <w:b/>
          <w:color w:val="0B2545"/>
          <w:sz w:val="48"/>
        </w:rPr>
        <w:t>真实LLM服务的Token负载预测与突发流量识别</w:t>
      </w:r>
    </w:p>
    <w:p w14:paraId="7CEEBACA">
      <w:pPr>
        <w:spacing w:after="560"/>
        <w:jc w:val="center"/>
      </w:pPr>
      <w:r>
        <w:rPr>
          <w:rFonts w:ascii="Calibri" w:hAnsi="Calibri" w:eastAsia="Calibri" w:cs="Calibri"/>
          <w:i/>
          <w:color w:val="555555"/>
          <w:sz w:val="28"/>
        </w:rPr>
        <w:t>基于BurstGPT真实轨迹的XGBoost与LSTM比较</w:t>
      </w:r>
    </w:p>
    <w:p w14:paraId="570227BE">
      <w:r>
        <w:rPr>
          <w:rFonts w:ascii="Calibri" w:hAnsi="Calibri" w:eastAsia="Calibri" w:cs="Calibri"/>
          <w:sz w:val="22"/>
        </w:rPr>
        <w:t>这项研究以真实LLM服务轨迹为基础，围绕短期Token负载预测和突发流量识别开展实证分析。研究重点不是堆叠复杂模型，而是保证时间切分、基线比较、突发识别和可复现性严谨。</w:t>
      </w:r>
    </w:p>
    <w:p w14:paraId="07093935">
      <w:pPr>
        <w:pStyle w:val="3"/>
      </w:pPr>
      <w:r>
        <w:rPr>
          <w:rFonts w:ascii="Calibri" w:hAnsi="Calibri" w:eastAsia="Calibri" w:cs="Calibri"/>
          <w:sz w:val="32"/>
        </w:rPr>
        <w:t>1. 研究方法与对应工具</w:t>
      </w:r>
    </w:p>
    <w:p w14:paraId="3D6CBB1C">
      <w:pPr>
        <w:pStyle w:val="4"/>
      </w:pPr>
      <w:r>
        <w:rPr>
          <w:rFonts w:ascii="Calibri" w:hAnsi="Calibri" w:eastAsia="Calibri" w:cs="Calibri"/>
          <w:sz w:val="26"/>
        </w:rPr>
        <w:t>1.1 研究对象与任务定义</w:t>
      </w:r>
    </w:p>
    <w:p w14:paraId="3C3A2434">
      <w:r>
        <w:rPr>
          <w:rFonts w:ascii="Calibri" w:hAnsi="Calibri" w:eastAsia="Calibri" w:cs="Calibri"/>
          <w:sz w:val="22"/>
        </w:rPr>
        <w:t>将请求级轨迹聚合成5分钟时间序列：</w:t>
      </w:r>
    </w:p>
    <w:p w14:paraId="773F34CB">
      <w:r>
        <w:rPr>
          <w:rFonts w:ascii="Consolas" w:hAnsi="Consolas" w:eastAsia="Consolas" w:cs="Consolas"/>
          <w:sz w:val="20"/>
        </w:rPr>
        <w:t>Y_t = Σ(Request Tokens_i + Response Tokens_i), i ∈ t</w:t>
      </w:r>
    </w:p>
    <w:p w14:paraId="2409C4DA">
      <w:r>
        <w:rPr>
          <w:rFonts w:ascii="Calibri" w:hAnsi="Calibri" w:eastAsia="Calibri" w:cs="Calibri"/>
          <w:sz w:val="22"/>
        </w:rPr>
        <w:t>主要任务：</w:t>
      </w:r>
    </w:p>
    <w:p w14:paraId="180B01E0">
      <w:pPr>
        <w:pStyle w:val="16"/>
      </w:pPr>
      <w:r>
        <w:rPr>
          <w:rFonts w:ascii="Calibri" w:hAnsi="Calibri" w:eastAsia="Calibri" w:cs="Calibri"/>
          <w:sz w:val="22"/>
        </w:rPr>
        <w:t>回归任务：预测未来15分钟的Token总负载。</w:t>
      </w:r>
    </w:p>
    <w:p w14:paraId="7DFA05F3">
      <w:pPr>
        <w:pStyle w:val="16"/>
      </w:pPr>
      <w:r>
        <w:rPr>
          <w:rFonts w:ascii="Calibri" w:hAnsi="Calibri" w:eastAsia="Calibri" w:cs="Calibri"/>
          <w:sz w:val="22"/>
        </w:rPr>
        <w:t>辅助预测窗口：未来5分钟、60分钟。</w:t>
      </w:r>
    </w:p>
    <w:p w14:paraId="24E8163D">
      <w:pPr>
        <w:pStyle w:val="16"/>
      </w:pPr>
      <w:r>
        <w:rPr>
          <w:rFonts w:ascii="Calibri" w:hAnsi="Calibri" w:eastAsia="Calibri" w:cs="Calibri"/>
          <w:sz w:val="22"/>
        </w:rPr>
        <w:t>突发识别：当未来Token负载超过训练集的第95百分位时，定义为突发。</w:t>
      </w:r>
    </w:p>
    <w:p w14:paraId="715AE49A">
      <w:pPr>
        <w:pStyle w:val="16"/>
      </w:pPr>
      <w:r>
        <w:rPr>
          <w:rFonts w:ascii="Calibri" w:hAnsi="Calibri" w:eastAsia="Calibri" w:cs="Calibri"/>
          <w:sz w:val="22"/>
        </w:rPr>
        <w:t>模型比较：Persistence/Seasonal Naive、XGBoost、LSTM。</w:t>
      </w:r>
    </w:p>
    <w:p w14:paraId="0E1E2881">
      <w:pPr>
        <w:pStyle w:val="16"/>
      </w:pPr>
      <w:r>
        <w:rPr>
          <w:rFonts w:ascii="Calibri" w:hAnsi="Calibri" w:eastAsia="Calibri" w:cs="Calibri"/>
          <w:sz w:val="22"/>
        </w:rPr>
        <w:t>扩展分析：GPT-3.5与GPT-4、API与Conversation场景的表现差异。</w:t>
      </w:r>
    </w:p>
    <w:p w14:paraId="7D9D52AD">
      <w:pPr>
        <w:pStyle w:val="4"/>
      </w:pPr>
      <w:r>
        <w:rPr>
          <w:rFonts w:ascii="Calibri" w:hAnsi="Calibri" w:eastAsia="Calibri" w:cs="Calibri"/>
          <w:sz w:val="26"/>
        </w:rPr>
        <w:t>1.2 方法-工具对应表</w:t>
      </w:r>
    </w:p>
    <w:tbl>
      <w:tblPr>
        <w:tblStyle w:val="34"/>
        <w:tblW w:w="9360" w:type="dxa"/>
        <w:tblInd w:w="1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00"/>
        <w:gridCol w:w="3900"/>
        <w:gridCol w:w="3360"/>
      </w:tblGrid>
      <w:tr w14:paraId="3CA62C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2100" w:type="dxa"/>
            <w:shd w:val="clear" w:color="auto" w:fill="F4F6F9"/>
            <w:tcMar>
              <w:top w:w="80" w:type="dxa"/>
              <w:left w:w="120" w:type="dxa"/>
              <w:bottom w:w="80" w:type="dxa"/>
              <w:right w:w="120" w:type="dxa"/>
            </w:tcMar>
            <w:vAlign w:val="center"/>
          </w:tcPr>
          <w:p w14:paraId="2096D859">
            <w:pPr>
              <w:spacing w:after="0" w:line="240" w:lineRule="auto"/>
              <w:jc w:val="center"/>
            </w:pPr>
            <w:r>
              <w:rPr>
                <w:rFonts w:ascii="Calibri" w:hAnsi="Calibri" w:eastAsia="Calibri" w:cs="Calibri"/>
                <w:b/>
                <w:sz w:val="18"/>
              </w:rPr>
              <w:t>环节</w:t>
            </w:r>
          </w:p>
        </w:tc>
        <w:tc>
          <w:tcPr>
            <w:tcW w:w="3900" w:type="dxa"/>
            <w:shd w:val="clear" w:color="auto" w:fill="F4F6F9"/>
            <w:tcMar>
              <w:top w:w="80" w:type="dxa"/>
              <w:left w:w="120" w:type="dxa"/>
              <w:bottom w:w="80" w:type="dxa"/>
              <w:right w:w="120" w:type="dxa"/>
            </w:tcMar>
            <w:vAlign w:val="center"/>
          </w:tcPr>
          <w:p w14:paraId="3097EDB3">
            <w:pPr>
              <w:spacing w:after="0" w:line="240" w:lineRule="auto"/>
              <w:jc w:val="center"/>
            </w:pPr>
            <w:r>
              <w:rPr>
                <w:rFonts w:ascii="Calibri" w:hAnsi="Calibri" w:eastAsia="Calibri" w:cs="Calibri"/>
                <w:b/>
                <w:sz w:val="18"/>
              </w:rPr>
              <w:t>具体方法</w:t>
            </w:r>
          </w:p>
        </w:tc>
        <w:tc>
          <w:tcPr>
            <w:tcW w:w="3360" w:type="dxa"/>
            <w:shd w:val="clear" w:color="auto" w:fill="F4F6F9"/>
            <w:tcMar>
              <w:top w:w="80" w:type="dxa"/>
              <w:left w:w="120" w:type="dxa"/>
              <w:bottom w:w="80" w:type="dxa"/>
              <w:right w:w="120" w:type="dxa"/>
            </w:tcMar>
            <w:vAlign w:val="center"/>
          </w:tcPr>
          <w:p w14:paraId="36C68C1B">
            <w:pPr>
              <w:spacing w:after="0" w:line="240" w:lineRule="auto"/>
              <w:jc w:val="center"/>
            </w:pPr>
            <w:r>
              <w:rPr>
                <w:rFonts w:ascii="Calibri" w:hAnsi="Calibri" w:eastAsia="Calibri" w:cs="Calibri"/>
                <w:b/>
                <w:sz w:val="18"/>
              </w:rPr>
              <w:t>工具</w:t>
            </w:r>
          </w:p>
        </w:tc>
      </w:tr>
      <w:tr w14:paraId="3BDD8D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00" w:type="dxa"/>
            <w:tcMar>
              <w:top w:w="80" w:type="dxa"/>
              <w:left w:w="120" w:type="dxa"/>
              <w:bottom w:w="80" w:type="dxa"/>
              <w:right w:w="120" w:type="dxa"/>
            </w:tcMar>
            <w:vAlign w:val="center"/>
          </w:tcPr>
          <w:p w14:paraId="1E4E7EB6">
            <w:pPr>
              <w:spacing w:after="0" w:line="252" w:lineRule="auto"/>
              <w:jc w:val="center"/>
            </w:pPr>
            <w:r>
              <w:rPr>
                <w:rFonts w:ascii="Calibri" w:hAnsi="Calibri" w:eastAsia="Calibri" w:cs="Calibri"/>
                <w:sz w:val="18"/>
              </w:rPr>
              <w:t>数据读取</w:t>
            </w:r>
          </w:p>
        </w:tc>
        <w:tc>
          <w:tcPr>
            <w:tcW w:w="3900" w:type="dxa"/>
            <w:tcMar>
              <w:top w:w="80" w:type="dxa"/>
              <w:left w:w="120" w:type="dxa"/>
              <w:bottom w:w="80" w:type="dxa"/>
              <w:right w:w="120" w:type="dxa"/>
            </w:tcMar>
            <w:vAlign w:val="center"/>
          </w:tcPr>
          <w:p w14:paraId="5357576B">
            <w:pPr>
              <w:spacing w:after="0" w:line="252" w:lineRule="auto"/>
              <w:jc w:val="left"/>
            </w:pPr>
            <w:r>
              <w:rPr>
                <w:rFonts w:ascii="Calibri" w:hAnsi="Calibri" w:eastAsia="Calibri" w:cs="Calibri"/>
                <w:sz w:val="18"/>
              </w:rPr>
              <w:t>CSV分块读取、类型压缩</w:t>
            </w:r>
          </w:p>
        </w:tc>
        <w:tc>
          <w:tcPr>
            <w:tcW w:w="3360" w:type="dxa"/>
            <w:tcMar>
              <w:top w:w="80" w:type="dxa"/>
              <w:left w:w="120" w:type="dxa"/>
              <w:bottom w:w="80" w:type="dxa"/>
              <w:right w:w="120" w:type="dxa"/>
            </w:tcMar>
            <w:vAlign w:val="center"/>
          </w:tcPr>
          <w:p w14:paraId="4058A19D">
            <w:pPr>
              <w:spacing w:after="0" w:line="252" w:lineRule="auto"/>
              <w:jc w:val="left"/>
            </w:pPr>
            <w:r>
              <w:rPr>
                <w:rFonts w:ascii="Calibri" w:hAnsi="Calibri" w:eastAsia="Calibri" w:cs="Calibri"/>
                <w:sz w:val="18"/>
              </w:rPr>
              <w:t>Python、Pandas；数据较大时使用Polars</w:t>
            </w:r>
          </w:p>
        </w:tc>
      </w:tr>
      <w:tr w14:paraId="34EAB4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00" w:type="dxa"/>
            <w:tcMar>
              <w:top w:w="80" w:type="dxa"/>
              <w:left w:w="120" w:type="dxa"/>
              <w:bottom w:w="80" w:type="dxa"/>
              <w:right w:w="120" w:type="dxa"/>
            </w:tcMar>
            <w:vAlign w:val="center"/>
          </w:tcPr>
          <w:p w14:paraId="6311CB0A">
            <w:pPr>
              <w:spacing w:after="0" w:line="252" w:lineRule="auto"/>
              <w:jc w:val="center"/>
            </w:pPr>
            <w:r>
              <w:rPr>
                <w:rFonts w:ascii="Calibri" w:hAnsi="Calibri" w:eastAsia="Calibri" w:cs="Calibri"/>
                <w:sz w:val="18"/>
              </w:rPr>
              <w:t>数据质量检查</w:t>
            </w:r>
          </w:p>
        </w:tc>
        <w:tc>
          <w:tcPr>
            <w:tcW w:w="3900" w:type="dxa"/>
            <w:tcMar>
              <w:top w:w="80" w:type="dxa"/>
              <w:left w:w="120" w:type="dxa"/>
              <w:bottom w:w="80" w:type="dxa"/>
              <w:right w:w="120" w:type="dxa"/>
            </w:tcMar>
            <w:vAlign w:val="center"/>
          </w:tcPr>
          <w:p w14:paraId="61CA6838">
            <w:pPr>
              <w:spacing w:after="0" w:line="252" w:lineRule="auto"/>
              <w:jc w:val="left"/>
            </w:pPr>
            <w:r>
              <w:rPr>
                <w:rFonts w:ascii="Calibri" w:hAnsi="Calibri" w:eastAsia="Calibri" w:cs="Calibri"/>
                <w:sz w:val="18"/>
              </w:rPr>
              <w:t>缺失值、重复记录、零响应Token、时间间隔检查</w:t>
            </w:r>
          </w:p>
        </w:tc>
        <w:tc>
          <w:tcPr>
            <w:tcW w:w="3360" w:type="dxa"/>
            <w:tcMar>
              <w:top w:w="80" w:type="dxa"/>
              <w:left w:w="120" w:type="dxa"/>
              <w:bottom w:w="80" w:type="dxa"/>
              <w:right w:w="120" w:type="dxa"/>
            </w:tcMar>
            <w:vAlign w:val="center"/>
          </w:tcPr>
          <w:p w14:paraId="2B6999C2">
            <w:pPr>
              <w:spacing w:after="0" w:line="252" w:lineRule="auto"/>
              <w:jc w:val="center"/>
            </w:pPr>
            <w:r>
              <w:rPr>
                <w:rFonts w:ascii="Calibri" w:hAnsi="Calibri" w:eastAsia="Calibri" w:cs="Calibri"/>
                <w:sz w:val="18"/>
              </w:rPr>
              <w:t>Pandas、NumPy</w:t>
            </w:r>
          </w:p>
        </w:tc>
      </w:tr>
      <w:tr w14:paraId="27FB4F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00" w:type="dxa"/>
            <w:tcMar>
              <w:top w:w="80" w:type="dxa"/>
              <w:left w:w="120" w:type="dxa"/>
              <w:bottom w:w="80" w:type="dxa"/>
              <w:right w:w="120" w:type="dxa"/>
            </w:tcMar>
            <w:vAlign w:val="center"/>
          </w:tcPr>
          <w:p w14:paraId="07B0F239">
            <w:pPr>
              <w:spacing w:after="0" w:line="252" w:lineRule="auto"/>
              <w:jc w:val="center"/>
            </w:pPr>
            <w:r>
              <w:rPr>
                <w:rFonts w:ascii="Calibri" w:hAnsi="Calibri" w:eastAsia="Calibri" w:cs="Calibri"/>
                <w:sz w:val="18"/>
              </w:rPr>
              <w:t>时间序列构建</w:t>
            </w:r>
          </w:p>
        </w:tc>
        <w:tc>
          <w:tcPr>
            <w:tcW w:w="3900" w:type="dxa"/>
            <w:tcMar>
              <w:top w:w="80" w:type="dxa"/>
              <w:left w:w="120" w:type="dxa"/>
              <w:bottom w:w="80" w:type="dxa"/>
              <w:right w:w="120" w:type="dxa"/>
            </w:tcMar>
            <w:vAlign w:val="center"/>
          </w:tcPr>
          <w:p w14:paraId="7C524E08">
            <w:pPr>
              <w:spacing w:after="0" w:line="252" w:lineRule="auto"/>
              <w:jc w:val="left"/>
            </w:pPr>
            <w:r>
              <w:rPr>
                <w:rFonts w:ascii="Calibri" w:hAnsi="Calibri" w:eastAsia="Calibri" w:cs="Calibri"/>
                <w:sz w:val="18"/>
              </w:rPr>
              <w:t>请求级数据聚合为5分钟时间窗</w:t>
            </w:r>
          </w:p>
        </w:tc>
        <w:tc>
          <w:tcPr>
            <w:tcW w:w="3360" w:type="dxa"/>
            <w:tcMar>
              <w:top w:w="80" w:type="dxa"/>
              <w:left w:w="120" w:type="dxa"/>
              <w:bottom w:w="80" w:type="dxa"/>
              <w:right w:w="120" w:type="dxa"/>
            </w:tcMar>
            <w:vAlign w:val="center"/>
          </w:tcPr>
          <w:p w14:paraId="3F4ECB7E">
            <w:pPr>
              <w:spacing w:after="0" w:line="252" w:lineRule="auto"/>
              <w:jc w:val="left"/>
            </w:pPr>
            <w:r>
              <w:rPr>
                <w:rFonts w:ascii="Consolas" w:hAnsi="Consolas" w:eastAsia="Consolas" w:cs="Consolas"/>
                <w:sz w:val="18"/>
              </w:rPr>
              <w:t>resample()</w:t>
            </w:r>
            <w:r>
              <w:rPr>
                <w:rFonts w:ascii="Calibri" w:hAnsi="Calibri" w:eastAsia="Calibri" w:cs="Calibri"/>
                <w:sz w:val="18"/>
              </w:rPr>
              <w:t>、</w:t>
            </w:r>
            <w:r>
              <w:rPr>
                <w:rFonts w:ascii="Consolas" w:hAnsi="Consolas" w:eastAsia="Consolas" w:cs="Consolas"/>
                <w:sz w:val="18"/>
              </w:rPr>
              <w:t>groupby_dynamic()</w:t>
            </w:r>
          </w:p>
        </w:tc>
      </w:tr>
      <w:tr w14:paraId="510977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00" w:type="dxa"/>
            <w:tcMar>
              <w:top w:w="80" w:type="dxa"/>
              <w:left w:w="120" w:type="dxa"/>
              <w:bottom w:w="80" w:type="dxa"/>
              <w:right w:w="120" w:type="dxa"/>
            </w:tcMar>
            <w:vAlign w:val="center"/>
          </w:tcPr>
          <w:p w14:paraId="095E7568">
            <w:pPr>
              <w:spacing w:after="0" w:line="252" w:lineRule="auto"/>
              <w:jc w:val="center"/>
            </w:pPr>
            <w:r>
              <w:rPr>
                <w:rFonts w:ascii="Calibri" w:hAnsi="Calibri" w:eastAsia="Calibri" w:cs="Calibri"/>
                <w:sz w:val="18"/>
              </w:rPr>
              <w:t>描述统计</w:t>
            </w:r>
          </w:p>
        </w:tc>
        <w:tc>
          <w:tcPr>
            <w:tcW w:w="3900" w:type="dxa"/>
            <w:tcMar>
              <w:top w:w="80" w:type="dxa"/>
              <w:left w:w="120" w:type="dxa"/>
              <w:bottom w:w="80" w:type="dxa"/>
              <w:right w:w="120" w:type="dxa"/>
            </w:tcMar>
            <w:vAlign w:val="center"/>
          </w:tcPr>
          <w:p w14:paraId="6A8AEC76">
            <w:pPr>
              <w:spacing w:after="0" w:line="252" w:lineRule="auto"/>
              <w:jc w:val="left"/>
            </w:pPr>
            <w:r>
              <w:rPr>
                <w:rFonts w:ascii="Calibri" w:hAnsi="Calibri" w:eastAsia="Calibri" w:cs="Calibri"/>
                <w:sz w:val="18"/>
              </w:rPr>
              <w:t>趋势、周期、分布、峰谷比、模型构成</w:t>
            </w:r>
          </w:p>
        </w:tc>
        <w:tc>
          <w:tcPr>
            <w:tcW w:w="3360" w:type="dxa"/>
            <w:tcMar>
              <w:top w:w="80" w:type="dxa"/>
              <w:left w:w="120" w:type="dxa"/>
              <w:bottom w:w="80" w:type="dxa"/>
              <w:right w:w="120" w:type="dxa"/>
            </w:tcMar>
            <w:vAlign w:val="center"/>
          </w:tcPr>
          <w:p w14:paraId="61C76E95">
            <w:pPr>
              <w:spacing w:after="0" w:line="252" w:lineRule="auto"/>
              <w:jc w:val="left"/>
            </w:pPr>
            <w:r>
              <w:rPr>
                <w:rFonts w:ascii="Calibri" w:hAnsi="Calibri" w:eastAsia="Calibri" w:cs="Calibri"/>
                <w:sz w:val="18"/>
              </w:rPr>
              <w:t>Matplotlib、Seaborn</w:t>
            </w:r>
          </w:p>
        </w:tc>
      </w:tr>
      <w:tr w14:paraId="095008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00" w:type="dxa"/>
            <w:tcMar>
              <w:top w:w="80" w:type="dxa"/>
              <w:left w:w="120" w:type="dxa"/>
              <w:bottom w:w="80" w:type="dxa"/>
              <w:right w:w="120" w:type="dxa"/>
            </w:tcMar>
            <w:vAlign w:val="center"/>
          </w:tcPr>
          <w:p w14:paraId="1D02A9A9">
            <w:pPr>
              <w:spacing w:after="0" w:line="252" w:lineRule="auto"/>
              <w:jc w:val="center"/>
            </w:pPr>
            <w:r>
              <w:rPr>
                <w:rFonts w:ascii="Calibri" w:hAnsi="Calibri" w:eastAsia="Calibri" w:cs="Calibri"/>
                <w:sz w:val="18"/>
              </w:rPr>
              <w:t>周期分析</w:t>
            </w:r>
          </w:p>
        </w:tc>
        <w:tc>
          <w:tcPr>
            <w:tcW w:w="3900" w:type="dxa"/>
            <w:tcMar>
              <w:top w:w="80" w:type="dxa"/>
              <w:left w:w="120" w:type="dxa"/>
              <w:bottom w:w="80" w:type="dxa"/>
              <w:right w:w="120" w:type="dxa"/>
            </w:tcMar>
            <w:vAlign w:val="center"/>
          </w:tcPr>
          <w:p w14:paraId="698705B9">
            <w:pPr>
              <w:spacing w:after="0" w:line="252" w:lineRule="auto"/>
              <w:jc w:val="left"/>
            </w:pPr>
            <w:r>
              <w:rPr>
                <w:rFonts w:ascii="Calibri" w:hAnsi="Calibri" w:eastAsia="Calibri" w:cs="Calibri"/>
                <w:sz w:val="18"/>
              </w:rPr>
              <w:t>小时/星期模式、自相关、周期图</w:t>
            </w:r>
          </w:p>
        </w:tc>
        <w:tc>
          <w:tcPr>
            <w:tcW w:w="3360" w:type="dxa"/>
            <w:tcMar>
              <w:top w:w="80" w:type="dxa"/>
              <w:left w:w="120" w:type="dxa"/>
              <w:bottom w:w="80" w:type="dxa"/>
              <w:right w:w="120" w:type="dxa"/>
            </w:tcMar>
            <w:vAlign w:val="center"/>
          </w:tcPr>
          <w:p w14:paraId="5AFEA9C0">
            <w:pPr>
              <w:spacing w:after="0" w:line="252" w:lineRule="auto"/>
              <w:jc w:val="center"/>
            </w:pPr>
            <w:r>
              <w:rPr>
                <w:rFonts w:ascii="Calibri" w:hAnsi="Calibri" w:eastAsia="Calibri" w:cs="Calibri"/>
                <w:sz w:val="18"/>
              </w:rPr>
              <w:t>statsmodels、SciPy</w:t>
            </w:r>
          </w:p>
        </w:tc>
      </w:tr>
      <w:tr w14:paraId="67458B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00" w:type="dxa"/>
            <w:tcMar>
              <w:top w:w="80" w:type="dxa"/>
              <w:left w:w="120" w:type="dxa"/>
              <w:bottom w:w="80" w:type="dxa"/>
              <w:right w:w="120" w:type="dxa"/>
            </w:tcMar>
            <w:vAlign w:val="center"/>
          </w:tcPr>
          <w:p w14:paraId="75E57333">
            <w:pPr>
              <w:spacing w:after="0" w:line="252" w:lineRule="auto"/>
              <w:jc w:val="center"/>
            </w:pPr>
            <w:r>
              <w:rPr>
                <w:rFonts w:ascii="Calibri" w:hAnsi="Calibri" w:eastAsia="Calibri" w:cs="Calibri"/>
                <w:sz w:val="18"/>
              </w:rPr>
              <w:t>特征工程</w:t>
            </w:r>
          </w:p>
        </w:tc>
        <w:tc>
          <w:tcPr>
            <w:tcW w:w="3900" w:type="dxa"/>
            <w:tcMar>
              <w:top w:w="80" w:type="dxa"/>
              <w:left w:w="120" w:type="dxa"/>
              <w:bottom w:w="80" w:type="dxa"/>
              <w:right w:w="120" w:type="dxa"/>
            </w:tcMar>
            <w:vAlign w:val="center"/>
          </w:tcPr>
          <w:p w14:paraId="1EABDB8E">
            <w:pPr>
              <w:spacing w:after="0" w:line="252" w:lineRule="auto"/>
              <w:jc w:val="left"/>
            </w:pPr>
            <w:r>
              <w:rPr>
                <w:rFonts w:ascii="Calibri" w:hAnsi="Calibri" w:eastAsia="Calibri" w:cs="Calibri"/>
                <w:sz w:val="18"/>
              </w:rPr>
              <w:t>滞后、滚动统计、周期编码、模型类型占比</w:t>
            </w:r>
          </w:p>
        </w:tc>
        <w:tc>
          <w:tcPr>
            <w:tcW w:w="3360" w:type="dxa"/>
            <w:tcMar>
              <w:top w:w="80" w:type="dxa"/>
              <w:left w:w="120" w:type="dxa"/>
              <w:bottom w:w="80" w:type="dxa"/>
              <w:right w:w="120" w:type="dxa"/>
            </w:tcMar>
            <w:vAlign w:val="center"/>
          </w:tcPr>
          <w:p w14:paraId="5D926DEE">
            <w:pPr>
              <w:spacing w:after="0" w:line="252" w:lineRule="auto"/>
              <w:jc w:val="left"/>
            </w:pPr>
            <w:r>
              <w:rPr>
                <w:rFonts w:ascii="Calibri" w:hAnsi="Calibri" w:eastAsia="Calibri" w:cs="Calibri"/>
                <w:sz w:val="18"/>
              </w:rPr>
              <w:t>Pandas、scikit-learn</w:t>
            </w:r>
          </w:p>
        </w:tc>
      </w:tr>
      <w:tr w14:paraId="0EA8B7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00" w:type="dxa"/>
            <w:tcMar>
              <w:top w:w="80" w:type="dxa"/>
              <w:left w:w="120" w:type="dxa"/>
              <w:bottom w:w="80" w:type="dxa"/>
              <w:right w:w="120" w:type="dxa"/>
            </w:tcMar>
            <w:vAlign w:val="center"/>
          </w:tcPr>
          <w:p w14:paraId="150BA7E2">
            <w:pPr>
              <w:spacing w:after="0" w:line="252" w:lineRule="auto"/>
              <w:jc w:val="center"/>
            </w:pPr>
            <w:r>
              <w:rPr>
                <w:rFonts w:ascii="Calibri" w:hAnsi="Calibri" w:eastAsia="Calibri" w:cs="Calibri"/>
                <w:sz w:val="18"/>
              </w:rPr>
              <w:t>简单基线</w:t>
            </w:r>
          </w:p>
        </w:tc>
        <w:tc>
          <w:tcPr>
            <w:tcW w:w="3900" w:type="dxa"/>
            <w:tcMar>
              <w:top w:w="80" w:type="dxa"/>
              <w:left w:w="120" w:type="dxa"/>
              <w:bottom w:w="80" w:type="dxa"/>
              <w:right w:w="120" w:type="dxa"/>
            </w:tcMar>
            <w:vAlign w:val="center"/>
          </w:tcPr>
          <w:p w14:paraId="04F075B2">
            <w:pPr>
              <w:spacing w:after="0" w:line="252" w:lineRule="auto"/>
              <w:jc w:val="left"/>
            </w:pPr>
            <w:r>
              <w:rPr>
                <w:rFonts w:ascii="Calibri" w:hAnsi="Calibri" w:eastAsia="Calibri" w:cs="Calibri"/>
                <w:sz w:val="18"/>
              </w:rPr>
              <w:t>Persistence、24小时季节朴素预测</w:t>
            </w:r>
          </w:p>
        </w:tc>
        <w:tc>
          <w:tcPr>
            <w:tcW w:w="3360" w:type="dxa"/>
            <w:tcMar>
              <w:top w:w="80" w:type="dxa"/>
              <w:left w:w="120" w:type="dxa"/>
              <w:bottom w:w="80" w:type="dxa"/>
              <w:right w:w="120" w:type="dxa"/>
            </w:tcMar>
            <w:vAlign w:val="center"/>
          </w:tcPr>
          <w:p w14:paraId="1983D2A3">
            <w:pPr>
              <w:spacing w:after="0" w:line="252" w:lineRule="auto"/>
              <w:jc w:val="left"/>
            </w:pPr>
            <w:r>
              <w:rPr>
                <w:rFonts w:ascii="Calibri" w:hAnsi="Calibri" w:eastAsia="Calibri" w:cs="Calibri"/>
                <w:sz w:val="18"/>
              </w:rPr>
              <w:t>NumPy、scikit-learn</w:t>
            </w:r>
          </w:p>
        </w:tc>
      </w:tr>
      <w:tr w14:paraId="1BC59F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00" w:type="dxa"/>
            <w:tcMar>
              <w:top w:w="80" w:type="dxa"/>
              <w:left w:w="120" w:type="dxa"/>
              <w:bottom w:w="80" w:type="dxa"/>
              <w:right w:w="120" w:type="dxa"/>
            </w:tcMar>
            <w:vAlign w:val="center"/>
          </w:tcPr>
          <w:p w14:paraId="6EF67AB5">
            <w:pPr>
              <w:spacing w:after="0" w:line="252" w:lineRule="auto"/>
              <w:jc w:val="center"/>
            </w:pPr>
            <w:r>
              <w:rPr>
                <w:rFonts w:ascii="Calibri" w:hAnsi="Calibri" w:eastAsia="Calibri" w:cs="Calibri"/>
                <w:sz w:val="18"/>
              </w:rPr>
              <w:t>机器学习</w:t>
            </w:r>
          </w:p>
        </w:tc>
        <w:tc>
          <w:tcPr>
            <w:tcW w:w="3900" w:type="dxa"/>
            <w:tcMar>
              <w:top w:w="80" w:type="dxa"/>
              <w:left w:w="120" w:type="dxa"/>
              <w:bottom w:w="80" w:type="dxa"/>
              <w:right w:w="120" w:type="dxa"/>
            </w:tcMar>
            <w:vAlign w:val="center"/>
          </w:tcPr>
          <w:p w14:paraId="27C59E8A">
            <w:pPr>
              <w:spacing w:after="0" w:line="252" w:lineRule="auto"/>
              <w:jc w:val="left"/>
            </w:pPr>
            <w:r>
              <w:rPr>
                <w:rFonts w:ascii="Calibri" w:hAnsi="Calibri" w:eastAsia="Calibri" w:cs="Calibri"/>
                <w:sz w:val="18"/>
              </w:rPr>
              <w:t>XGBoost回归</w:t>
            </w:r>
          </w:p>
        </w:tc>
        <w:tc>
          <w:tcPr>
            <w:tcW w:w="3360" w:type="dxa"/>
            <w:tcMar>
              <w:top w:w="80" w:type="dxa"/>
              <w:left w:w="120" w:type="dxa"/>
              <w:bottom w:w="80" w:type="dxa"/>
              <w:right w:w="120" w:type="dxa"/>
            </w:tcMar>
            <w:vAlign w:val="center"/>
          </w:tcPr>
          <w:p w14:paraId="2443891B">
            <w:pPr>
              <w:spacing w:after="0" w:line="252" w:lineRule="auto"/>
              <w:jc w:val="left"/>
            </w:pPr>
            <w:r>
              <w:rPr>
                <w:rFonts w:ascii="Consolas" w:hAnsi="Consolas" w:eastAsia="Consolas" w:cs="Consolas"/>
                <w:sz w:val="18"/>
              </w:rPr>
              <w:t>xgboost.XGBRegressor</w:t>
            </w:r>
          </w:p>
        </w:tc>
      </w:tr>
      <w:tr w14:paraId="1F55FE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00" w:type="dxa"/>
            <w:tcMar>
              <w:top w:w="80" w:type="dxa"/>
              <w:left w:w="120" w:type="dxa"/>
              <w:bottom w:w="80" w:type="dxa"/>
              <w:right w:w="120" w:type="dxa"/>
            </w:tcMar>
            <w:vAlign w:val="center"/>
          </w:tcPr>
          <w:p w14:paraId="6FFF9FC0">
            <w:pPr>
              <w:spacing w:after="0" w:line="252" w:lineRule="auto"/>
              <w:jc w:val="center"/>
            </w:pPr>
            <w:r>
              <w:rPr>
                <w:rFonts w:ascii="Calibri" w:hAnsi="Calibri" w:eastAsia="Calibri" w:cs="Calibri"/>
                <w:sz w:val="18"/>
              </w:rPr>
              <w:t>深度学习</w:t>
            </w:r>
          </w:p>
        </w:tc>
        <w:tc>
          <w:tcPr>
            <w:tcW w:w="3900" w:type="dxa"/>
            <w:tcMar>
              <w:top w:w="80" w:type="dxa"/>
              <w:left w:w="120" w:type="dxa"/>
              <w:bottom w:w="80" w:type="dxa"/>
              <w:right w:w="120" w:type="dxa"/>
            </w:tcMar>
            <w:vAlign w:val="center"/>
          </w:tcPr>
          <w:p w14:paraId="6BB74AFF">
            <w:pPr>
              <w:spacing w:after="0" w:line="252" w:lineRule="auto"/>
              <w:jc w:val="left"/>
            </w:pPr>
            <w:r>
              <w:rPr>
                <w:rFonts w:ascii="Calibri" w:hAnsi="Calibri" w:eastAsia="Calibri" w:cs="Calibri"/>
                <w:sz w:val="18"/>
              </w:rPr>
              <w:t>单层或双层LSTM</w:t>
            </w:r>
          </w:p>
        </w:tc>
        <w:tc>
          <w:tcPr>
            <w:tcW w:w="3360" w:type="dxa"/>
            <w:tcMar>
              <w:top w:w="80" w:type="dxa"/>
              <w:left w:w="120" w:type="dxa"/>
              <w:bottom w:w="80" w:type="dxa"/>
              <w:right w:w="120" w:type="dxa"/>
            </w:tcMar>
            <w:vAlign w:val="center"/>
          </w:tcPr>
          <w:p w14:paraId="01BA5620">
            <w:pPr>
              <w:spacing w:after="0" w:line="252" w:lineRule="auto"/>
              <w:jc w:val="center"/>
            </w:pPr>
            <w:r>
              <w:rPr>
                <w:rFonts w:ascii="Calibri" w:hAnsi="Calibri" w:eastAsia="Calibri" w:cs="Calibri"/>
                <w:sz w:val="18"/>
              </w:rPr>
              <w:t>TensorFlow/Keras</w:t>
            </w:r>
          </w:p>
        </w:tc>
      </w:tr>
      <w:tr w14:paraId="1A40AE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00" w:type="dxa"/>
            <w:tcMar>
              <w:top w:w="80" w:type="dxa"/>
              <w:left w:w="120" w:type="dxa"/>
              <w:bottom w:w="80" w:type="dxa"/>
              <w:right w:w="120" w:type="dxa"/>
            </w:tcMar>
            <w:vAlign w:val="center"/>
          </w:tcPr>
          <w:p w14:paraId="2A04216F">
            <w:pPr>
              <w:spacing w:after="0" w:line="252" w:lineRule="auto"/>
              <w:jc w:val="center"/>
            </w:pPr>
            <w:r>
              <w:rPr>
                <w:rFonts w:ascii="Calibri" w:hAnsi="Calibri" w:eastAsia="Calibri" w:cs="Calibri"/>
                <w:sz w:val="18"/>
              </w:rPr>
              <w:t>参数优化</w:t>
            </w:r>
          </w:p>
        </w:tc>
        <w:tc>
          <w:tcPr>
            <w:tcW w:w="3900" w:type="dxa"/>
            <w:tcMar>
              <w:top w:w="80" w:type="dxa"/>
              <w:left w:w="120" w:type="dxa"/>
              <w:bottom w:w="80" w:type="dxa"/>
              <w:right w:w="120" w:type="dxa"/>
            </w:tcMar>
            <w:vAlign w:val="center"/>
          </w:tcPr>
          <w:p w14:paraId="51869522">
            <w:pPr>
              <w:spacing w:after="0" w:line="252" w:lineRule="auto"/>
              <w:jc w:val="left"/>
            </w:pPr>
            <w:r>
              <w:rPr>
                <w:rFonts w:ascii="Calibri" w:hAnsi="Calibri" w:eastAsia="Calibri" w:cs="Calibri"/>
                <w:sz w:val="18"/>
              </w:rPr>
              <w:t>RandomizedSearch、早停；Optuna可选</w:t>
            </w:r>
          </w:p>
        </w:tc>
        <w:tc>
          <w:tcPr>
            <w:tcW w:w="3360" w:type="dxa"/>
            <w:tcMar>
              <w:top w:w="80" w:type="dxa"/>
              <w:left w:w="120" w:type="dxa"/>
              <w:bottom w:w="80" w:type="dxa"/>
              <w:right w:w="120" w:type="dxa"/>
            </w:tcMar>
            <w:vAlign w:val="center"/>
          </w:tcPr>
          <w:p w14:paraId="2341E458">
            <w:pPr>
              <w:spacing w:after="0" w:line="252" w:lineRule="auto"/>
              <w:jc w:val="left"/>
            </w:pPr>
            <w:r>
              <w:rPr>
                <w:rFonts w:ascii="Calibri" w:hAnsi="Calibri" w:eastAsia="Calibri" w:cs="Calibri"/>
                <w:sz w:val="18"/>
              </w:rPr>
              <w:t>scikit-learn、Optuna</w:t>
            </w:r>
          </w:p>
        </w:tc>
      </w:tr>
      <w:tr w14:paraId="541DE6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00" w:type="dxa"/>
            <w:tcMar>
              <w:top w:w="80" w:type="dxa"/>
              <w:left w:w="120" w:type="dxa"/>
              <w:bottom w:w="80" w:type="dxa"/>
              <w:right w:w="120" w:type="dxa"/>
            </w:tcMar>
            <w:vAlign w:val="center"/>
          </w:tcPr>
          <w:p w14:paraId="6F68EFA6">
            <w:pPr>
              <w:spacing w:after="0" w:line="252" w:lineRule="auto"/>
              <w:jc w:val="center"/>
            </w:pPr>
            <w:r>
              <w:rPr>
                <w:rFonts w:ascii="Calibri" w:hAnsi="Calibri" w:eastAsia="Calibri" w:cs="Calibri"/>
                <w:sz w:val="18"/>
              </w:rPr>
              <w:t>突发识别</w:t>
            </w:r>
          </w:p>
        </w:tc>
        <w:tc>
          <w:tcPr>
            <w:tcW w:w="3900" w:type="dxa"/>
            <w:tcMar>
              <w:top w:w="80" w:type="dxa"/>
              <w:left w:w="120" w:type="dxa"/>
              <w:bottom w:w="80" w:type="dxa"/>
              <w:right w:w="120" w:type="dxa"/>
            </w:tcMar>
            <w:vAlign w:val="center"/>
          </w:tcPr>
          <w:p w14:paraId="0FC5693D">
            <w:pPr>
              <w:spacing w:after="0" w:line="252" w:lineRule="auto"/>
              <w:jc w:val="left"/>
            </w:pPr>
            <w:r>
              <w:rPr>
                <w:rFonts w:ascii="Calibri" w:hAnsi="Calibri" w:eastAsia="Calibri" w:cs="Calibri"/>
                <w:sz w:val="18"/>
              </w:rPr>
              <w:t>训练集P95阈值、预测负载转为突发标签</w:t>
            </w:r>
          </w:p>
        </w:tc>
        <w:tc>
          <w:tcPr>
            <w:tcW w:w="3360" w:type="dxa"/>
            <w:tcMar>
              <w:top w:w="80" w:type="dxa"/>
              <w:left w:w="120" w:type="dxa"/>
              <w:bottom w:w="80" w:type="dxa"/>
              <w:right w:w="120" w:type="dxa"/>
            </w:tcMar>
            <w:vAlign w:val="center"/>
          </w:tcPr>
          <w:p w14:paraId="1FB5F9BE">
            <w:pPr>
              <w:spacing w:after="0" w:line="252" w:lineRule="auto"/>
              <w:jc w:val="left"/>
            </w:pPr>
            <w:r>
              <w:rPr>
                <w:rFonts w:ascii="Calibri" w:hAnsi="Calibri" w:eastAsia="Calibri" w:cs="Calibri"/>
                <w:sz w:val="18"/>
              </w:rPr>
              <w:t>NumPy、scikit-learn</w:t>
            </w:r>
          </w:p>
        </w:tc>
      </w:tr>
      <w:tr w14:paraId="0CA7FB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00" w:type="dxa"/>
            <w:tcMar>
              <w:top w:w="80" w:type="dxa"/>
              <w:left w:w="120" w:type="dxa"/>
              <w:bottom w:w="80" w:type="dxa"/>
              <w:right w:w="120" w:type="dxa"/>
            </w:tcMar>
            <w:vAlign w:val="center"/>
          </w:tcPr>
          <w:p w14:paraId="69A7926C">
            <w:pPr>
              <w:spacing w:after="0" w:line="252" w:lineRule="auto"/>
              <w:jc w:val="center"/>
            </w:pPr>
            <w:r>
              <w:rPr>
                <w:rFonts w:ascii="Calibri" w:hAnsi="Calibri" w:eastAsia="Calibri" w:cs="Calibri"/>
                <w:sz w:val="18"/>
              </w:rPr>
              <w:t>预测评价</w:t>
            </w:r>
          </w:p>
        </w:tc>
        <w:tc>
          <w:tcPr>
            <w:tcW w:w="3900" w:type="dxa"/>
            <w:tcMar>
              <w:top w:w="80" w:type="dxa"/>
              <w:left w:w="120" w:type="dxa"/>
              <w:bottom w:w="80" w:type="dxa"/>
              <w:right w:w="120" w:type="dxa"/>
            </w:tcMar>
            <w:vAlign w:val="center"/>
          </w:tcPr>
          <w:p w14:paraId="44A88D2F">
            <w:pPr>
              <w:spacing w:after="0" w:line="252" w:lineRule="auto"/>
              <w:jc w:val="left"/>
            </w:pPr>
            <w:r>
              <w:rPr>
                <w:rFonts w:ascii="Calibri" w:hAnsi="Calibri" w:eastAsia="Calibri" w:cs="Calibri"/>
                <w:sz w:val="18"/>
              </w:rPr>
              <w:t>MAE、RMSE、sMAPE</w:t>
            </w:r>
          </w:p>
        </w:tc>
        <w:tc>
          <w:tcPr>
            <w:tcW w:w="3360" w:type="dxa"/>
            <w:tcMar>
              <w:top w:w="80" w:type="dxa"/>
              <w:left w:w="120" w:type="dxa"/>
              <w:bottom w:w="80" w:type="dxa"/>
              <w:right w:w="120" w:type="dxa"/>
            </w:tcMar>
            <w:vAlign w:val="center"/>
          </w:tcPr>
          <w:p w14:paraId="67BF3951">
            <w:pPr>
              <w:spacing w:after="0" w:line="252" w:lineRule="auto"/>
              <w:jc w:val="center"/>
            </w:pPr>
            <w:r>
              <w:rPr>
                <w:rFonts w:ascii="Calibri" w:hAnsi="Calibri" w:eastAsia="Calibri" w:cs="Calibri"/>
                <w:sz w:val="18"/>
              </w:rPr>
              <w:t>scikit-learn</w:t>
            </w:r>
          </w:p>
        </w:tc>
      </w:tr>
      <w:tr w14:paraId="25E757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00" w:type="dxa"/>
            <w:tcMar>
              <w:top w:w="80" w:type="dxa"/>
              <w:left w:w="120" w:type="dxa"/>
              <w:bottom w:w="80" w:type="dxa"/>
              <w:right w:w="120" w:type="dxa"/>
            </w:tcMar>
            <w:vAlign w:val="center"/>
          </w:tcPr>
          <w:p w14:paraId="2AEE1A62">
            <w:pPr>
              <w:spacing w:after="0" w:line="252" w:lineRule="auto"/>
              <w:jc w:val="center"/>
            </w:pPr>
            <w:r>
              <w:rPr>
                <w:rFonts w:ascii="Calibri" w:hAnsi="Calibri" w:eastAsia="Calibri" w:cs="Calibri"/>
                <w:sz w:val="18"/>
              </w:rPr>
              <w:t>突发评价</w:t>
            </w:r>
          </w:p>
        </w:tc>
        <w:tc>
          <w:tcPr>
            <w:tcW w:w="3900" w:type="dxa"/>
            <w:tcMar>
              <w:top w:w="80" w:type="dxa"/>
              <w:left w:w="120" w:type="dxa"/>
              <w:bottom w:w="80" w:type="dxa"/>
              <w:right w:w="120" w:type="dxa"/>
            </w:tcMar>
            <w:vAlign w:val="center"/>
          </w:tcPr>
          <w:p w14:paraId="226D4A0B">
            <w:pPr>
              <w:spacing w:after="0" w:line="252" w:lineRule="auto"/>
              <w:jc w:val="left"/>
            </w:pPr>
            <w:r>
              <w:rPr>
                <w:rFonts w:ascii="Calibri" w:hAnsi="Calibri" w:eastAsia="Calibri" w:cs="Calibri"/>
                <w:sz w:val="18"/>
              </w:rPr>
              <w:t>Precision、Recall、F1、PR-AUC</w:t>
            </w:r>
          </w:p>
        </w:tc>
        <w:tc>
          <w:tcPr>
            <w:tcW w:w="3360" w:type="dxa"/>
            <w:tcMar>
              <w:top w:w="80" w:type="dxa"/>
              <w:left w:w="120" w:type="dxa"/>
              <w:bottom w:w="80" w:type="dxa"/>
              <w:right w:w="120" w:type="dxa"/>
            </w:tcMar>
            <w:vAlign w:val="center"/>
          </w:tcPr>
          <w:p w14:paraId="153E52AB">
            <w:pPr>
              <w:spacing w:after="0" w:line="252" w:lineRule="auto"/>
              <w:jc w:val="center"/>
            </w:pPr>
            <w:r>
              <w:rPr>
                <w:rFonts w:ascii="Calibri" w:hAnsi="Calibri" w:eastAsia="Calibri" w:cs="Calibri"/>
                <w:sz w:val="18"/>
              </w:rPr>
              <w:t>scikit-learn</w:t>
            </w:r>
          </w:p>
        </w:tc>
      </w:tr>
      <w:tr w14:paraId="77EC53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00" w:type="dxa"/>
            <w:tcMar>
              <w:top w:w="80" w:type="dxa"/>
              <w:left w:w="120" w:type="dxa"/>
              <w:bottom w:w="80" w:type="dxa"/>
              <w:right w:w="120" w:type="dxa"/>
            </w:tcMar>
            <w:vAlign w:val="center"/>
          </w:tcPr>
          <w:p w14:paraId="3FAA46CC">
            <w:pPr>
              <w:spacing w:after="0" w:line="252" w:lineRule="auto"/>
              <w:jc w:val="center"/>
            </w:pPr>
            <w:r>
              <w:rPr>
                <w:rFonts w:ascii="Calibri" w:hAnsi="Calibri" w:eastAsia="Calibri" w:cs="Calibri"/>
                <w:sz w:val="18"/>
              </w:rPr>
              <w:t>可解释性</w:t>
            </w:r>
          </w:p>
        </w:tc>
        <w:tc>
          <w:tcPr>
            <w:tcW w:w="3900" w:type="dxa"/>
            <w:tcMar>
              <w:top w:w="80" w:type="dxa"/>
              <w:left w:w="120" w:type="dxa"/>
              <w:bottom w:w="80" w:type="dxa"/>
              <w:right w:w="120" w:type="dxa"/>
            </w:tcMar>
            <w:vAlign w:val="center"/>
          </w:tcPr>
          <w:p w14:paraId="13E1B83E">
            <w:pPr>
              <w:spacing w:after="0" w:line="252" w:lineRule="auto"/>
              <w:jc w:val="left"/>
            </w:pPr>
            <w:r>
              <w:rPr>
                <w:rFonts w:ascii="Calibri" w:hAnsi="Calibri" w:eastAsia="Calibri" w:cs="Calibri"/>
                <w:sz w:val="18"/>
              </w:rPr>
              <w:t>特征重要性、SHAP值</w:t>
            </w:r>
          </w:p>
        </w:tc>
        <w:tc>
          <w:tcPr>
            <w:tcW w:w="3360" w:type="dxa"/>
            <w:tcMar>
              <w:top w:w="80" w:type="dxa"/>
              <w:left w:w="120" w:type="dxa"/>
              <w:bottom w:w="80" w:type="dxa"/>
              <w:right w:w="120" w:type="dxa"/>
            </w:tcMar>
            <w:vAlign w:val="center"/>
          </w:tcPr>
          <w:p w14:paraId="74A29C61">
            <w:pPr>
              <w:spacing w:after="0" w:line="252" w:lineRule="auto"/>
              <w:jc w:val="center"/>
            </w:pPr>
            <w:r>
              <w:rPr>
                <w:rFonts w:ascii="Calibri" w:hAnsi="Calibri" w:eastAsia="Calibri" w:cs="Calibri"/>
                <w:sz w:val="18"/>
              </w:rPr>
              <w:t>SHAP</w:t>
            </w:r>
          </w:p>
        </w:tc>
      </w:tr>
      <w:tr w14:paraId="4377BB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00" w:type="dxa"/>
            <w:tcMar>
              <w:top w:w="80" w:type="dxa"/>
              <w:left w:w="120" w:type="dxa"/>
              <w:bottom w:w="80" w:type="dxa"/>
              <w:right w:w="120" w:type="dxa"/>
            </w:tcMar>
            <w:vAlign w:val="center"/>
          </w:tcPr>
          <w:p w14:paraId="34C42B45">
            <w:pPr>
              <w:spacing w:after="0" w:line="252" w:lineRule="auto"/>
              <w:jc w:val="center"/>
            </w:pPr>
            <w:r>
              <w:rPr>
                <w:rFonts w:ascii="Calibri" w:hAnsi="Calibri" w:eastAsia="Calibri" w:cs="Calibri"/>
                <w:sz w:val="18"/>
              </w:rPr>
              <w:t>显著性与稳健性</w:t>
            </w:r>
          </w:p>
        </w:tc>
        <w:tc>
          <w:tcPr>
            <w:tcW w:w="3900" w:type="dxa"/>
            <w:tcMar>
              <w:top w:w="80" w:type="dxa"/>
              <w:left w:w="120" w:type="dxa"/>
              <w:bottom w:w="80" w:type="dxa"/>
              <w:right w:w="120" w:type="dxa"/>
            </w:tcMar>
            <w:vAlign w:val="center"/>
          </w:tcPr>
          <w:p w14:paraId="1D964BFA">
            <w:pPr>
              <w:spacing w:after="0" w:line="252" w:lineRule="auto"/>
              <w:jc w:val="left"/>
            </w:pPr>
            <w:r>
              <w:rPr>
                <w:rFonts w:ascii="Calibri" w:hAnsi="Calibri" w:eastAsia="Calibri" w:cs="Calibri"/>
                <w:sz w:val="18"/>
              </w:rPr>
              <w:t>配对误差检验、分块Bootstrap</w:t>
            </w:r>
          </w:p>
        </w:tc>
        <w:tc>
          <w:tcPr>
            <w:tcW w:w="3360" w:type="dxa"/>
            <w:tcMar>
              <w:top w:w="80" w:type="dxa"/>
              <w:left w:w="120" w:type="dxa"/>
              <w:bottom w:w="80" w:type="dxa"/>
              <w:right w:w="120" w:type="dxa"/>
            </w:tcMar>
            <w:vAlign w:val="center"/>
          </w:tcPr>
          <w:p w14:paraId="169B6C22">
            <w:pPr>
              <w:spacing w:after="0" w:line="252" w:lineRule="auto"/>
              <w:jc w:val="center"/>
            </w:pPr>
            <w:r>
              <w:rPr>
                <w:rFonts w:ascii="Calibri" w:hAnsi="Calibri" w:eastAsia="Calibri" w:cs="Calibri"/>
                <w:sz w:val="18"/>
              </w:rPr>
              <w:t>SciPy、statsmodels</w:t>
            </w:r>
          </w:p>
        </w:tc>
      </w:tr>
      <w:tr w14:paraId="1ED765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00" w:type="dxa"/>
            <w:tcMar>
              <w:top w:w="80" w:type="dxa"/>
              <w:left w:w="120" w:type="dxa"/>
              <w:bottom w:w="80" w:type="dxa"/>
              <w:right w:w="120" w:type="dxa"/>
            </w:tcMar>
            <w:vAlign w:val="center"/>
          </w:tcPr>
          <w:p w14:paraId="405155FE">
            <w:pPr>
              <w:spacing w:after="0" w:line="252" w:lineRule="auto"/>
              <w:jc w:val="center"/>
            </w:pPr>
            <w:r>
              <w:rPr>
                <w:rFonts w:ascii="Calibri" w:hAnsi="Calibri" w:eastAsia="Calibri" w:cs="Calibri"/>
                <w:sz w:val="18"/>
              </w:rPr>
              <w:t>实验管理</w:t>
            </w:r>
          </w:p>
        </w:tc>
        <w:tc>
          <w:tcPr>
            <w:tcW w:w="3900" w:type="dxa"/>
            <w:tcMar>
              <w:top w:w="80" w:type="dxa"/>
              <w:left w:w="120" w:type="dxa"/>
              <w:bottom w:w="80" w:type="dxa"/>
              <w:right w:w="120" w:type="dxa"/>
            </w:tcMar>
            <w:vAlign w:val="center"/>
          </w:tcPr>
          <w:p w14:paraId="48A1E9E0">
            <w:pPr>
              <w:spacing w:after="0" w:line="252" w:lineRule="auto"/>
              <w:jc w:val="left"/>
            </w:pPr>
            <w:r>
              <w:rPr>
                <w:rFonts w:ascii="Calibri" w:hAnsi="Calibri" w:eastAsia="Calibri" w:cs="Calibri"/>
                <w:sz w:val="18"/>
              </w:rPr>
              <w:t>固定随机种子、保存参数和结果</w:t>
            </w:r>
          </w:p>
        </w:tc>
        <w:tc>
          <w:tcPr>
            <w:tcW w:w="3360" w:type="dxa"/>
            <w:tcMar>
              <w:top w:w="80" w:type="dxa"/>
              <w:left w:w="120" w:type="dxa"/>
              <w:bottom w:w="80" w:type="dxa"/>
              <w:right w:w="120" w:type="dxa"/>
            </w:tcMar>
            <w:vAlign w:val="center"/>
          </w:tcPr>
          <w:p w14:paraId="05F04B2E">
            <w:pPr>
              <w:spacing w:after="0" w:line="252" w:lineRule="auto"/>
              <w:jc w:val="left"/>
            </w:pPr>
            <w:r>
              <w:rPr>
                <w:rFonts w:ascii="Calibri" w:hAnsi="Calibri" w:eastAsia="Calibri" w:cs="Calibri"/>
                <w:sz w:val="18"/>
              </w:rPr>
              <w:t>Git、GitHub、YAML、Joblib</w:t>
            </w:r>
          </w:p>
        </w:tc>
      </w:tr>
    </w:tbl>
    <w:p w14:paraId="097BACDE">
      <w:pPr>
        <w:spacing w:after="40"/>
      </w:pPr>
    </w:p>
    <w:p w14:paraId="12A8AED1">
      <w:pPr>
        <w:pStyle w:val="4"/>
      </w:pPr>
      <w:r>
        <w:rPr>
          <w:rFonts w:ascii="Calibri" w:hAnsi="Calibri" w:eastAsia="Calibri" w:cs="Calibri"/>
          <w:sz w:val="26"/>
        </w:rPr>
        <w:t>1.3 推荐特征</w:t>
      </w:r>
    </w:p>
    <w:p w14:paraId="74E05F1F">
      <w:pPr>
        <w:pStyle w:val="16"/>
      </w:pPr>
      <w:r>
        <w:rPr>
          <w:rFonts w:ascii="Calibri" w:hAnsi="Calibri" w:eastAsia="Calibri" w:cs="Calibri"/>
          <w:sz w:val="22"/>
        </w:rPr>
        <w:t>滞后负载：</w:t>
      </w:r>
      <w:r>
        <w:rPr>
          <w:rFonts w:ascii="Consolas" w:hAnsi="Consolas" w:eastAsia="Consolas" w:cs="Consolas"/>
          <w:sz w:val="20"/>
        </w:rPr>
        <w:t>lag_1、2、3、6、12、24、48、288</w:t>
      </w:r>
      <w:r>
        <w:rPr>
          <w:rFonts w:ascii="Calibri" w:hAnsi="Calibri" w:eastAsia="Calibri" w:cs="Calibri"/>
          <w:sz w:val="22"/>
        </w:rPr>
        <w:t>。</w:t>
      </w:r>
    </w:p>
    <w:p w14:paraId="6CAB8643">
      <w:pPr>
        <w:pStyle w:val="16"/>
      </w:pPr>
      <w:r>
        <w:rPr>
          <w:rFonts w:ascii="Calibri" w:hAnsi="Calibri" w:eastAsia="Calibri" w:cs="Calibri"/>
          <w:sz w:val="22"/>
        </w:rPr>
        <w:t>滚动特征：过去15、30、60分钟的均值、标准差、最大值。</w:t>
      </w:r>
    </w:p>
    <w:p w14:paraId="4D3606EB">
      <w:pPr>
        <w:pStyle w:val="16"/>
      </w:pPr>
      <w:r>
        <w:rPr>
          <w:rFonts w:ascii="Calibri" w:hAnsi="Calibri" w:eastAsia="Calibri" w:cs="Calibri"/>
          <w:sz w:val="22"/>
        </w:rPr>
        <w:t>周期特征：小时、星期、是否周末，并进行正余弦编码。</w:t>
      </w:r>
    </w:p>
    <w:p w14:paraId="6FA07C1E">
      <w:pPr>
        <w:pStyle w:val="16"/>
      </w:pPr>
      <w:r>
        <w:rPr>
          <w:rFonts w:ascii="Calibri" w:hAnsi="Calibri" w:eastAsia="Calibri" w:cs="Calibri"/>
          <w:sz w:val="22"/>
        </w:rPr>
        <w:t>负载结构：请求数量、平均输入Token、平均输出Token。</w:t>
      </w:r>
    </w:p>
    <w:p w14:paraId="57680C28">
      <w:pPr>
        <w:pStyle w:val="16"/>
      </w:pPr>
      <w:r>
        <w:rPr>
          <w:rFonts w:ascii="Calibri" w:hAnsi="Calibri" w:eastAsia="Calibri" w:cs="Calibri"/>
          <w:sz w:val="22"/>
        </w:rPr>
        <w:t>服务结构：GPT-4请求占比、API请求占比。</w:t>
      </w:r>
    </w:p>
    <w:p w14:paraId="22B15F69">
      <w:pPr>
        <w:pStyle w:val="16"/>
      </w:pPr>
      <w:r>
        <w:rPr>
          <w:rFonts w:ascii="Calibri" w:hAnsi="Calibri" w:eastAsia="Calibri" w:cs="Calibri"/>
          <w:sz w:val="22"/>
        </w:rPr>
        <w:t>会话特征：活跃Session数、每Session平均请求数。</w:t>
      </w:r>
    </w:p>
    <w:p w14:paraId="339A27D8">
      <w:pPr>
        <w:pStyle w:val="16"/>
      </w:pPr>
      <w:r>
        <w:rPr>
          <w:rFonts w:ascii="Calibri" w:hAnsi="Calibri" w:eastAsia="Calibri" w:cs="Calibri"/>
          <w:sz w:val="22"/>
        </w:rPr>
        <w:t>变化特征：Token负载一阶差分、短期增长率。</w:t>
      </w:r>
    </w:p>
    <w:p w14:paraId="04875E3D">
      <w:r>
        <w:rPr>
          <w:rFonts w:ascii="Calibri" w:hAnsi="Calibri" w:eastAsia="Calibri" w:cs="Calibri"/>
          <w:sz w:val="22"/>
        </w:rPr>
        <w:t>注意：未来请求的Response Tokens和Total Tokens在预测时不可知，只能作为预测目标或历史滞后特征。所有标准化、突发阈值和特征选择都必须只用训练集拟合。</w:t>
      </w:r>
    </w:p>
    <w:p w14:paraId="0AC80E08">
      <w:pPr>
        <w:pStyle w:val="4"/>
      </w:pPr>
      <w:r>
        <w:rPr>
          <w:rFonts w:ascii="Calibri" w:hAnsi="Calibri" w:eastAsia="Calibri" w:cs="Calibri"/>
          <w:sz w:val="26"/>
        </w:rPr>
        <w:t>1.4 实验设计</w:t>
      </w:r>
    </w:p>
    <w:p w14:paraId="1E95DB0F">
      <w:r>
        <w:rPr>
          <w:rFonts w:ascii="Calibri" w:hAnsi="Calibri" w:eastAsia="Calibri" w:cs="Calibri"/>
          <w:sz w:val="22"/>
        </w:rPr>
        <w:t>推荐按时间顺序切分，不能随机打乱：</w:t>
      </w:r>
    </w:p>
    <w:p w14:paraId="5FD0A104">
      <w:pPr>
        <w:pStyle w:val="16"/>
      </w:pPr>
      <w:r>
        <w:rPr>
          <w:rFonts w:ascii="Calibri" w:hAnsi="Calibri" w:eastAsia="Calibri" w:cs="Calibri"/>
          <w:sz w:val="22"/>
        </w:rPr>
        <w:t>训练集：前70%。</w:t>
      </w:r>
    </w:p>
    <w:p w14:paraId="0FE95BD7">
      <w:pPr>
        <w:pStyle w:val="16"/>
      </w:pPr>
      <w:r>
        <w:rPr>
          <w:rFonts w:ascii="Calibri" w:hAnsi="Calibri" w:eastAsia="Calibri" w:cs="Calibri"/>
          <w:sz w:val="22"/>
        </w:rPr>
        <w:t>验证集：中间15%。</w:t>
      </w:r>
    </w:p>
    <w:p w14:paraId="1504C885">
      <w:pPr>
        <w:pStyle w:val="16"/>
      </w:pPr>
      <w:r>
        <w:rPr>
          <w:rFonts w:ascii="Calibri" w:hAnsi="Calibri" w:eastAsia="Calibri" w:cs="Calibri"/>
          <w:sz w:val="22"/>
        </w:rPr>
        <w:t>测试集：最后15%。</w:t>
      </w:r>
    </w:p>
    <w:p w14:paraId="1238FF0B">
      <w:pPr>
        <w:pStyle w:val="16"/>
      </w:pPr>
      <w:r>
        <w:rPr>
          <w:rFonts w:ascii="Calibri" w:hAnsi="Calibri" w:eastAsia="Calibri" w:cs="Calibri"/>
          <w:sz w:val="22"/>
        </w:rPr>
        <w:t>BurstGPT_3：作为额外的跨时期稳健性测试。</w:t>
      </w:r>
    </w:p>
    <w:p w14:paraId="77D1C96D">
      <w:r>
        <w:rPr>
          <w:rFonts w:ascii="Calibri" w:hAnsi="Calibri" w:eastAsia="Calibri" w:cs="Calibri"/>
          <w:sz w:val="22"/>
        </w:rPr>
        <w:t>对XGBoost和LSTM分别训练5、15、60分钟预测模型，15分钟作为主要结果。由预测负载与训练集P95阈值比较得到突发预测标签，从而避免再引入一套复杂分类模型。</w:t>
      </w:r>
    </w:p>
    <w:p w14:paraId="4F43201D">
      <w:r>
        <w:rPr>
          <w:rFonts w:ascii="Calibri" w:hAnsi="Calibri" w:eastAsia="Calibri" w:cs="Calibri"/>
          <w:sz w:val="22"/>
        </w:rPr>
        <w:t>不建议在六周内加入Transformer、Prophet、Random Forest和大量集成模型。它们会稀释论文主线；一项严谨的XGBoost-LSTM比较比模型数量更多但评价不完整更有说服力。</w:t>
      </w:r>
    </w:p>
    <w:p w14:paraId="3C0BA41C">
      <w:pPr>
        <w:pStyle w:val="3"/>
      </w:pPr>
      <w:r>
        <w:rPr>
          <w:rFonts w:ascii="Calibri" w:hAnsi="Calibri" w:eastAsia="Calibri" w:cs="Calibri"/>
          <w:sz w:val="32"/>
        </w:rPr>
        <w:t>2. 相关文献15篇</w:t>
      </w:r>
    </w:p>
    <w:p w14:paraId="716F4AE2">
      <w:pPr>
        <w:pStyle w:val="4"/>
      </w:pPr>
      <w:r>
        <w:rPr>
          <w:rFonts w:ascii="Calibri" w:hAnsi="Calibri" w:eastAsia="Calibri" w:cs="Calibri"/>
          <w:sz w:val="26"/>
        </w:rPr>
        <w:t>LLM工作负载与服务系统</w:t>
      </w:r>
    </w:p>
    <w:p w14:paraId="4F727220">
      <w:r>
        <w:rPr>
          <w:rFonts w:ascii="Calibri" w:hAnsi="Calibri" w:eastAsia="Calibri" w:cs="Calibri"/>
          <w:sz w:val="22"/>
        </w:rPr>
        <w:t xml:space="preserve">[1] Wang, Y., et al. (2025). </w:t>
      </w:r>
      <w:r>
        <w:fldChar w:fldCharType="begin"/>
      </w:r>
      <w:r>
        <w:instrText xml:space="preserve"> HYPERLINK "https://doi.org/10.1145/3711896.3737413" \h </w:instrText>
      </w:r>
      <w:r>
        <w:fldChar w:fldCharType="separate"/>
      </w:r>
      <w:r>
        <w:rPr>
          <w:color w:val="0563C1"/>
          <w:u w:val="single"/>
        </w:rPr>
        <w:t>BurstGPT: A Real-World Workload Dataset to Optimize LLM Serving Systems</w:t>
      </w:r>
      <w:r>
        <w:rPr>
          <w:color w:val="0563C1"/>
          <w:u w:val="single"/>
        </w:rPr>
        <w:fldChar w:fldCharType="end"/>
      </w:r>
      <w:r>
        <w:rPr>
          <w:rFonts w:ascii="Calibri" w:hAnsi="Calibri" w:eastAsia="Calibri" w:cs="Calibri"/>
          <w:sz w:val="22"/>
        </w:rPr>
        <w:t>. *KDD 2025*。</w:t>
      </w:r>
    </w:p>
    <w:p w14:paraId="0E7DD891">
      <w:r>
        <w:rPr>
          <w:rFonts w:ascii="Calibri" w:hAnsi="Calibri" w:eastAsia="Calibri" w:cs="Calibri"/>
          <w:sz w:val="22"/>
        </w:rPr>
        <w:t>用途：核心数据来源，说明真实LLM流量的周期性、异质性和突发性。</w:t>
      </w:r>
    </w:p>
    <w:p w14:paraId="451B5700">
      <w:r>
        <w:rPr>
          <w:rFonts w:ascii="Calibri" w:hAnsi="Calibri" w:eastAsia="Calibri" w:cs="Calibri"/>
          <w:sz w:val="22"/>
        </w:rPr>
        <w:t xml:space="preserve">[2] Cortez, E., et al. (2017). </w:t>
      </w:r>
      <w:r>
        <w:fldChar w:fldCharType="begin"/>
      </w:r>
      <w:r>
        <w:instrText xml:space="preserve"> HYPERLINK "https://www.microsoft.com/en-us/research/publication/resource-central-understanding-predicting-workloads-improved-resource-management-large-cloud-platforms/" \h </w:instrText>
      </w:r>
      <w:r>
        <w:fldChar w:fldCharType="separate"/>
      </w:r>
      <w:r>
        <w:rPr>
          <w:color w:val="0563C1"/>
          <w:u w:val="single"/>
        </w:rPr>
        <w:t>Resource Central: Understanding and Predicting Workloads for Improved Resource Management in Large Cloud Platforms</w:t>
      </w:r>
      <w:r>
        <w:rPr>
          <w:color w:val="0563C1"/>
          <w:u w:val="single"/>
        </w:rPr>
        <w:fldChar w:fldCharType="end"/>
      </w:r>
      <w:r>
        <w:rPr>
          <w:rFonts w:ascii="Calibri" w:hAnsi="Calibri" w:eastAsia="Calibri" w:cs="Calibri"/>
          <w:sz w:val="22"/>
        </w:rPr>
        <w:t>. *SOSP 2017*。</w:t>
      </w:r>
    </w:p>
    <w:p w14:paraId="67106081">
      <w:r>
        <w:rPr>
          <w:rFonts w:ascii="Calibri" w:hAnsi="Calibri" w:eastAsia="Calibri" w:cs="Calibri"/>
          <w:sz w:val="22"/>
        </w:rPr>
        <w:t>用途：云计算工作负载预测与资源管理的理论背景。</w:t>
      </w:r>
    </w:p>
    <w:p w14:paraId="7632AAA7">
      <w:r>
        <w:rPr>
          <w:rFonts w:ascii="Calibri" w:hAnsi="Calibri" w:eastAsia="Calibri" w:cs="Calibri"/>
          <w:sz w:val="22"/>
        </w:rPr>
        <w:t xml:space="preserve">[3] Shahrad, M., et al. (2020). </w:t>
      </w:r>
      <w:r>
        <w:fldChar w:fldCharType="begin"/>
      </w:r>
      <w:r>
        <w:instrText xml:space="preserve"> HYPERLINK "https://www.usenix.org/conference/atc20/presentation/shahrad" \h </w:instrText>
      </w:r>
      <w:r>
        <w:fldChar w:fldCharType="separate"/>
      </w:r>
      <w:r>
        <w:rPr>
          <w:color w:val="0563C1"/>
          <w:u w:val="single"/>
        </w:rPr>
        <w:t>Serverless in the Wild: Characterizing and Optimizing the Serverless Workload at a Large Cloud Provider</w:t>
      </w:r>
      <w:r>
        <w:rPr>
          <w:color w:val="0563C1"/>
          <w:u w:val="single"/>
        </w:rPr>
        <w:fldChar w:fldCharType="end"/>
      </w:r>
      <w:r>
        <w:rPr>
          <w:rFonts w:ascii="Calibri" w:hAnsi="Calibri" w:eastAsia="Calibri" w:cs="Calibri"/>
          <w:sz w:val="22"/>
        </w:rPr>
        <w:t>. *USENIX ATC 2020*。</w:t>
      </w:r>
    </w:p>
    <w:p w14:paraId="72631FE2">
      <w:r>
        <w:rPr>
          <w:rFonts w:ascii="Calibri" w:hAnsi="Calibri" w:eastAsia="Calibri" w:cs="Calibri"/>
          <w:sz w:val="22"/>
        </w:rPr>
        <w:t>用途：生产环境请求流量的长尾、突发和周期特征。</w:t>
      </w:r>
    </w:p>
    <w:p w14:paraId="170E0742">
      <w:r>
        <w:rPr>
          <w:rFonts w:ascii="Calibri" w:hAnsi="Calibri" w:eastAsia="Calibri" w:cs="Calibri"/>
          <w:sz w:val="22"/>
        </w:rPr>
        <w:t xml:space="preserve">[4] Yu, G.-I., et al. (2022). </w:t>
      </w:r>
      <w:r>
        <w:fldChar w:fldCharType="begin"/>
      </w:r>
      <w:r>
        <w:instrText xml:space="preserve"> HYPERLINK "https://www.usenix.org/conference/osdi22/presentation/yu" \h </w:instrText>
      </w:r>
      <w:r>
        <w:fldChar w:fldCharType="separate"/>
      </w:r>
      <w:r>
        <w:rPr>
          <w:color w:val="0563C1"/>
          <w:u w:val="single"/>
        </w:rPr>
        <w:t>Orca: A Distributed Serving System for Transformer-Based Generative Models</w:t>
      </w:r>
      <w:r>
        <w:rPr>
          <w:color w:val="0563C1"/>
          <w:u w:val="single"/>
        </w:rPr>
        <w:fldChar w:fldCharType="end"/>
      </w:r>
      <w:r>
        <w:rPr>
          <w:rFonts w:ascii="Calibri" w:hAnsi="Calibri" w:eastAsia="Calibri" w:cs="Calibri"/>
          <w:sz w:val="22"/>
        </w:rPr>
        <w:t>. *OSDI 2022*。</w:t>
      </w:r>
    </w:p>
    <w:p w14:paraId="59B1B319">
      <w:r>
        <w:rPr>
          <w:rFonts w:ascii="Calibri" w:hAnsi="Calibri" w:eastAsia="Calibri" w:cs="Calibri"/>
          <w:sz w:val="22"/>
        </w:rPr>
        <w:t>用途：说明LLM动态批处理、调度和请求负载之间的联系。</w:t>
      </w:r>
    </w:p>
    <w:p w14:paraId="44200E56">
      <w:r>
        <w:rPr>
          <w:rFonts w:ascii="Calibri" w:hAnsi="Calibri" w:eastAsia="Calibri" w:cs="Calibri"/>
          <w:sz w:val="22"/>
        </w:rPr>
        <w:t xml:space="preserve">[5] Kwon, W., et al. (2023). </w:t>
      </w:r>
      <w:r>
        <w:fldChar w:fldCharType="begin"/>
      </w:r>
      <w:r>
        <w:instrText xml:space="preserve"> HYPERLINK "https://arxiv.org/abs/2309.06180" \h </w:instrText>
      </w:r>
      <w:r>
        <w:fldChar w:fldCharType="separate"/>
      </w:r>
      <w:r>
        <w:rPr>
          <w:color w:val="0563C1"/>
          <w:u w:val="single"/>
        </w:rPr>
        <w:t>Efficient Memory Management for Large Language Model Serving with PagedAttention</w:t>
      </w:r>
      <w:r>
        <w:rPr>
          <w:color w:val="0563C1"/>
          <w:u w:val="single"/>
        </w:rPr>
        <w:fldChar w:fldCharType="end"/>
      </w:r>
      <w:r>
        <w:rPr>
          <w:rFonts w:ascii="Calibri" w:hAnsi="Calibri" w:eastAsia="Calibri" w:cs="Calibri"/>
          <w:sz w:val="22"/>
        </w:rPr>
        <w:t>. *SOSP 2023*。</w:t>
      </w:r>
    </w:p>
    <w:p w14:paraId="14428047">
      <w:r>
        <w:rPr>
          <w:rFonts w:ascii="Calibri" w:hAnsi="Calibri" w:eastAsia="Calibri" w:cs="Calibri"/>
          <w:sz w:val="22"/>
        </w:rPr>
        <w:t>用途：说明Token数量、KV Cache和系统吞吐量之间的关系。</w:t>
      </w:r>
    </w:p>
    <w:p w14:paraId="6755E438">
      <w:r>
        <w:rPr>
          <w:rFonts w:ascii="Calibri" w:hAnsi="Calibri" w:eastAsia="Calibri" w:cs="Calibri"/>
          <w:sz w:val="22"/>
        </w:rPr>
        <w:t xml:space="preserve">[6] Li, Z., et al. (2023). </w:t>
      </w:r>
      <w:r>
        <w:fldChar w:fldCharType="begin"/>
      </w:r>
      <w:r>
        <w:instrText xml:space="preserve"> HYPERLINK "https://www.usenix.org/conference/osdi23/presentation/li-zhouhan" \h </w:instrText>
      </w:r>
      <w:r>
        <w:fldChar w:fldCharType="separate"/>
      </w:r>
      <w:r>
        <w:rPr>
          <w:color w:val="0563C1"/>
          <w:u w:val="single"/>
        </w:rPr>
        <w:t>AlpaServe: Statistical Multiplexing with Model Parallelism for Deep Learning Serving</w:t>
      </w:r>
      <w:r>
        <w:rPr>
          <w:color w:val="0563C1"/>
          <w:u w:val="single"/>
        </w:rPr>
        <w:fldChar w:fldCharType="end"/>
      </w:r>
      <w:r>
        <w:rPr>
          <w:rFonts w:ascii="Calibri" w:hAnsi="Calibri" w:eastAsia="Calibri" w:cs="Calibri"/>
          <w:sz w:val="22"/>
        </w:rPr>
        <w:t>. *OSDI 2023*。</w:t>
      </w:r>
    </w:p>
    <w:p w14:paraId="0A1843A0">
      <w:r>
        <w:rPr>
          <w:rFonts w:ascii="Calibri" w:hAnsi="Calibri" w:eastAsia="Calibri" w:cs="Calibri"/>
          <w:sz w:val="22"/>
        </w:rPr>
        <w:t>用途：直接讨论突发工作负载、模型并行和统计复用。</w:t>
      </w:r>
    </w:p>
    <w:p w14:paraId="7A4FC923">
      <w:r>
        <w:rPr>
          <w:rFonts w:ascii="Calibri" w:hAnsi="Calibri" w:eastAsia="Calibri" w:cs="Calibri"/>
          <w:sz w:val="22"/>
        </w:rPr>
        <w:t xml:space="preserve">[7] Patel, P., et al. (2024). </w:t>
      </w:r>
      <w:r>
        <w:fldChar w:fldCharType="begin"/>
      </w:r>
      <w:r>
        <w:instrText xml:space="preserve"> HYPERLINK "https://arxiv.org/abs/2311.18677" \h </w:instrText>
      </w:r>
      <w:r>
        <w:fldChar w:fldCharType="separate"/>
      </w:r>
      <w:r>
        <w:rPr>
          <w:color w:val="0563C1"/>
          <w:u w:val="single"/>
        </w:rPr>
        <w:t>Splitwise: Efficient Generative LLM Inference Using Phase Splitting</w:t>
      </w:r>
      <w:r>
        <w:rPr>
          <w:color w:val="0563C1"/>
          <w:u w:val="single"/>
        </w:rPr>
        <w:fldChar w:fldCharType="end"/>
      </w:r>
      <w:r>
        <w:rPr>
          <w:rFonts w:ascii="Calibri" w:hAnsi="Calibri" w:eastAsia="Calibri" w:cs="Calibri"/>
          <w:sz w:val="22"/>
        </w:rPr>
        <w:t>. *ISCA 2024*。</w:t>
      </w:r>
    </w:p>
    <w:p w14:paraId="65B6B162">
      <w:r>
        <w:rPr>
          <w:rFonts w:ascii="Calibri" w:hAnsi="Calibri" w:eastAsia="Calibri" w:cs="Calibri"/>
          <w:sz w:val="22"/>
        </w:rPr>
        <w:t>用途：解释输入Token与输出Token对应的Prefill、Decode负载差异。</w:t>
      </w:r>
    </w:p>
    <w:p w14:paraId="02C488A7">
      <w:r>
        <w:rPr>
          <w:rFonts w:ascii="Calibri" w:hAnsi="Calibri" w:eastAsia="Calibri" w:cs="Calibri"/>
          <w:sz w:val="22"/>
        </w:rPr>
        <w:t xml:space="preserve">[8] Zhong, Y., et al. (2024). </w:t>
      </w:r>
      <w:r>
        <w:fldChar w:fldCharType="begin"/>
      </w:r>
      <w:r>
        <w:instrText xml:space="preserve"> HYPERLINK "https://www.usenix.org/conference/osdi24/presentation/zhong-yinmin" \h </w:instrText>
      </w:r>
      <w:r>
        <w:fldChar w:fldCharType="separate"/>
      </w:r>
      <w:r>
        <w:rPr>
          <w:color w:val="0563C1"/>
          <w:u w:val="single"/>
        </w:rPr>
        <w:t>DistServe: Disaggregating Prefill and Decoding for Goodput-optimized Large Language Model Serving</w:t>
      </w:r>
      <w:r>
        <w:rPr>
          <w:color w:val="0563C1"/>
          <w:u w:val="single"/>
        </w:rPr>
        <w:fldChar w:fldCharType="end"/>
      </w:r>
      <w:r>
        <w:rPr>
          <w:rFonts w:ascii="Calibri" w:hAnsi="Calibri" w:eastAsia="Calibri" w:cs="Calibri"/>
          <w:sz w:val="22"/>
        </w:rPr>
        <w:t>. *OSDI 2024*。</w:t>
      </w:r>
    </w:p>
    <w:p w14:paraId="7AA0B93B">
      <w:r>
        <w:rPr>
          <w:rFonts w:ascii="Calibri" w:hAnsi="Calibri" w:eastAsia="Calibri" w:cs="Calibri"/>
          <w:sz w:val="22"/>
        </w:rPr>
        <w:t>用途：进一步说明Prefill与Decode资源需求不同。</w:t>
      </w:r>
    </w:p>
    <w:p w14:paraId="221ACE6A">
      <w:r>
        <w:rPr>
          <w:rFonts w:ascii="Calibri" w:hAnsi="Calibri" w:eastAsia="Calibri" w:cs="Calibri"/>
          <w:sz w:val="22"/>
        </w:rPr>
        <w:t xml:space="preserve">[9] Stojkovic, J., et al. (2025). </w:t>
      </w:r>
      <w:r>
        <w:fldChar w:fldCharType="begin"/>
      </w:r>
      <w:r>
        <w:instrText xml:space="preserve"> HYPERLINK "https://www.microsoft.com/en-us/research/publication/dynamollm-designing-llm-inference-clusters-for-performance-and-energy-efficiency/" \h </w:instrText>
      </w:r>
      <w:r>
        <w:fldChar w:fldCharType="separate"/>
      </w:r>
      <w:r>
        <w:rPr>
          <w:color w:val="0563C1"/>
          <w:u w:val="single"/>
        </w:rPr>
        <w:t>DynamoLLM: Designing LLM Inference Clusters for Performance and Energy Efficiency</w:t>
      </w:r>
      <w:r>
        <w:rPr>
          <w:color w:val="0563C1"/>
          <w:u w:val="single"/>
        </w:rPr>
        <w:fldChar w:fldCharType="end"/>
      </w:r>
      <w:r>
        <w:rPr>
          <w:rFonts w:ascii="Calibri" w:hAnsi="Calibri" w:eastAsia="Calibri" w:cs="Calibri"/>
          <w:sz w:val="22"/>
        </w:rPr>
        <w:t>. *HPCA 2025*。</w:t>
      </w:r>
    </w:p>
    <w:p w14:paraId="2AFDC0B1">
      <w:r>
        <w:rPr>
          <w:rFonts w:ascii="Calibri" w:hAnsi="Calibri" w:eastAsia="Calibri" w:cs="Calibri"/>
          <w:sz w:val="22"/>
        </w:rPr>
        <w:t>用途：连接负载变化、动态资源配置、性能和能耗。</w:t>
      </w:r>
    </w:p>
    <w:p w14:paraId="33326157">
      <w:pPr>
        <w:pStyle w:val="4"/>
      </w:pPr>
      <w:r>
        <w:rPr>
          <w:rFonts w:ascii="Calibri" w:hAnsi="Calibri" w:eastAsia="Calibri" w:cs="Calibri"/>
          <w:sz w:val="26"/>
        </w:rPr>
        <w:t>预测模型与评价方法</w:t>
      </w:r>
    </w:p>
    <w:p w14:paraId="16355734">
      <w:r>
        <w:rPr>
          <w:rFonts w:ascii="Calibri" w:hAnsi="Calibri" w:eastAsia="Calibri" w:cs="Calibri"/>
          <w:sz w:val="22"/>
        </w:rPr>
        <w:t xml:space="preserve">[10] Chen, T., &amp; Guestrin, C. (2016). </w:t>
      </w:r>
      <w:r>
        <w:fldChar w:fldCharType="begin"/>
      </w:r>
      <w:r>
        <w:instrText xml:space="preserve"> HYPERLINK "https://doi.org/10.1145/2939672.2939785" \h </w:instrText>
      </w:r>
      <w:r>
        <w:fldChar w:fldCharType="separate"/>
      </w:r>
      <w:r>
        <w:rPr>
          <w:color w:val="0563C1"/>
          <w:u w:val="single"/>
        </w:rPr>
        <w:t>XGBoost: A Scalable Tree Boosting System</w:t>
      </w:r>
      <w:r>
        <w:rPr>
          <w:color w:val="0563C1"/>
          <w:u w:val="single"/>
        </w:rPr>
        <w:fldChar w:fldCharType="end"/>
      </w:r>
      <w:r>
        <w:rPr>
          <w:rFonts w:ascii="Calibri" w:hAnsi="Calibri" w:eastAsia="Calibri" w:cs="Calibri"/>
          <w:sz w:val="22"/>
        </w:rPr>
        <w:t>. *KDD 2016*。</w:t>
      </w:r>
    </w:p>
    <w:p w14:paraId="2BCEA76D">
      <w:r>
        <w:rPr>
          <w:rFonts w:ascii="Calibri" w:hAnsi="Calibri" w:eastAsia="Calibri" w:cs="Calibri"/>
          <w:sz w:val="22"/>
        </w:rPr>
        <w:t>用途：XGBoost模型的原始方法文献。</w:t>
      </w:r>
    </w:p>
    <w:p w14:paraId="067FD70B">
      <w:r>
        <w:rPr>
          <w:rFonts w:ascii="Calibri" w:hAnsi="Calibri" w:eastAsia="Calibri" w:cs="Calibri"/>
          <w:sz w:val="22"/>
        </w:rPr>
        <w:t xml:space="preserve">[11] Hochreiter, S., &amp; Schmidhuber, J. (1997). </w:t>
      </w:r>
      <w:r>
        <w:fldChar w:fldCharType="begin"/>
      </w:r>
      <w:r>
        <w:instrText xml:space="preserve"> HYPERLINK "https://doi.org/10.1162/neco.1997.9.8.1735" \h </w:instrText>
      </w:r>
      <w:r>
        <w:fldChar w:fldCharType="separate"/>
      </w:r>
      <w:r>
        <w:rPr>
          <w:color w:val="0563C1"/>
          <w:u w:val="single"/>
        </w:rPr>
        <w:t>Long Short-Term Memory</w:t>
      </w:r>
      <w:r>
        <w:rPr>
          <w:color w:val="0563C1"/>
          <w:u w:val="single"/>
        </w:rPr>
        <w:fldChar w:fldCharType="end"/>
      </w:r>
      <w:r>
        <w:rPr>
          <w:rFonts w:ascii="Calibri" w:hAnsi="Calibri" w:eastAsia="Calibri" w:cs="Calibri"/>
          <w:sz w:val="22"/>
        </w:rPr>
        <w:t>. *Neural Computation, 9*(8), 1735-1780。</w:t>
      </w:r>
    </w:p>
    <w:p w14:paraId="430B5B62">
      <w:r>
        <w:rPr>
          <w:rFonts w:ascii="Calibri" w:hAnsi="Calibri" w:eastAsia="Calibri" w:cs="Calibri"/>
          <w:sz w:val="22"/>
        </w:rPr>
        <w:t>用途：LSTM的原始方法文献。</w:t>
      </w:r>
    </w:p>
    <w:p w14:paraId="79EE605D">
      <w:r>
        <w:rPr>
          <w:rFonts w:ascii="Calibri" w:hAnsi="Calibri" w:eastAsia="Calibri" w:cs="Calibri"/>
          <w:sz w:val="22"/>
        </w:rPr>
        <w:t xml:space="preserve">[12] Salinas, D., et al. (2020). </w:t>
      </w:r>
      <w:r>
        <w:fldChar w:fldCharType="begin"/>
      </w:r>
      <w:r>
        <w:instrText xml:space="preserve"> HYPERLINK "https://doi.org/10.1016/j.ijforecast.2019.07.001" \h </w:instrText>
      </w:r>
      <w:r>
        <w:fldChar w:fldCharType="separate"/>
      </w:r>
      <w:r>
        <w:rPr>
          <w:color w:val="0563C1"/>
          <w:u w:val="single"/>
        </w:rPr>
        <w:t>DeepAR: Probabilistic Forecasting with Autoregressive Recurrent Networks</w:t>
      </w:r>
      <w:r>
        <w:rPr>
          <w:color w:val="0563C1"/>
          <w:u w:val="single"/>
        </w:rPr>
        <w:fldChar w:fldCharType="end"/>
      </w:r>
      <w:r>
        <w:rPr>
          <w:rFonts w:ascii="Calibri" w:hAnsi="Calibri" w:eastAsia="Calibri" w:cs="Calibri"/>
          <w:sz w:val="22"/>
        </w:rPr>
        <w:t>. *International Journal of Forecasting, 36*(3), 1181-1191。</w:t>
      </w:r>
    </w:p>
    <w:p w14:paraId="16D24D93">
      <w:r>
        <w:rPr>
          <w:rFonts w:ascii="Calibri" w:hAnsi="Calibri" w:eastAsia="Calibri" w:cs="Calibri"/>
          <w:sz w:val="22"/>
        </w:rPr>
        <w:t>用途：深度循环网络在时间序列预测中的代表性应用。</w:t>
      </w:r>
    </w:p>
    <w:p w14:paraId="6B5D20E0">
      <w:r>
        <w:rPr>
          <w:rFonts w:ascii="Calibri" w:hAnsi="Calibri" w:eastAsia="Calibri" w:cs="Calibri"/>
          <w:sz w:val="22"/>
        </w:rPr>
        <w:t xml:space="preserve">[13] Lim, B., et al. (2021). </w:t>
      </w:r>
      <w:r>
        <w:fldChar w:fldCharType="begin"/>
      </w:r>
      <w:r>
        <w:instrText xml:space="preserve"> HYPERLINK "https://doi.org/10.1016/j.ijforecast.2021.03.012" \h </w:instrText>
      </w:r>
      <w:r>
        <w:fldChar w:fldCharType="separate"/>
      </w:r>
      <w:r>
        <w:rPr>
          <w:color w:val="0563C1"/>
          <w:u w:val="single"/>
        </w:rPr>
        <w:t>Temporal Fusion Transformers for Interpretable Multi-horizon Time Series Forecasting</w:t>
      </w:r>
      <w:r>
        <w:rPr>
          <w:color w:val="0563C1"/>
          <w:u w:val="single"/>
        </w:rPr>
        <w:fldChar w:fldCharType="end"/>
      </w:r>
      <w:r>
        <w:rPr>
          <w:rFonts w:ascii="Calibri" w:hAnsi="Calibri" w:eastAsia="Calibri" w:cs="Calibri"/>
          <w:sz w:val="22"/>
        </w:rPr>
        <w:t>. *International Journal of Forecasting, 37*(4), 1748-1764。</w:t>
      </w:r>
    </w:p>
    <w:p w14:paraId="319662BD">
      <w:r>
        <w:rPr>
          <w:rFonts w:ascii="Calibri" w:hAnsi="Calibri" w:eastAsia="Calibri" w:cs="Calibri"/>
          <w:sz w:val="22"/>
        </w:rPr>
        <w:t>用途：多步预测和可解释时间序列模型的拓展文献。</w:t>
      </w:r>
    </w:p>
    <w:p w14:paraId="6B82FC8A">
      <w:r>
        <w:rPr>
          <w:rFonts w:ascii="Calibri" w:hAnsi="Calibri" w:eastAsia="Calibri" w:cs="Calibri"/>
          <w:sz w:val="22"/>
        </w:rPr>
        <w:t xml:space="preserve">[14] Oreshkin, B. N., et al. (2020). </w:t>
      </w:r>
      <w:r>
        <w:fldChar w:fldCharType="begin"/>
      </w:r>
      <w:r>
        <w:instrText xml:space="preserve"> HYPERLINK "https://arxiv.org/abs/1905.10437" \h </w:instrText>
      </w:r>
      <w:r>
        <w:fldChar w:fldCharType="separate"/>
      </w:r>
      <w:r>
        <w:rPr>
          <w:color w:val="0563C1"/>
          <w:u w:val="single"/>
        </w:rPr>
        <w:t>N-BEATS: Neural Basis Expansion Analysis for Interpretable Time Series Forecasting</w:t>
      </w:r>
      <w:r>
        <w:rPr>
          <w:color w:val="0563C1"/>
          <w:u w:val="single"/>
        </w:rPr>
        <w:fldChar w:fldCharType="end"/>
      </w:r>
      <w:r>
        <w:rPr>
          <w:rFonts w:ascii="Calibri" w:hAnsi="Calibri" w:eastAsia="Calibri" w:cs="Calibri"/>
          <w:sz w:val="22"/>
        </w:rPr>
        <w:t>. *ICLR 2020*。</w:t>
      </w:r>
    </w:p>
    <w:p w14:paraId="5D8BC365">
      <w:r>
        <w:rPr>
          <w:rFonts w:ascii="Calibri" w:hAnsi="Calibri" w:eastAsia="Calibri" w:cs="Calibri"/>
          <w:sz w:val="22"/>
        </w:rPr>
        <w:t>用途：深度时间序列预测的代表性基准。</w:t>
      </w:r>
    </w:p>
    <w:p w14:paraId="4B01172A">
      <w:r>
        <w:rPr>
          <w:rFonts w:ascii="Calibri" w:hAnsi="Calibri" w:eastAsia="Calibri" w:cs="Calibri"/>
          <w:sz w:val="22"/>
        </w:rPr>
        <w:t xml:space="preserve">[15] Makridakis, S., et al. (2018). </w:t>
      </w:r>
      <w:r>
        <w:fldChar w:fldCharType="begin"/>
      </w:r>
      <w:r>
        <w:instrText xml:space="preserve"> HYPERLINK "https://doi.org/10.1016/j.ijforecast.2018.06.001" \h </w:instrText>
      </w:r>
      <w:r>
        <w:fldChar w:fldCharType="separate"/>
      </w:r>
      <w:r>
        <w:rPr>
          <w:color w:val="0563C1"/>
          <w:u w:val="single"/>
        </w:rPr>
        <w:t>The M4 Competition: Results, Findings, Conclusion and Way Forward</w:t>
      </w:r>
      <w:r>
        <w:rPr>
          <w:color w:val="0563C1"/>
          <w:u w:val="single"/>
        </w:rPr>
        <w:fldChar w:fldCharType="end"/>
      </w:r>
      <w:r>
        <w:rPr>
          <w:rFonts w:ascii="Calibri" w:hAnsi="Calibri" w:eastAsia="Calibri" w:cs="Calibri"/>
          <w:sz w:val="22"/>
        </w:rPr>
        <w:t>. *International Journal of Forecasting, 34*(4), 802-808。</w:t>
      </w:r>
    </w:p>
    <w:p w14:paraId="6F4C6DA1">
      <w:r>
        <w:rPr>
          <w:rFonts w:ascii="Calibri" w:hAnsi="Calibri" w:eastAsia="Calibri" w:cs="Calibri"/>
          <w:sz w:val="22"/>
        </w:rPr>
        <w:t>用途：支持设置季节朴素基线，避免默认复杂模型一定优于简单方法。</w:t>
      </w:r>
    </w:p>
    <w:p w14:paraId="1ECB5E29">
      <w:pPr>
        <w:pStyle w:val="3"/>
      </w:pPr>
      <w:r>
        <w:rPr>
          <w:rFonts w:ascii="Calibri" w:hAnsi="Calibri" w:eastAsia="Calibri" w:cs="Calibri"/>
          <w:sz w:val="32"/>
        </w:rPr>
        <w:t>3. 可使用的数据集</w:t>
      </w:r>
    </w:p>
    <w:tbl>
      <w:tblPr>
        <w:tblStyle w:val="34"/>
        <w:tblW w:w="9360" w:type="dxa"/>
        <w:tblInd w:w="1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600"/>
        <w:gridCol w:w="3500"/>
        <w:gridCol w:w="2900"/>
        <w:gridCol w:w="1360"/>
      </w:tblGrid>
      <w:tr w14:paraId="4D688C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1600" w:type="dxa"/>
            <w:shd w:val="clear" w:color="auto" w:fill="F4F6F9"/>
            <w:tcMar>
              <w:top w:w="80" w:type="dxa"/>
              <w:left w:w="120" w:type="dxa"/>
              <w:bottom w:w="80" w:type="dxa"/>
              <w:right w:w="120" w:type="dxa"/>
            </w:tcMar>
            <w:vAlign w:val="center"/>
          </w:tcPr>
          <w:p w14:paraId="4C271CD0">
            <w:pPr>
              <w:spacing w:after="0" w:line="240" w:lineRule="auto"/>
              <w:jc w:val="center"/>
            </w:pPr>
            <w:r>
              <w:rPr>
                <w:rFonts w:ascii="Calibri" w:hAnsi="Calibri" w:eastAsia="Calibri" w:cs="Calibri"/>
                <w:b/>
                <w:sz w:val="18"/>
              </w:rPr>
              <w:t>数据集</w:t>
            </w:r>
          </w:p>
        </w:tc>
        <w:tc>
          <w:tcPr>
            <w:tcW w:w="3500" w:type="dxa"/>
            <w:shd w:val="clear" w:color="auto" w:fill="F4F6F9"/>
            <w:tcMar>
              <w:top w:w="80" w:type="dxa"/>
              <w:left w:w="120" w:type="dxa"/>
              <w:bottom w:w="80" w:type="dxa"/>
              <w:right w:w="120" w:type="dxa"/>
            </w:tcMar>
            <w:vAlign w:val="center"/>
          </w:tcPr>
          <w:p w14:paraId="21EC7740">
            <w:pPr>
              <w:spacing w:after="0" w:line="240" w:lineRule="auto"/>
              <w:jc w:val="center"/>
            </w:pPr>
            <w:r>
              <w:rPr>
                <w:rFonts w:ascii="Calibri" w:hAnsi="Calibri" w:eastAsia="Calibri" w:cs="Calibri"/>
                <w:b/>
                <w:sz w:val="18"/>
              </w:rPr>
              <w:t>时间及内容</w:t>
            </w:r>
          </w:p>
        </w:tc>
        <w:tc>
          <w:tcPr>
            <w:tcW w:w="2900" w:type="dxa"/>
            <w:shd w:val="clear" w:color="auto" w:fill="F4F6F9"/>
            <w:tcMar>
              <w:top w:w="80" w:type="dxa"/>
              <w:left w:w="120" w:type="dxa"/>
              <w:bottom w:w="80" w:type="dxa"/>
              <w:right w:w="120" w:type="dxa"/>
            </w:tcMar>
            <w:vAlign w:val="center"/>
          </w:tcPr>
          <w:p w14:paraId="145277ED">
            <w:pPr>
              <w:spacing w:after="0" w:line="240" w:lineRule="auto"/>
              <w:jc w:val="center"/>
            </w:pPr>
            <w:r>
              <w:rPr>
                <w:rFonts w:ascii="Calibri" w:hAnsi="Calibri" w:eastAsia="Calibri" w:cs="Calibri"/>
                <w:b/>
                <w:sz w:val="18"/>
              </w:rPr>
              <w:t>论文用途</w:t>
            </w:r>
          </w:p>
        </w:tc>
        <w:tc>
          <w:tcPr>
            <w:tcW w:w="1360" w:type="dxa"/>
            <w:shd w:val="clear" w:color="auto" w:fill="F4F6F9"/>
            <w:tcMar>
              <w:top w:w="80" w:type="dxa"/>
              <w:left w:w="120" w:type="dxa"/>
              <w:bottom w:w="80" w:type="dxa"/>
              <w:right w:w="120" w:type="dxa"/>
            </w:tcMar>
            <w:vAlign w:val="center"/>
          </w:tcPr>
          <w:p w14:paraId="7F7D406B">
            <w:pPr>
              <w:spacing w:after="0" w:line="240" w:lineRule="auto"/>
              <w:jc w:val="center"/>
            </w:pPr>
            <w:r>
              <w:rPr>
                <w:rFonts w:ascii="Calibri" w:hAnsi="Calibri" w:eastAsia="Calibri" w:cs="Calibri"/>
                <w:b/>
                <w:sz w:val="18"/>
              </w:rPr>
              <w:t>推荐程度</w:t>
            </w:r>
          </w:p>
        </w:tc>
      </w:tr>
      <w:tr w14:paraId="1655F7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00" w:type="dxa"/>
            <w:tcMar>
              <w:top w:w="80" w:type="dxa"/>
              <w:left w:w="120" w:type="dxa"/>
              <w:bottom w:w="80" w:type="dxa"/>
              <w:right w:w="120" w:type="dxa"/>
            </w:tcMar>
            <w:vAlign w:val="center"/>
          </w:tcPr>
          <w:p w14:paraId="7FAF4B83">
            <w:pPr>
              <w:spacing w:after="0" w:line="252" w:lineRule="auto"/>
              <w:jc w:val="left"/>
            </w:pPr>
            <w:r>
              <w:fldChar w:fldCharType="begin"/>
            </w:r>
            <w:r>
              <w:instrText xml:space="preserve"> HYPERLINK "https://github.com/HPMLL/BurstGPT" \h </w:instrText>
            </w:r>
            <w:r>
              <w:fldChar w:fldCharType="separate"/>
            </w:r>
            <w:r>
              <w:rPr>
                <w:color w:val="0563C1"/>
                <w:u w:val="single"/>
              </w:rPr>
              <w:t>BurstGPT v2.0</w:t>
            </w:r>
            <w:r>
              <w:rPr>
                <w:color w:val="0563C1"/>
                <w:u w:val="single"/>
              </w:rPr>
              <w:fldChar w:fldCharType="end"/>
            </w:r>
          </w:p>
        </w:tc>
        <w:tc>
          <w:tcPr>
            <w:tcW w:w="3500" w:type="dxa"/>
            <w:tcMar>
              <w:top w:w="80" w:type="dxa"/>
              <w:left w:w="120" w:type="dxa"/>
              <w:bottom w:w="80" w:type="dxa"/>
              <w:right w:w="120" w:type="dxa"/>
            </w:tcMar>
            <w:vAlign w:val="center"/>
          </w:tcPr>
          <w:p w14:paraId="4A06E642">
            <w:pPr>
              <w:spacing w:after="0" w:line="252" w:lineRule="auto"/>
              <w:jc w:val="left"/>
            </w:pPr>
            <w:r>
              <w:rPr>
                <w:rFonts w:ascii="Calibri" w:hAnsi="Calibri" w:eastAsia="Calibri" w:cs="Calibri"/>
                <w:sz w:val="18"/>
              </w:rPr>
              <w:t>BurstGPT_1/2覆盖连续121天，约529万条；BurstGPT_3覆盖另110天，约534万条。含时间戳、Session、模型、输入/输出/总Token、日志类型和响应时间</w:t>
            </w:r>
          </w:p>
        </w:tc>
        <w:tc>
          <w:tcPr>
            <w:tcW w:w="2900" w:type="dxa"/>
            <w:tcMar>
              <w:top w:w="80" w:type="dxa"/>
              <w:left w:w="120" w:type="dxa"/>
              <w:bottom w:w="80" w:type="dxa"/>
              <w:right w:w="120" w:type="dxa"/>
            </w:tcMar>
            <w:vAlign w:val="center"/>
          </w:tcPr>
          <w:p w14:paraId="60BE2727">
            <w:pPr>
              <w:spacing w:after="0" w:line="252" w:lineRule="auto"/>
              <w:jc w:val="left"/>
            </w:pPr>
            <w:r>
              <w:rPr>
                <w:rFonts w:ascii="Calibri" w:hAnsi="Calibri" w:eastAsia="Calibri" w:cs="Calibri"/>
                <w:sz w:val="18"/>
              </w:rPr>
              <w:t>核心训练、验证、测试以及跨时期稳健性分析</w:t>
            </w:r>
          </w:p>
        </w:tc>
        <w:tc>
          <w:tcPr>
            <w:tcW w:w="1360" w:type="dxa"/>
            <w:tcMar>
              <w:top w:w="80" w:type="dxa"/>
              <w:left w:w="120" w:type="dxa"/>
              <w:bottom w:w="80" w:type="dxa"/>
              <w:right w:w="120" w:type="dxa"/>
            </w:tcMar>
            <w:vAlign w:val="center"/>
          </w:tcPr>
          <w:p w14:paraId="6D8F575C">
            <w:pPr>
              <w:spacing w:after="0" w:line="252" w:lineRule="auto"/>
              <w:jc w:val="center"/>
            </w:pPr>
            <w:r>
              <w:rPr>
                <w:rFonts w:ascii="Calibri" w:hAnsi="Calibri" w:eastAsia="Calibri" w:cs="Calibri"/>
                <w:sz w:val="18"/>
              </w:rPr>
              <w:t>必须使用</w:t>
            </w:r>
          </w:p>
        </w:tc>
      </w:tr>
      <w:tr w14:paraId="0773A9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00" w:type="dxa"/>
            <w:tcMar>
              <w:top w:w="80" w:type="dxa"/>
              <w:left w:w="120" w:type="dxa"/>
              <w:bottom w:w="80" w:type="dxa"/>
              <w:right w:w="120" w:type="dxa"/>
            </w:tcMar>
            <w:vAlign w:val="center"/>
          </w:tcPr>
          <w:p w14:paraId="48E5BD8C">
            <w:pPr>
              <w:spacing w:after="0" w:line="252" w:lineRule="auto"/>
              <w:jc w:val="left"/>
            </w:pPr>
            <w:r>
              <w:fldChar w:fldCharType="begin"/>
            </w:r>
            <w:r>
              <w:instrText xml:space="preserve"> HYPERLINK "https://github.com/Azure/AzurePublicDataset/blob/master/AzureLLMInferenceDataset2024.md" \h </w:instrText>
            </w:r>
            <w:r>
              <w:fldChar w:fldCharType="separate"/>
            </w:r>
            <w:r>
              <w:rPr>
                <w:color w:val="0563C1"/>
                <w:u w:val="single"/>
              </w:rPr>
              <w:t>Azure LLM Inference Dataset 2024</w:t>
            </w:r>
            <w:r>
              <w:rPr>
                <w:color w:val="0563C1"/>
                <w:u w:val="single"/>
              </w:rPr>
              <w:fldChar w:fldCharType="end"/>
            </w:r>
          </w:p>
        </w:tc>
        <w:tc>
          <w:tcPr>
            <w:tcW w:w="3500" w:type="dxa"/>
            <w:tcMar>
              <w:top w:w="80" w:type="dxa"/>
              <w:left w:w="120" w:type="dxa"/>
              <w:bottom w:w="80" w:type="dxa"/>
              <w:right w:w="120" w:type="dxa"/>
            </w:tcMar>
            <w:vAlign w:val="center"/>
          </w:tcPr>
          <w:p w14:paraId="5A95B546">
            <w:pPr>
              <w:spacing w:after="0" w:line="252" w:lineRule="auto"/>
              <w:jc w:val="left"/>
            </w:pPr>
            <w:r>
              <w:rPr>
                <w:rFonts w:ascii="Calibri" w:hAnsi="Calibri" w:eastAsia="Calibri" w:cs="Calibri"/>
                <w:sz w:val="18"/>
              </w:rPr>
              <w:t>2024年5月10-19日，多种Azure LLM服务；含时间戳、Context Tokens、Generated Tokens</w:t>
            </w:r>
          </w:p>
        </w:tc>
        <w:tc>
          <w:tcPr>
            <w:tcW w:w="2900" w:type="dxa"/>
            <w:tcMar>
              <w:top w:w="80" w:type="dxa"/>
              <w:left w:w="120" w:type="dxa"/>
              <w:bottom w:w="80" w:type="dxa"/>
              <w:right w:w="120" w:type="dxa"/>
            </w:tcMar>
            <w:vAlign w:val="center"/>
          </w:tcPr>
          <w:p w14:paraId="04B1C78D">
            <w:pPr>
              <w:spacing w:after="0" w:line="252" w:lineRule="auto"/>
              <w:jc w:val="left"/>
            </w:pPr>
            <w:r>
              <w:rPr>
                <w:rFonts w:ascii="Calibri" w:hAnsi="Calibri" w:eastAsia="Calibri" w:cs="Calibri"/>
                <w:sz w:val="18"/>
              </w:rPr>
              <w:t>独立小样本复现实验、检查结论能否迁移到另一真实服务</w:t>
            </w:r>
          </w:p>
        </w:tc>
        <w:tc>
          <w:tcPr>
            <w:tcW w:w="1360" w:type="dxa"/>
            <w:tcMar>
              <w:top w:w="80" w:type="dxa"/>
              <w:left w:w="120" w:type="dxa"/>
              <w:bottom w:w="80" w:type="dxa"/>
              <w:right w:w="120" w:type="dxa"/>
            </w:tcMar>
            <w:vAlign w:val="center"/>
          </w:tcPr>
          <w:p w14:paraId="347DE183">
            <w:pPr>
              <w:spacing w:after="0" w:line="252" w:lineRule="auto"/>
              <w:jc w:val="center"/>
            </w:pPr>
            <w:r>
              <w:rPr>
                <w:rFonts w:ascii="Calibri" w:hAnsi="Calibri" w:eastAsia="Calibri" w:cs="Calibri"/>
                <w:sz w:val="18"/>
              </w:rPr>
              <w:t>建议使用</w:t>
            </w:r>
          </w:p>
        </w:tc>
      </w:tr>
      <w:tr w14:paraId="2114FB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00" w:type="dxa"/>
            <w:tcMar>
              <w:top w:w="80" w:type="dxa"/>
              <w:left w:w="120" w:type="dxa"/>
              <w:bottom w:w="80" w:type="dxa"/>
              <w:right w:w="120" w:type="dxa"/>
            </w:tcMar>
            <w:vAlign w:val="center"/>
          </w:tcPr>
          <w:p w14:paraId="07F0FD29">
            <w:pPr>
              <w:spacing w:after="0" w:line="252" w:lineRule="auto"/>
              <w:jc w:val="left"/>
            </w:pPr>
            <w:r>
              <w:fldChar w:fldCharType="begin"/>
            </w:r>
            <w:r>
              <w:instrText xml:space="preserve"> HYPERLINK "https://github.com/Azure/AzurePublicDataset/blob/master/AzureLLMInferenceDataset2023.md" \h </w:instrText>
            </w:r>
            <w:r>
              <w:fldChar w:fldCharType="separate"/>
            </w:r>
            <w:r>
              <w:rPr>
                <w:color w:val="0563C1"/>
                <w:u w:val="single"/>
              </w:rPr>
              <w:t>Azure LLM Inference Dataset 2023</w:t>
            </w:r>
            <w:r>
              <w:rPr>
                <w:color w:val="0563C1"/>
                <w:u w:val="single"/>
              </w:rPr>
              <w:fldChar w:fldCharType="end"/>
            </w:r>
          </w:p>
        </w:tc>
        <w:tc>
          <w:tcPr>
            <w:tcW w:w="3500" w:type="dxa"/>
            <w:tcMar>
              <w:top w:w="80" w:type="dxa"/>
              <w:left w:w="120" w:type="dxa"/>
              <w:bottom w:w="80" w:type="dxa"/>
              <w:right w:w="120" w:type="dxa"/>
            </w:tcMar>
            <w:vAlign w:val="center"/>
          </w:tcPr>
          <w:p w14:paraId="08E098CB">
            <w:pPr>
              <w:spacing w:after="0" w:line="252" w:lineRule="auto"/>
              <w:jc w:val="left"/>
            </w:pPr>
            <w:r>
              <w:rPr>
                <w:rFonts w:ascii="Calibri" w:hAnsi="Calibri" w:eastAsia="Calibri" w:cs="Calibri"/>
                <w:sz w:val="18"/>
              </w:rPr>
              <w:t>2023年11月11日，两种Azure LLM服务；含时间戳、输入和输出Token</w:t>
            </w:r>
          </w:p>
        </w:tc>
        <w:tc>
          <w:tcPr>
            <w:tcW w:w="2900" w:type="dxa"/>
            <w:tcMar>
              <w:top w:w="80" w:type="dxa"/>
              <w:left w:w="120" w:type="dxa"/>
              <w:bottom w:w="80" w:type="dxa"/>
              <w:right w:w="120" w:type="dxa"/>
            </w:tcMar>
            <w:vAlign w:val="center"/>
          </w:tcPr>
          <w:p w14:paraId="25F6F1CD">
            <w:pPr>
              <w:spacing w:after="0" w:line="252" w:lineRule="auto"/>
              <w:jc w:val="left"/>
            </w:pPr>
            <w:r>
              <w:rPr>
                <w:rFonts w:ascii="Calibri" w:hAnsi="Calibri" w:eastAsia="Calibri" w:cs="Calibri"/>
                <w:sz w:val="18"/>
              </w:rPr>
              <w:t>补充性突发案例研究；时间太短，不适合主模型训练</w:t>
            </w:r>
          </w:p>
        </w:tc>
        <w:tc>
          <w:tcPr>
            <w:tcW w:w="1360" w:type="dxa"/>
            <w:tcMar>
              <w:top w:w="80" w:type="dxa"/>
              <w:left w:w="120" w:type="dxa"/>
              <w:bottom w:w="80" w:type="dxa"/>
              <w:right w:w="120" w:type="dxa"/>
            </w:tcMar>
            <w:vAlign w:val="center"/>
          </w:tcPr>
          <w:p w14:paraId="7E620757">
            <w:pPr>
              <w:spacing w:after="0" w:line="252" w:lineRule="auto"/>
              <w:jc w:val="center"/>
            </w:pPr>
            <w:r>
              <w:rPr>
                <w:rFonts w:ascii="Calibri" w:hAnsi="Calibri" w:eastAsia="Calibri" w:cs="Calibri"/>
                <w:sz w:val="18"/>
              </w:rPr>
              <w:t>可选</w:t>
            </w:r>
          </w:p>
        </w:tc>
      </w:tr>
      <w:tr w14:paraId="3B72DC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00" w:type="dxa"/>
            <w:tcMar>
              <w:top w:w="80" w:type="dxa"/>
              <w:left w:w="120" w:type="dxa"/>
              <w:bottom w:w="80" w:type="dxa"/>
              <w:right w:w="120" w:type="dxa"/>
            </w:tcMar>
            <w:vAlign w:val="center"/>
          </w:tcPr>
          <w:p w14:paraId="3125671E">
            <w:pPr>
              <w:spacing w:after="0" w:line="252" w:lineRule="auto"/>
              <w:jc w:val="left"/>
            </w:pPr>
            <w:r>
              <w:fldChar w:fldCharType="begin"/>
            </w:r>
            <w:r>
              <w:instrText xml:space="preserve"> HYPERLINK "https://github.com/Azure/AzurePublicDataset/blob/master/AzureLMMInferenceDataset2025.md" \h </w:instrText>
            </w:r>
            <w:r>
              <w:fldChar w:fldCharType="separate"/>
            </w:r>
            <w:r>
              <w:rPr>
                <w:color w:val="0563C1"/>
                <w:u w:val="single"/>
              </w:rPr>
              <w:t>Azure LMM Inference Dataset 2025</w:t>
            </w:r>
            <w:r>
              <w:rPr>
                <w:color w:val="0563C1"/>
                <w:u w:val="single"/>
              </w:rPr>
              <w:fldChar w:fldCharType="end"/>
            </w:r>
          </w:p>
        </w:tc>
        <w:tc>
          <w:tcPr>
            <w:tcW w:w="3500" w:type="dxa"/>
            <w:tcMar>
              <w:top w:w="80" w:type="dxa"/>
              <w:left w:w="120" w:type="dxa"/>
              <w:bottom w:w="80" w:type="dxa"/>
              <w:right w:w="120" w:type="dxa"/>
            </w:tcMar>
            <w:vAlign w:val="center"/>
          </w:tcPr>
          <w:p w14:paraId="67C4DDD0">
            <w:pPr>
              <w:spacing w:after="0" w:line="252" w:lineRule="auto"/>
              <w:jc w:val="left"/>
            </w:pPr>
            <w:r>
              <w:rPr>
                <w:rFonts w:ascii="Calibri" w:hAnsi="Calibri" w:eastAsia="Calibri" w:cs="Calibri"/>
                <w:sz w:val="18"/>
              </w:rPr>
              <w:t>2024年10月采集的多模态推理轨迹，增加图像数量字段</w:t>
            </w:r>
          </w:p>
        </w:tc>
        <w:tc>
          <w:tcPr>
            <w:tcW w:w="2900" w:type="dxa"/>
            <w:tcMar>
              <w:top w:w="80" w:type="dxa"/>
              <w:left w:w="120" w:type="dxa"/>
              <w:bottom w:w="80" w:type="dxa"/>
              <w:right w:w="120" w:type="dxa"/>
            </w:tcMar>
            <w:vAlign w:val="center"/>
          </w:tcPr>
          <w:p w14:paraId="31163EF3">
            <w:pPr>
              <w:spacing w:after="0" w:line="252" w:lineRule="auto"/>
              <w:jc w:val="left"/>
            </w:pPr>
            <w:r>
              <w:rPr>
                <w:rFonts w:ascii="Calibri" w:hAnsi="Calibri" w:eastAsia="Calibri" w:cs="Calibri"/>
                <w:sz w:val="18"/>
              </w:rPr>
              <w:t>可在展望中讨论多模态负载，不应与文本LLM直接合并</w:t>
            </w:r>
          </w:p>
        </w:tc>
        <w:tc>
          <w:tcPr>
            <w:tcW w:w="1360" w:type="dxa"/>
            <w:tcMar>
              <w:top w:w="80" w:type="dxa"/>
              <w:left w:w="120" w:type="dxa"/>
              <w:bottom w:w="80" w:type="dxa"/>
              <w:right w:w="120" w:type="dxa"/>
            </w:tcMar>
            <w:vAlign w:val="center"/>
          </w:tcPr>
          <w:p w14:paraId="1CD100AE">
            <w:pPr>
              <w:spacing w:after="0" w:line="252" w:lineRule="auto"/>
              <w:jc w:val="center"/>
            </w:pPr>
            <w:r>
              <w:rPr>
                <w:rFonts w:ascii="Calibri" w:hAnsi="Calibri" w:eastAsia="Calibri" w:cs="Calibri"/>
                <w:sz w:val="18"/>
              </w:rPr>
              <w:t>非核心</w:t>
            </w:r>
          </w:p>
        </w:tc>
      </w:tr>
    </w:tbl>
    <w:p w14:paraId="748EC5AB">
      <w:pPr>
        <w:spacing w:after="40"/>
      </w:pPr>
    </w:p>
    <w:p w14:paraId="5129AAFF">
      <w:r>
        <w:rPr>
          <w:rFonts w:ascii="Calibri" w:hAnsi="Calibri" w:eastAsia="Calibri" w:cs="Calibri"/>
          <w:sz w:val="22"/>
        </w:rPr>
        <w:t>截至目前可核实的BurstGPT最新公开版本是2026年1月发布的v2.0。其完整文件保留Response Tokens为0的失败请求，同时提供删除失败记录的</w:t>
      </w:r>
      <w:r>
        <w:rPr>
          <w:rFonts w:ascii="Consolas" w:hAnsi="Consolas" w:eastAsia="Consolas" w:cs="Consolas"/>
          <w:sz w:val="20"/>
        </w:rPr>
        <w:t>without_fails</w:t>
      </w:r>
      <w:r>
        <w:rPr>
          <w:rFonts w:ascii="Calibri" w:hAnsi="Calibri" w:eastAsia="Calibri" w:cs="Calibri"/>
          <w:sz w:val="22"/>
        </w:rPr>
        <w:t>版本。</w:t>
      </w:r>
    </w:p>
    <w:p w14:paraId="1B804DA9">
      <w:r>
        <w:rPr>
          <w:rFonts w:ascii="Calibri" w:hAnsi="Calibri" w:eastAsia="Calibri" w:cs="Calibri"/>
          <w:sz w:val="22"/>
        </w:rPr>
        <w:t>建议：</w:t>
      </w:r>
    </w:p>
    <w:p w14:paraId="23BD49C8">
      <w:pPr>
        <w:pStyle w:val="16"/>
      </w:pPr>
      <w:r>
        <w:rPr>
          <w:rFonts w:ascii="Calibri" w:hAnsi="Calibri" w:eastAsia="Calibri" w:cs="Calibri"/>
          <w:sz w:val="22"/>
        </w:rPr>
        <w:t>主实验使用</w:t>
      </w:r>
      <w:r>
        <w:rPr>
          <w:rFonts w:ascii="Consolas" w:hAnsi="Consolas" w:eastAsia="Consolas" w:cs="Consolas"/>
          <w:sz w:val="20"/>
        </w:rPr>
        <w:t>BurstGPT_without_fails_1/2/3.csv</w:t>
      </w:r>
      <w:r>
        <w:rPr>
          <w:rFonts w:ascii="Calibri" w:hAnsi="Calibri" w:eastAsia="Calibri" w:cs="Calibri"/>
          <w:sz w:val="22"/>
        </w:rPr>
        <w:t>，研究“成功服务的实际Token负载”。</w:t>
      </w:r>
    </w:p>
    <w:p w14:paraId="5E4F0D43">
      <w:pPr>
        <w:pStyle w:val="16"/>
      </w:pPr>
      <w:r>
        <w:rPr>
          <w:rFonts w:ascii="Calibri" w:hAnsi="Calibri" w:eastAsia="Calibri" w:cs="Calibri"/>
          <w:sz w:val="22"/>
        </w:rPr>
        <w:t>完整文件只用于失败请求比例和数据质量稳健性分析。</w:t>
      </w:r>
    </w:p>
    <w:p w14:paraId="0D49293D">
      <w:pPr>
        <w:pStyle w:val="16"/>
      </w:pPr>
      <w:r>
        <w:rPr>
          <w:rFonts w:ascii="Calibri" w:hAnsi="Calibri" w:eastAsia="Calibri" w:cs="Calibri"/>
          <w:sz w:val="22"/>
        </w:rPr>
        <w:t>不将Azure数据与BurstGPT直接拼接，因为服务规模、时间范围和匿名化方式不同。</w:t>
      </w:r>
    </w:p>
    <w:p w14:paraId="214016C9">
      <w:pPr>
        <w:pStyle w:val="16"/>
      </w:pPr>
      <w:r>
        <w:rPr>
          <w:rFonts w:ascii="Calibri" w:hAnsi="Calibri" w:eastAsia="Calibri" w:cs="Calibri"/>
          <w:sz w:val="22"/>
        </w:rPr>
        <w:t>Azure 2024应作为独立复现实验，而不是增加训练样本。</w:t>
      </w:r>
    </w:p>
    <w:p w14:paraId="34274D89">
      <w:r>
        <w:rPr>
          <w:rFonts w:ascii="Calibri" w:hAnsi="Calibri" w:eastAsia="Calibri" w:cs="Calibri"/>
          <w:sz w:val="22"/>
        </w:rPr>
        <w:t>数据质量审查直接影响了这一设计：请求级记录必须先聚合成预测时点，未来生成Token不能作为当期特征；不同数据批次也应分别验证，不能无条件混合。</w:t>
      </w:r>
    </w:p>
    <w:p w14:paraId="4FEFF12C">
      <w:pPr>
        <w:pStyle w:val="3"/>
      </w:pPr>
      <w:r>
        <w:rPr>
          <w:rFonts w:ascii="Calibri" w:hAnsi="Calibri" w:eastAsia="Calibri" w:cs="Calibri"/>
          <w:sz w:val="32"/>
        </w:rPr>
        <w:t>4. 研究背景、研究意义与可行性说明（约500字）</w:t>
      </w:r>
    </w:p>
    <w:p w14:paraId="0092503E">
      <w:r>
        <w:rPr>
          <w:rFonts w:ascii="Calibri" w:hAnsi="Calibri" w:eastAsia="Calibri" w:cs="Calibri"/>
          <w:b/>
          <w:sz w:val="22"/>
        </w:rPr>
        <w:t>研究背景：</w:t>
      </w:r>
      <w:r>
        <w:rPr>
          <w:rFonts w:ascii="Calibri" w:hAnsi="Calibri" w:eastAsia="Calibri" w:cs="Calibri"/>
          <w:sz w:val="22"/>
        </w:rPr>
        <w:t xml:space="preserve"> 随着生成式人工智能应用进入在线搜索、编程辅助和企业服务，LLM推理系统面临高度波动的请求到达率及差异显著的输入、输出Token长度。Token负载不仅决定GPU计算量、KV Cache占用和服务延迟，也影响动态扩缩容和能源消耗。BurstGPT公开了由Microsoft Azure支持的真实GPT-3.5和GPT-4服务轨迹，表明LLM请求同时具有周期性、长尾性和突发性 [1]。因此，在突发到来前预测短期Token需求，已经成为LLM服务资源管理的重要问题。</w:t>
      </w:r>
    </w:p>
    <w:p w14:paraId="6C1D48E2">
      <w:r>
        <w:rPr>
          <w:rFonts w:ascii="Calibri" w:hAnsi="Calibri" w:eastAsia="Calibri" w:cs="Calibri"/>
          <w:b/>
          <w:sz w:val="22"/>
        </w:rPr>
        <w:t>研究意义：</w:t>
      </w:r>
      <w:r>
        <w:rPr>
          <w:rFonts w:ascii="Calibri" w:hAnsi="Calibri" w:eastAsia="Calibri" w:cs="Calibri"/>
          <w:sz w:val="22"/>
        </w:rPr>
        <w:t xml:space="preserve"> 现有研究主要关注批处理、内存管理、Prefill-Decode分离和资源调度，而对真实Token负载的短期可预测性及不同预测模型在突发时段的表现关注相对有限。本研究比较XGBoost与LSTM：前者能够利用滞后、滚动统计和服务结构特征，后者能够学习连续时间依赖。研究不仅评价平均预测误差，还评价突发事件的Precision、Recall和F1，从而为GPU预留、自动扩缩容及容量规划提供更贴近实际决策的依据。</w:t>
      </w:r>
    </w:p>
    <w:p w14:paraId="1D95ED9C">
      <w:r>
        <w:rPr>
          <w:rFonts w:ascii="Calibri" w:hAnsi="Calibri" w:eastAsia="Calibri" w:cs="Calibri"/>
          <w:b/>
          <w:sz w:val="22"/>
        </w:rPr>
        <w:t>可行性：</w:t>
      </w:r>
      <w:r>
        <w:rPr>
          <w:rFonts w:ascii="Calibri" w:hAnsi="Calibri" w:eastAsia="Calibri" w:cs="Calibri"/>
          <w:sz w:val="22"/>
        </w:rPr>
        <w:t xml:space="preserve"> BurstGPT v2.0提供超过两百天、约千万级请求记录以及统一字段和开放许可，数据规模足以支持时间序列训练。请求聚合后仅约数万条5分钟观测，普通电脑或Google Colab即可完成XGBoost和单层LSTM训练。研究者已有Python基础，每周投入15-20小时，在六周内完成数据清洗、基线、两个模型、突发评价及论文写作具有较高可行性。主要风险是时间泄漏和LSTM过度调参，可通过严格时间切分、训练集拟合标准化器和早停机制控制。</w:t>
      </w:r>
    </w:p>
    <w:p w14:paraId="073B098D">
      <w:pPr>
        <w:pStyle w:val="3"/>
      </w:pPr>
      <w:r>
        <w:rPr>
          <w:rFonts w:ascii="Calibri" w:hAnsi="Calibri" w:eastAsia="Calibri" w:cs="Calibri"/>
          <w:sz w:val="32"/>
        </w:rPr>
        <w:t>5. 六周详细执行计划</w:t>
      </w:r>
    </w:p>
    <w:tbl>
      <w:tblPr>
        <w:tblStyle w:val="34"/>
        <w:tblW w:w="9360" w:type="dxa"/>
        <w:tblInd w:w="1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600"/>
        <w:gridCol w:w="3500"/>
        <w:gridCol w:w="2900"/>
        <w:gridCol w:w="1360"/>
      </w:tblGrid>
      <w:tr w14:paraId="11F6E0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1600" w:type="dxa"/>
            <w:shd w:val="clear" w:color="auto" w:fill="F4F6F9"/>
            <w:tcMar>
              <w:top w:w="80" w:type="dxa"/>
              <w:left w:w="120" w:type="dxa"/>
              <w:bottom w:w="80" w:type="dxa"/>
              <w:right w:w="120" w:type="dxa"/>
            </w:tcMar>
            <w:vAlign w:val="center"/>
          </w:tcPr>
          <w:p w14:paraId="675DDF57">
            <w:pPr>
              <w:spacing w:after="0" w:line="240" w:lineRule="auto"/>
              <w:jc w:val="center"/>
            </w:pPr>
            <w:r>
              <w:rPr>
                <w:rFonts w:ascii="Calibri" w:hAnsi="Calibri" w:eastAsia="Calibri" w:cs="Calibri"/>
                <w:b/>
                <w:sz w:val="18"/>
              </w:rPr>
              <w:t>周次</w:t>
            </w:r>
          </w:p>
        </w:tc>
        <w:tc>
          <w:tcPr>
            <w:tcW w:w="3500" w:type="dxa"/>
            <w:shd w:val="clear" w:color="auto" w:fill="F4F6F9"/>
            <w:tcMar>
              <w:top w:w="80" w:type="dxa"/>
              <w:left w:w="120" w:type="dxa"/>
              <w:bottom w:w="80" w:type="dxa"/>
              <w:right w:w="120" w:type="dxa"/>
            </w:tcMar>
            <w:vAlign w:val="center"/>
          </w:tcPr>
          <w:p w14:paraId="62AB802D">
            <w:pPr>
              <w:spacing w:after="0" w:line="240" w:lineRule="auto"/>
              <w:jc w:val="center"/>
            </w:pPr>
            <w:r>
              <w:rPr>
                <w:rFonts w:ascii="Calibri" w:hAnsi="Calibri" w:eastAsia="Calibri" w:cs="Calibri"/>
                <w:b/>
                <w:sz w:val="18"/>
              </w:rPr>
              <w:t>时间</w:t>
            </w:r>
          </w:p>
        </w:tc>
        <w:tc>
          <w:tcPr>
            <w:tcW w:w="2900" w:type="dxa"/>
            <w:shd w:val="clear" w:color="auto" w:fill="F4F6F9"/>
            <w:tcMar>
              <w:top w:w="80" w:type="dxa"/>
              <w:left w:w="120" w:type="dxa"/>
              <w:bottom w:w="80" w:type="dxa"/>
              <w:right w:w="120" w:type="dxa"/>
            </w:tcMar>
            <w:vAlign w:val="center"/>
          </w:tcPr>
          <w:p w14:paraId="5662B28D">
            <w:pPr>
              <w:spacing w:after="0" w:line="240" w:lineRule="auto"/>
              <w:jc w:val="center"/>
            </w:pPr>
            <w:r>
              <w:rPr>
                <w:rFonts w:ascii="Calibri" w:hAnsi="Calibri" w:eastAsia="Calibri" w:cs="Calibri"/>
                <w:b/>
                <w:sz w:val="18"/>
              </w:rPr>
              <w:t>主要工作</w:t>
            </w:r>
          </w:p>
        </w:tc>
        <w:tc>
          <w:tcPr>
            <w:tcW w:w="1360" w:type="dxa"/>
            <w:shd w:val="clear" w:color="auto" w:fill="F4F6F9"/>
            <w:tcMar>
              <w:top w:w="80" w:type="dxa"/>
              <w:left w:w="120" w:type="dxa"/>
              <w:bottom w:w="80" w:type="dxa"/>
              <w:right w:w="120" w:type="dxa"/>
            </w:tcMar>
            <w:vAlign w:val="center"/>
          </w:tcPr>
          <w:p w14:paraId="1D31FE1A">
            <w:pPr>
              <w:spacing w:after="0" w:line="240" w:lineRule="auto"/>
              <w:jc w:val="center"/>
            </w:pPr>
            <w:r>
              <w:rPr>
                <w:rFonts w:ascii="Calibri" w:hAnsi="Calibri" w:eastAsia="Calibri" w:cs="Calibri"/>
                <w:b/>
                <w:sz w:val="18"/>
              </w:rPr>
              <w:t>必须交付的结果</w:t>
            </w:r>
          </w:p>
        </w:tc>
      </w:tr>
      <w:tr w14:paraId="0E1432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00" w:type="dxa"/>
            <w:tcMar>
              <w:top w:w="80" w:type="dxa"/>
              <w:left w:w="120" w:type="dxa"/>
              <w:bottom w:w="80" w:type="dxa"/>
              <w:right w:w="120" w:type="dxa"/>
            </w:tcMar>
            <w:vAlign w:val="center"/>
          </w:tcPr>
          <w:p w14:paraId="103E2A7A">
            <w:pPr>
              <w:spacing w:after="0" w:line="252" w:lineRule="auto"/>
              <w:jc w:val="center"/>
            </w:pPr>
            <w:r>
              <w:rPr>
                <w:rFonts w:ascii="Calibri" w:hAnsi="Calibri" w:eastAsia="Calibri" w:cs="Calibri"/>
                <w:sz w:val="18"/>
              </w:rPr>
              <w:t>第1周</w:t>
            </w:r>
          </w:p>
        </w:tc>
        <w:tc>
          <w:tcPr>
            <w:tcW w:w="3500" w:type="dxa"/>
            <w:tcMar>
              <w:top w:w="80" w:type="dxa"/>
              <w:left w:w="120" w:type="dxa"/>
              <w:bottom w:w="80" w:type="dxa"/>
              <w:right w:w="120" w:type="dxa"/>
            </w:tcMar>
            <w:vAlign w:val="center"/>
          </w:tcPr>
          <w:p w14:paraId="3087187B">
            <w:pPr>
              <w:spacing w:after="0" w:line="252" w:lineRule="auto"/>
              <w:jc w:val="left"/>
            </w:pPr>
            <w:r>
              <w:rPr>
                <w:rFonts w:ascii="Calibri" w:hAnsi="Calibri" w:eastAsia="Calibri" w:cs="Calibri"/>
                <w:sz w:val="18"/>
              </w:rPr>
              <w:t>15-18小时</w:t>
            </w:r>
          </w:p>
        </w:tc>
        <w:tc>
          <w:tcPr>
            <w:tcW w:w="2900" w:type="dxa"/>
            <w:tcMar>
              <w:top w:w="80" w:type="dxa"/>
              <w:left w:w="120" w:type="dxa"/>
              <w:bottom w:w="80" w:type="dxa"/>
              <w:right w:w="120" w:type="dxa"/>
            </w:tcMar>
            <w:vAlign w:val="center"/>
          </w:tcPr>
          <w:p w14:paraId="49BA6274">
            <w:pPr>
              <w:spacing w:after="0" w:line="252" w:lineRule="auto"/>
              <w:jc w:val="left"/>
            </w:pPr>
            <w:r>
              <w:rPr>
                <w:rFonts w:ascii="Calibri" w:hAnsi="Calibri" w:eastAsia="Calibri" w:cs="Calibri"/>
                <w:sz w:val="18"/>
              </w:rPr>
              <w:t>阅读核心文献[1]-[11]；下载BurstGPT；理解字段；检查缺失、重复、失败请求；建立Git项目</w:t>
            </w:r>
          </w:p>
        </w:tc>
        <w:tc>
          <w:tcPr>
            <w:tcW w:w="1360" w:type="dxa"/>
            <w:tcMar>
              <w:top w:w="80" w:type="dxa"/>
              <w:left w:w="120" w:type="dxa"/>
              <w:bottom w:w="80" w:type="dxa"/>
              <w:right w:w="120" w:type="dxa"/>
            </w:tcMar>
            <w:vAlign w:val="center"/>
          </w:tcPr>
          <w:p w14:paraId="7DC716D3">
            <w:pPr>
              <w:spacing w:after="0" w:line="252" w:lineRule="auto"/>
              <w:jc w:val="left"/>
            </w:pPr>
            <w:r>
              <w:rPr>
                <w:rFonts w:ascii="Calibri" w:hAnsi="Calibri" w:eastAsia="Calibri" w:cs="Calibri"/>
                <w:sz w:val="18"/>
              </w:rPr>
              <w:t>文献矩阵、数据字典、清洗脚本、研究问题定稿</w:t>
            </w:r>
          </w:p>
        </w:tc>
      </w:tr>
      <w:tr w14:paraId="40A5B9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00" w:type="dxa"/>
            <w:tcMar>
              <w:top w:w="80" w:type="dxa"/>
              <w:left w:w="120" w:type="dxa"/>
              <w:bottom w:w="80" w:type="dxa"/>
              <w:right w:w="120" w:type="dxa"/>
            </w:tcMar>
            <w:vAlign w:val="center"/>
          </w:tcPr>
          <w:p w14:paraId="56AF2D51">
            <w:pPr>
              <w:spacing w:after="0" w:line="252" w:lineRule="auto"/>
              <w:jc w:val="center"/>
            </w:pPr>
            <w:r>
              <w:rPr>
                <w:rFonts w:ascii="Calibri" w:hAnsi="Calibri" w:eastAsia="Calibri" w:cs="Calibri"/>
                <w:sz w:val="18"/>
              </w:rPr>
              <w:t>第2周</w:t>
            </w:r>
          </w:p>
        </w:tc>
        <w:tc>
          <w:tcPr>
            <w:tcW w:w="3500" w:type="dxa"/>
            <w:tcMar>
              <w:top w:w="80" w:type="dxa"/>
              <w:left w:w="120" w:type="dxa"/>
              <w:bottom w:w="80" w:type="dxa"/>
              <w:right w:w="120" w:type="dxa"/>
            </w:tcMar>
            <w:vAlign w:val="center"/>
          </w:tcPr>
          <w:p w14:paraId="66F8500A">
            <w:pPr>
              <w:spacing w:after="0" w:line="252" w:lineRule="auto"/>
              <w:jc w:val="left"/>
            </w:pPr>
            <w:r>
              <w:rPr>
                <w:rFonts w:ascii="Calibri" w:hAnsi="Calibri" w:eastAsia="Calibri" w:cs="Calibri"/>
                <w:sz w:val="18"/>
              </w:rPr>
              <w:t>16-20小时</w:t>
            </w:r>
          </w:p>
        </w:tc>
        <w:tc>
          <w:tcPr>
            <w:tcW w:w="2900" w:type="dxa"/>
            <w:tcMar>
              <w:top w:w="80" w:type="dxa"/>
              <w:left w:w="120" w:type="dxa"/>
              <w:bottom w:w="80" w:type="dxa"/>
              <w:right w:w="120" w:type="dxa"/>
            </w:tcMar>
            <w:vAlign w:val="center"/>
          </w:tcPr>
          <w:p w14:paraId="7274E2E9">
            <w:pPr>
              <w:spacing w:after="0" w:line="252" w:lineRule="auto"/>
              <w:jc w:val="left"/>
            </w:pPr>
            <w:r>
              <w:rPr>
                <w:rFonts w:ascii="Calibri" w:hAnsi="Calibri" w:eastAsia="Calibri" w:cs="Calibri"/>
                <w:sz w:val="18"/>
              </w:rPr>
              <w:t>聚合5分钟负载；绘制日/周趋势、自相关、Token分布和GPT-4/API占比；定义P95突发；建立Persistence与Seasonal Naive基线</w:t>
            </w:r>
          </w:p>
        </w:tc>
        <w:tc>
          <w:tcPr>
            <w:tcW w:w="1360" w:type="dxa"/>
            <w:tcMar>
              <w:top w:w="80" w:type="dxa"/>
              <w:left w:w="120" w:type="dxa"/>
              <w:bottom w:w="80" w:type="dxa"/>
              <w:right w:w="120" w:type="dxa"/>
            </w:tcMar>
            <w:vAlign w:val="center"/>
          </w:tcPr>
          <w:p w14:paraId="5605ED53">
            <w:pPr>
              <w:spacing w:after="0" w:line="252" w:lineRule="auto"/>
              <w:jc w:val="left"/>
            </w:pPr>
            <w:r>
              <w:rPr>
                <w:rFonts w:ascii="Calibri" w:hAnsi="Calibri" w:eastAsia="Calibri" w:cs="Calibri"/>
                <w:sz w:val="18"/>
              </w:rPr>
              <w:t>EDA Notebook、8-10幅初步图、基线结果表</w:t>
            </w:r>
          </w:p>
        </w:tc>
      </w:tr>
      <w:tr w14:paraId="24109E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00" w:type="dxa"/>
            <w:tcMar>
              <w:top w:w="80" w:type="dxa"/>
              <w:left w:w="120" w:type="dxa"/>
              <w:bottom w:w="80" w:type="dxa"/>
              <w:right w:w="120" w:type="dxa"/>
            </w:tcMar>
            <w:vAlign w:val="center"/>
          </w:tcPr>
          <w:p w14:paraId="3C5A8E21">
            <w:pPr>
              <w:spacing w:after="0" w:line="252" w:lineRule="auto"/>
              <w:jc w:val="center"/>
            </w:pPr>
            <w:r>
              <w:rPr>
                <w:rFonts w:ascii="Calibri" w:hAnsi="Calibri" w:eastAsia="Calibri" w:cs="Calibri"/>
                <w:sz w:val="18"/>
              </w:rPr>
              <w:t>第3周</w:t>
            </w:r>
          </w:p>
        </w:tc>
        <w:tc>
          <w:tcPr>
            <w:tcW w:w="3500" w:type="dxa"/>
            <w:tcMar>
              <w:top w:w="80" w:type="dxa"/>
              <w:left w:w="120" w:type="dxa"/>
              <w:bottom w:w="80" w:type="dxa"/>
              <w:right w:w="120" w:type="dxa"/>
            </w:tcMar>
            <w:vAlign w:val="center"/>
          </w:tcPr>
          <w:p w14:paraId="37D0CCD1">
            <w:pPr>
              <w:spacing w:after="0" w:line="252" w:lineRule="auto"/>
              <w:jc w:val="left"/>
            </w:pPr>
            <w:r>
              <w:rPr>
                <w:rFonts w:ascii="Calibri" w:hAnsi="Calibri" w:eastAsia="Calibri" w:cs="Calibri"/>
                <w:sz w:val="18"/>
              </w:rPr>
              <w:t>16-20小时</w:t>
            </w:r>
          </w:p>
        </w:tc>
        <w:tc>
          <w:tcPr>
            <w:tcW w:w="2900" w:type="dxa"/>
            <w:tcMar>
              <w:top w:w="80" w:type="dxa"/>
              <w:left w:w="120" w:type="dxa"/>
              <w:bottom w:w="80" w:type="dxa"/>
              <w:right w:w="120" w:type="dxa"/>
            </w:tcMar>
            <w:vAlign w:val="center"/>
          </w:tcPr>
          <w:p w14:paraId="29F735AF">
            <w:pPr>
              <w:spacing w:after="0" w:line="252" w:lineRule="auto"/>
              <w:jc w:val="left"/>
            </w:pPr>
            <w:r>
              <w:rPr>
                <w:rFonts w:ascii="Calibri" w:hAnsi="Calibri" w:eastAsia="Calibri" w:cs="Calibri"/>
                <w:sz w:val="18"/>
              </w:rPr>
              <w:t>构造滞后、滚动和周期特征；完成时间切分；训练XGBoost；用验证集调整深度、学习率和树数量；计算SHAP</w:t>
            </w:r>
          </w:p>
        </w:tc>
        <w:tc>
          <w:tcPr>
            <w:tcW w:w="1360" w:type="dxa"/>
            <w:tcMar>
              <w:top w:w="80" w:type="dxa"/>
              <w:left w:w="120" w:type="dxa"/>
              <w:bottom w:w="80" w:type="dxa"/>
              <w:right w:w="120" w:type="dxa"/>
            </w:tcMar>
            <w:vAlign w:val="center"/>
          </w:tcPr>
          <w:p w14:paraId="607ADF3F">
            <w:pPr>
              <w:spacing w:after="0" w:line="252" w:lineRule="auto"/>
              <w:jc w:val="left"/>
            </w:pPr>
            <w:r>
              <w:rPr>
                <w:rFonts w:ascii="Calibri" w:hAnsi="Calibri" w:eastAsia="Calibri" w:cs="Calibri"/>
                <w:sz w:val="18"/>
              </w:rPr>
              <w:t>XGBoost模型、参数表、特征重要性图、测试结果</w:t>
            </w:r>
          </w:p>
        </w:tc>
      </w:tr>
      <w:tr w14:paraId="588862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00" w:type="dxa"/>
            <w:tcMar>
              <w:top w:w="80" w:type="dxa"/>
              <w:left w:w="120" w:type="dxa"/>
              <w:bottom w:w="80" w:type="dxa"/>
              <w:right w:w="120" w:type="dxa"/>
            </w:tcMar>
            <w:vAlign w:val="center"/>
          </w:tcPr>
          <w:p w14:paraId="2D098531">
            <w:pPr>
              <w:spacing w:after="0" w:line="252" w:lineRule="auto"/>
              <w:jc w:val="center"/>
            </w:pPr>
            <w:r>
              <w:rPr>
                <w:rFonts w:ascii="Calibri" w:hAnsi="Calibri" w:eastAsia="Calibri" w:cs="Calibri"/>
                <w:sz w:val="18"/>
              </w:rPr>
              <w:t>第4周</w:t>
            </w:r>
          </w:p>
        </w:tc>
        <w:tc>
          <w:tcPr>
            <w:tcW w:w="3500" w:type="dxa"/>
            <w:tcMar>
              <w:top w:w="80" w:type="dxa"/>
              <w:left w:w="120" w:type="dxa"/>
              <w:bottom w:w="80" w:type="dxa"/>
              <w:right w:w="120" w:type="dxa"/>
            </w:tcMar>
            <w:vAlign w:val="center"/>
          </w:tcPr>
          <w:p w14:paraId="47EB2226">
            <w:pPr>
              <w:spacing w:after="0" w:line="252" w:lineRule="auto"/>
              <w:jc w:val="left"/>
            </w:pPr>
            <w:r>
              <w:rPr>
                <w:rFonts w:ascii="Calibri" w:hAnsi="Calibri" w:eastAsia="Calibri" w:cs="Calibri"/>
                <w:sz w:val="18"/>
              </w:rPr>
              <w:t>18-20小时</w:t>
            </w:r>
          </w:p>
        </w:tc>
        <w:tc>
          <w:tcPr>
            <w:tcW w:w="2900" w:type="dxa"/>
            <w:tcMar>
              <w:top w:w="80" w:type="dxa"/>
              <w:left w:w="120" w:type="dxa"/>
              <w:bottom w:w="80" w:type="dxa"/>
              <w:right w:w="120" w:type="dxa"/>
            </w:tcMar>
            <w:vAlign w:val="center"/>
          </w:tcPr>
          <w:p w14:paraId="52BD5FC8">
            <w:pPr>
              <w:spacing w:after="0" w:line="252" w:lineRule="auto"/>
              <w:jc w:val="left"/>
            </w:pPr>
            <w:r>
              <w:rPr>
                <w:rFonts w:ascii="Calibri" w:hAnsi="Calibri" w:eastAsia="Calibri" w:cs="Calibri"/>
                <w:sz w:val="18"/>
              </w:rPr>
              <w:t>标准化训练数据；构造6-24小时输入序列；训练单层LSTM；使用Dropout与Early Stopping；完成5/15/60分钟预测</w:t>
            </w:r>
          </w:p>
        </w:tc>
        <w:tc>
          <w:tcPr>
            <w:tcW w:w="1360" w:type="dxa"/>
            <w:tcMar>
              <w:top w:w="80" w:type="dxa"/>
              <w:left w:w="120" w:type="dxa"/>
              <w:bottom w:w="80" w:type="dxa"/>
              <w:right w:w="120" w:type="dxa"/>
            </w:tcMar>
            <w:vAlign w:val="center"/>
          </w:tcPr>
          <w:p w14:paraId="691FE3A0">
            <w:pPr>
              <w:spacing w:after="0" w:line="252" w:lineRule="auto"/>
              <w:jc w:val="left"/>
            </w:pPr>
            <w:r>
              <w:rPr>
                <w:rFonts w:ascii="Calibri" w:hAnsi="Calibri" w:eastAsia="Calibri" w:cs="Calibri"/>
                <w:sz w:val="18"/>
              </w:rPr>
              <w:t>LSTM模型、训练曲线、三种窗口结果</w:t>
            </w:r>
          </w:p>
        </w:tc>
      </w:tr>
      <w:tr w14:paraId="40532E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00" w:type="dxa"/>
            <w:tcMar>
              <w:top w:w="80" w:type="dxa"/>
              <w:left w:w="120" w:type="dxa"/>
              <w:bottom w:w="80" w:type="dxa"/>
              <w:right w:w="120" w:type="dxa"/>
            </w:tcMar>
            <w:vAlign w:val="center"/>
          </w:tcPr>
          <w:p w14:paraId="7FECBED5">
            <w:pPr>
              <w:spacing w:after="0" w:line="252" w:lineRule="auto"/>
              <w:jc w:val="center"/>
            </w:pPr>
            <w:r>
              <w:rPr>
                <w:rFonts w:ascii="Calibri" w:hAnsi="Calibri" w:eastAsia="Calibri" w:cs="Calibri"/>
                <w:sz w:val="18"/>
              </w:rPr>
              <w:t>第5周</w:t>
            </w:r>
          </w:p>
        </w:tc>
        <w:tc>
          <w:tcPr>
            <w:tcW w:w="3500" w:type="dxa"/>
            <w:tcMar>
              <w:top w:w="80" w:type="dxa"/>
              <w:left w:w="120" w:type="dxa"/>
              <w:bottom w:w="80" w:type="dxa"/>
              <w:right w:w="120" w:type="dxa"/>
            </w:tcMar>
            <w:vAlign w:val="center"/>
          </w:tcPr>
          <w:p w14:paraId="4C9990D9">
            <w:pPr>
              <w:spacing w:after="0" w:line="252" w:lineRule="auto"/>
              <w:jc w:val="left"/>
            </w:pPr>
            <w:r>
              <w:rPr>
                <w:rFonts w:ascii="Calibri" w:hAnsi="Calibri" w:eastAsia="Calibri" w:cs="Calibri"/>
                <w:sz w:val="18"/>
              </w:rPr>
              <w:t>16-20小时</w:t>
            </w:r>
          </w:p>
        </w:tc>
        <w:tc>
          <w:tcPr>
            <w:tcW w:w="2900" w:type="dxa"/>
            <w:tcMar>
              <w:top w:w="80" w:type="dxa"/>
              <w:left w:w="120" w:type="dxa"/>
              <w:bottom w:w="80" w:type="dxa"/>
              <w:right w:w="120" w:type="dxa"/>
            </w:tcMar>
            <w:vAlign w:val="center"/>
          </w:tcPr>
          <w:p w14:paraId="45C54206">
            <w:pPr>
              <w:spacing w:after="0" w:line="252" w:lineRule="auto"/>
              <w:jc w:val="left"/>
            </w:pPr>
            <w:r>
              <w:rPr>
                <w:rFonts w:ascii="Calibri" w:hAnsi="Calibri" w:eastAsia="Calibri" w:cs="Calibri"/>
                <w:sz w:val="18"/>
              </w:rPr>
              <w:t>比较基线、XGBoost、LSTM；评价MAE、RMSE、sMAPE及突发F1、PR-AUC；按模型类型和日志类型分析误差；在BurstGPT_3上进行稳健性测试</w:t>
            </w:r>
          </w:p>
        </w:tc>
        <w:tc>
          <w:tcPr>
            <w:tcW w:w="1360" w:type="dxa"/>
            <w:tcMar>
              <w:top w:w="80" w:type="dxa"/>
              <w:left w:w="120" w:type="dxa"/>
              <w:bottom w:w="80" w:type="dxa"/>
              <w:right w:w="120" w:type="dxa"/>
            </w:tcMar>
            <w:vAlign w:val="center"/>
          </w:tcPr>
          <w:p w14:paraId="7AF9F53B">
            <w:pPr>
              <w:spacing w:after="0" w:line="252" w:lineRule="auto"/>
              <w:jc w:val="left"/>
            </w:pPr>
            <w:r>
              <w:rPr>
                <w:rFonts w:ascii="Calibri" w:hAnsi="Calibri" w:eastAsia="Calibri" w:cs="Calibri"/>
                <w:sz w:val="18"/>
              </w:rPr>
              <w:t>主结果表、突发混淆矩阵、误差分析图、消融实验</w:t>
            </w:r>
          </w:p>
        </w:tc>
      </w:tr>
      <w:tr w14:paraId="671FE0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00" w:type="dxa"/>
            <w:tcMar>
              <w:top w:w="80" w:type="dxa"/>
              <w:left w:w="120" w:type="dxa"/>
              <w:bottom w:w="80" w:type="dxa"/>
              <w:right w:w="120" w:type="dxa"/>
            </w:tcMar>
            <w:vAlign w:val="center"/>
          </w:tcPr>
          <w:p w14:paraId="08EEEC05">
            <w:pPr>
              <w:spacing w:after="0" w:line="252" w:lineRule="auto"/>
              <w:jc w:val="center"/>
            </w:pPr>
            <w:r>
              <w:rPr>
                <w:rFonts w:ascii="Calibri" w:hAnsi="Calibri" w:eastAsia="Calibri" w:cs="Calibri"/>
                <w:sz w:val="18"/>
              </w:rPr>
              <w:t>第6周</w:t>
            </w:r>
          </w:p>
        </w:tc>
        <w:tc>
          <w:tcPr>
            <w:tcW w:w="3500" w:type="dxa"/>
            <w:tcMar>
              <w:top w:w="80" w:type="dxa"/>
              <w:left w:w="120" w:type="dxa"/>
              <w:bottom w:w="80" w:type="dxa"/>
              <w:right w:w="120" w:type="dxa"/>
            </w:tcMar>
            <w:vAlign w:val="center"/>
          </w:tcPr>
          <w:p w14:paraId="17C28F9B">
            <w:pPr>
              <w:spacing w:after="0" w:line="252" w:lineRule="auto"/>
              <w:jc w:val="left"/>
            </w:pPr>
            <w:r>
              <w:rPr>
                <w:rFonts w:ascii="Calibri" w:hAnsi="Calibri" w:eastAsia="Calibri" w:cs="Calibri"/>
                <w:sz w:val="18"/>
              </w:rPr>
              <w:t>18-20小时</w:t>
            </w:r>
          </w:p>
        </w:tc>
        <w:tc>
          <w:tcPr>
            <w:tcW w:w="2900" w:type="dxa"/>
            <w:tcMar>
              <w:top w:w="80" w:type="dxa"/>
              <w:left w:w="120" w:type="dxa"/>
              <w:bottom w:w="80" w:type="dxa"/>
              <w:right w:w="120" w:type="dxa"/>
            </w:tcMar>
            <w:vAlign w:val="center"/>
          </w:tcPr>
          <w:p w14:paraId="69A525EC">
            <w:pPr>
              <w:spacing w:after="0" w:line="252" w:lineRule="auto"/>
              <w:jc w:val="left"/>
            </w:pPr>
            <w:r>
              <w:rPr>
                <w:rFonts w:ascii="Calibri" w:hAnsi="Calibri" w:eastAsia="Calibri" w:cs="Calibri"/>
                <w:sz w:val="18"/>
              </w:rPr>
              <w:t>完成Introduction、Literature Review、Methods、Results、Discussion；检查引用；整理README和requirements；重复运行关键实验</w:t>
            </w:r>
          </w:p>
        </w:tc>
        <w:tc>
          <w:tcPr>
            <w:tcW w:w="1360" w:type="dxa"/>
            <w:tcMar>
              <w:top w:w="80" w:type="dxa"/>
              <w:left w:w="120" w:type="dxa"/>
              <w:bottom w:w="80" w:type="dxa"/>
              <w:right w:w="120" w:type="dxa"/>
            </w:tcMar>
            <w:vAlign w:val="center"/>
          </w:tcPr>
          <w:p w14:paraId="5F247851">
            <w:pPr>
              <w:spacing w:after="0" w:line="252" w:lineRule="auto"/>
              <w:jc w:val="left"/>
            </w:pPr>
            <w:r>
              <w:rPr>
                <w:rFonts w:ascii="Calibri" w:hAnsi="Calibri" w:eastAsia="Calibri" w:cs="Calibri"/>
                <w:sz w:val="18"/>
              </w:rPr>
              <w:t>论文初稿、可复现代码、最终图表、10分钟展示材料</w:t>
            </w:r>
          </w:p>
        </w:tc>
      </w:tr>
    </w:tbl>
    <w:p w14:paraId="7195D97D">
      <w:pPr>
        <w:spacing w:after="40"/>
      </w:pPr>
    </w:p>
    <w:p w14:paraId="6492EC33">
      <w:r>
        <w:rPr>
          <w:rFonts w:ascii="Calibri" w:hAnsi="Calibri" w:eastAsia="Calibri" w:cs="Calibri"/>
          <w:sz w:val="22"/>
        </w:rPr>
        <w:t>建议设置三个检查点：</w:t>
      </w:r>
    </w:p>
    <w:p w14:paraId="2600CC08">
      <w:pPr>
        <w:pStyle w:val="16"/>
      </w:pPr>
      <w:r>
        <w:rPr>
          <w:rFonts w:ascii="Calibri" w:hAnsi="Calibri" w:eastAsia="Calibri" w:cs="Calibri"/>
          <w:sz w:val="22"/>
        </w:rPr>
        <w:t>第2周结束：如果数据处理仍未稳定，取消Azure扩展实验。</w:t>
      </w:r>
    </w:p>
    <w:p w14:paraId="5072E5FC">
      <w:pPr>
        <w:pStyle w:val="16"/>
      </w:pPr>
      <w:r>
        <w:rPr>
          <w:rFonts w:ascii="Calibri" w:hAnsi="Calibri" w:eastAsia="Calibri" w:cs="Calibri"/>
          <w:sz w:val="22"/>
        </w:rPr>
        <w:t>第4周结束：如果LSTM不稳定，固定为单层32或64单元，不再扩大网络。</w:t>
      </w:r>
    </w:p>
    <w:p w14:paraId="6683510D">
      <w:pPr>
        <w:pStyle w:val="16"/>
      </w:pPr>
      <w:r>
        <w:rPr>
          <w:rFonts w:ascii="Calibri" w:hAnsi="Calibri" w:eastAsia="Calibri" w:cs="Calibri"/>
          <w:sz w:val="22"/>
        </w:rPr>
        <w:t>第5周结束：停止调参，保留时间完成误差解释和论文写作。</w:t>
      </w:r>
    </w:p>
    <w:p w14:paraId="1D089822">
      <w:pPr>
        <w:pStyle w:val="3"/>
      </w:pPr>
      <w:r>
        <w:rPr>
          <w:rFonts w:ascii="Calibri" w:hAnsi="Calibri" w:eastAsia="Calibri" w:cs="Calibri"/>
          <w:sz w:val="32"/>
        </w:rPr>
        <w:t>6. Introduction（约1000字，含8篇文献综述）</w:t>
      </w:r>
    </w:p>
    <w:p w14:paraId="677806BB">
      <w:pPr>
        <w:pStyle w:val="4"/>
      </w:pPr>
      <w:r>
        <w:rPr>
          <w:rFonts w:ascii="Calibri" w:hAnsi="Calibri" w:eastAsia="Calibri" w:cs="Calibri"/>
          <w:sz w:val="26"/>
        </w:rPr>
        <w:t>Introduction</w:t>
      </w:r>
    </w:p>
    <w:p w14:paraId="1FAA5152"/>
    <w:p w14:paraId="7181730D"/>
    <w:p w14:paraId="57BE3EC9"/>
    <w:p w14:paraId="42BD146E">
      <w:pPr>
        <w:rPr>
          <w:rFonts w:hint="eastAsia"/>
          <w:lang w:val="en-US" w:eastAsia="zh-CN"/>
        </w:rPr>
      </w:pPr>
      <w:r>
        <w:rPr>
          <w:rFonts w:hint="eastAsia"/>
          <w:lang w:val="en-US" w:eastAsia="zh-CN"/>
        </w:rPr>
        <w:t xml:space="preserve">Methods </w:t>
      </w:r>
    </w:p>
    <w:p w14:paraId="72872CC5">
      <w:pPr>
        <w:pStyle w:val="4"/>
        <w:keepNext w:val="0"/>
        <w:keepLines w:val="0"/>
        <w:widowControl/>
        <w:suppressLineNumbers w:val="0"/>
      </w:pPr>
      <w:r>
        <w:t>2.1 Data Sources and Description</w:t>
      </w:r>
    </w:p>
    <w:p w14:paraId="0868937B">
      <w:pPr>
        <w:pStyle w:val="30"/>
        <w:keepNext w:val="0"/>
        <w:keepLines w:val="0"/>
        <w:widowControl/>
        <w:suppressLineNumbers w:val="0"/>
      </w:pPr>
      <w:r>
        <w:t xml:space="preserve">This study primarily uses BurstGPT v2.0, an anonymized real-world LLM serving trace collected from Microsoft Azure-supported GPT-3.5 and GPT-4 services [1]. The dataset records request timestamps, model type, request tokens, response tokens, total tokens, and invocation mode. The main analysis is </w:t>
      </w:r>
      <w:bookmarkStart w:id="0" w:name="_GoBack"/>
      <w:bookmarkEnd w:id="0"/>
      <w:r>
        <w:t xml:space="preserve">conducted using </w:t>
      </w:r>
      <w:r>
        <w:rPr>
          <w:rStyle w:val="136"/>
        </w:rPr>
        <w:t>BurstGPT_without_fails_1.csv</w:t>
      </w:r>
      <w:r>
        <w:t xml:space="preserve"> and </w:t>
      </w:r>
      <w:r>
        <w:rPr>
          <w:rStyle w:val="136"/>
        </w:rPr>
        <w:t>BurstGPT_without_fails_2.csv</w:t>
      </w:r>
      <w:r>
        <w:t>, which exclude failed requests with zero response tokens. The complete traces are retained for robustness checks concerning failed requests, while BurstGPT_3 is used as an out-of-period test set. Azure LLM Inference Trace datasets are considered supplementary sources for external replication and are not merged with BurstGPT because of differences in data collection periods and variable definitions.</w:t>
      </w:r>
    </w:p>
    <w:p w14:paraId="23D063B5">
      <w:pPr>
        <w:pStyle w:val="4"/>
        <w:keepNext w:val="0"/>
        <w:keepLines w:val="0"/>
        <w:widowControl/>
        <w:suppressLineNumbers w:val="0"/>
      </w:pPr>
      <w:r>
        <w:t>2.2 Metric Selection and Description</w:t>
      </w:r>
    </w:p>
    <w:p w14:paraId="0AB0251B">
      <w:pPr>
        <w:pStyle w:val="30"/>
        <w:keepNext w:val="0"/>
        <w:keepLines w:val="0"/>
        <w:widowControl/>
        <w:suppressLineNumbers w:val="0"/>
      </w:pPr>
      <w:r>
        <w:t>The request-level records are aggregated into five-minute intervals. The total Token load in interval \(t\) is defined as:</w:t>
      </w:r>
    </w:p>
    <w:p w14:paraId="66A73D13">
      <w:pPr>
        <w:keepNext w:val="0"/>
        <w:keepLines w:val="0"/>
        <w:widowControl/>
        <w:suppressLineNumbers w:val="0"/>
        <w:jc w:val="left"/>
      </w:pPr>
      <w:r>
        <w:rPr>
          <w:rFonts w:ascii="宋体" w:hAnsi="宋体" w:eastAsia="宋体" w:cs="宋体"/>
          <w:kern w:val="0"/>
          <w:sz w:val="24"/>
          <w:szCs w:val="24"/>
          <w:lang w:val="en-US" w:eastAsia="zh-CN" w:bidi="ar"/>
        </w:rPr>
        <w:t>\[ Y_t=\sum_{i \in t} TotalTokens_i \]</w:t>
      </w:r>
    </w:p>
    <w:p w14:paraId="27E067F6">
      <w:pPr>
        <w:pStyle w:val="30"/>
        <w:keepNext w:val="0"/>
        <w:keepLines w:val="0"/>
        <w:widowControl/>
        <w:suppressLineNumbers w:val="0"/>
      </w:pPr>
      <w:r>
        <w:t>Total Token load is selected as the target variable because it jointly reflects input processing demand, output generation demand, KV-cache pressure, and overall computational requirements in LLM serving systems. It is therefore more informative than request count alone for capacity-planning purposes.</w:t>
      </w:r>
    </w:p>
    <w:p w14:paraId="053AF200">
      <w:pPr>
        <w:pStyle w:val="30"/>
        <w:keepNext w:val="0"/>
        <w:keepLines w:val="0"/>
        <w:widowControl/>
        <w:suppressLineNumbers w:val="0"/>
      </w:pPr>
      <w:r>
        <w:t>The explanatory variables include lagged Token loads, rolling mean, standard deviation, maximum value, and short-term growth rate. Temporal variables include hour of day, day of week, weekend indicators, and sine-cosine encodings to represent cyclical patterns. Request-level structural variables include request count, average request tokens, average response tokens, and the ratio of input to output tokens. Service-composition variables, such as the proportion of GPT-4 and API requests, are also included. Where available, Session ID is used to derive active-session counts and average requests per session.</w:t>
      </w:r>
    </w:p>
    <w:p w14:paraId="45FDDC2E">
      <w:pPr>
        <w:pStyle w:val="30"/>
        <w:keepNext w:val="0"/>
        <w:keepLines w:val="0"/>
        <w:widowControl/>
        <w:suppressLineNumbers w:val="0"/>
      </w:pPr>
      <w:r>
        <w:t>Forecasting accuracy is evaluated using MAE, RMSE, and sMAPE. A burst event is defined as a future Token load exceeding the 95th percentile of the training set. Burst identification is assessed using Precision, Recall, F1-score, and PR-AUC.</w:t>
      </w:r>
    </w:p>
    <w:p w14:paraId="2A5593C4">
      <w:pPr>
        <w:pStyle w:val="4"/>
        <w:keepNext w:val="0"/>
        <w:keepLines w:val="0"/>
        <w:widowControl/>
        <w:suppressLineNumbers w:val="0"/>
      </w:pPr>
      <w:r>
        <w:t>2.3 Methodology</w:t>
      </w:r>
    </w:p>
    <w:p w14:paraId="266B38E0">
      <w:pPr>
        <w:pStyle w:val="30"/>
        <w:keepNext w:val="0"/>
        <w:keepLines w:val="0"/>
        <w:widowControl/>
        <w:suppressLineNumbers w:val="0"/>
      </w:pPr>
      <w:r>
        <w:t>The methodological procedure consists of data preprocessing, feature construction, model development, and comparative evaluation. First, raw request records are sorted chronologically and examined for missing values, duplicate observations, invalid timestamps, and zero-response failures. The cleaned records are then aggregated into five-minute windows to construct the Token-load time series. All transformations, including scaling, threshold estimation, and feature selection, are fitted exclusively on the training set to prevent information leakage.</w:t>
      </w:r>
    </w:p>
    <w:p w14:paraId="1935FDB6">
      <w:pPr>
        <w:pStyle w:val="30"/>
        <w:keepNext w:val="0"/>
        <w:keepLines w:val="0"/>
        <w:widowControl/>
        <w:suppressLineNumbers w:val="0"/>
      </w:pPr>
      <w:r>
        <w:t>The data are divided chronologically into training, validation, and test sets, representing 70%, 15%, and 15% of the observations, respectively. The validation set is used for hyperparameter selection and early stopping, while the test set is reserved for final evaluation. BurstGPT_3 is not included in model development and is used only to assess cross-period robustness.</w:t>
      </w:r>
    </w:p>
    <w:p w14:paraId="33B3A121">
      <w:pPr>
        <w:pStyle w:val="30"/>
        <w:keepNext w:val="0"/>
        <w:keepLines w:val="0"/>
        <w:widowControl/>
        <w:suppressLineNumbers w:val="0"/>
      </w:pPr>
      <w:r>
        <w:t>Four forecasting approaches are compared. Persistence uses the most recent observed load as the future forecast, whereas Seasonal Naive uses the load from the corresponding interval on the previous day. These methods provide transparent baselines against which model complexity can be evaluated.</w:t>
      </w:r>
    </w:p>
    <w:p w14:paraId="47D155C4">
      <w:pPr>
        <w:pStyle w:val="30"/>
        <w:keepNext w:val="0"/>
        <w:keepLines w:val="0"/>
        <w:widowControl/>
        <w:suppressLineNumbers w:val="0"/>
      </w:pPr>
      <w:r>
        <w:t>The XGBoost model employs engineered lag, rolling, temporal, and service-composition features to capture nonlinear relationships and interactions [10]. Hyperparameters are selected using validation performance, and feature importance is examined using model-based importance scores and SHAP values. The LSTM model receives sequences of historical observations, typically covering the preceding 12 to 24 hours, and is designed to learn temporal dependencies directly from the data [11]. Dropout and early stopping are applied to reduce overfitting.</w:t>
      </w:r>
    </w:p>
    <w:p w14:paraId="22B1FCE8">
      <w:pPr>
        <w:pStyle w:val="30"/>
        <w:keepNext w:val="0"/>
        <w:keepLines w:val="0"/>
        <w:widowControl/>
        <w:suppressLineNumbers w:val="0"/>
      </w:pPr>
      <w:r>
        <w:t>Each model produces forecasts for 5-minute, 15-minute, and 60-minute horizons, with the 15-minute horizon serving as the primary task. Predicted Token loads are subsequently converted into burst labels using the training-set P95 threshold, enabling joint comparison of forecasting accuracy and burst-detection capability.</w:t>
      </w:r>
    </w:p>
    <w:p w14:paraId="6DD080B2">
      <w:pPr>
        <w:rPr>
          <w:rFonts w:hint="default"/>
          <w:lang w:val="en-US" w:eastAsia="zh-CN"/>
        </w:rPr>
      </w:pPr>
    </w:p>
    <w:p>
      <w:r>
        <w:br w:type="page"/>
      </w:r>
    </w:p>
    <w:p>
      <w:pPr>
        <w:pStyle w:val="3"/>
      </w:pPr>
      <w:r>
        <w:t>7. Results and Discussion（已完成部分：描述分析与初步模型分析）</w:t>
      </w:r>
    </w:p>
    <w:p>
      <w:pPr>
        <w:spacing w:after="120" w:line="312" w:lineRule="auto"/>
      </w:pPr>
      <w:r>
        <w:t>主实验使用 BurstGPT v2.0 的 without_fails 1、2号轨迹。两批文件依原始相对时间戳顺序连接，共得到5,188,507条成功请求，覆盖121天，并聚合为34,848个5分钟窗口，累计Token负载为21.76亿。关键字段检查未发现缺失、负Token或“输入Token＋输出Token≠总Token”的记录；随机回查三个5分钟窗口，其请求数和Token总和也与聚合表完全一致。数据不含请求唯一标识，约2.5%的整行同值记录既可能是重复写入，也可能是同秒到达且属性相同的不同请求。为避免低估高并发窗口，本文保留这些记录，并将其作为数据限制而非强行删除的对象。</w:t>
      </w:r>
    </w:p>
    <w:p>
      <w:pPr>
        <w:spacing w:after="120" w:line="312" w:lineRule="auto"/>
      </w:pPr>
      <w:r>
        <w:t>5分钟Token负载呈现显著长尾与间歇性。均值为62,428.9 Token，中位数却只有10,391.5 Token；P95、P99和最大值分别达到288,034、542,976.5和1,931,090 Token。负载变异系数为1.99，19.4%的窗口为零负载，说明仅依赖平均需求进行资源预留会同时面临闲时浪费和峰时不足。按相对日周期计算，峰、谷小时平均负载相差3.96倍；由于原始时间为相对时间戳，该结果只反映日内周期相位，不应被解释为特定时区的业务高峰。API日志占95.7%，GPT-4请求占5.8%，表明短期负载还会受请求长度和少数模型类型集中到达的影响。</w:t>
      </w:r>
    </w:p>
    <w:p>
      <w:pPr>
        <w:spacing w:after="120" w:line="312" w:lineRule="auto"/>
      </w:pPr>
      <w:r>
        <w:t>上述形态也说明总Token是一个比请求数更贴近推理资源压力、但也更复杂的预测对象。输入Token主要对应Prefill计算，输出Token与持续生成和KV Cache占用有关；同样数量的请求在Token长度改变时会形成不同的服务负载。因此，本文不把请求数解释为Token负载的替代变量，而将其视为识别短期到达规模的辅助信号。当前窗口的输入、输出Token在窗口结束后已经可见，使用它们预测下一窗口并不等同于窥视未来；这一时序边界是解释特征重要性时必须保持的前提。</w:t>
      </w:r>
    </w:p>
    <w:p>
      <w:pPr>
        <w:spacing w:after="120" w:line="312" w:lineRule="auto"/>
      </w:pPr>
      <w:r>
        <w:t>模型按时间顺序划分为70%训练、15%验证和15%测试，主任务是预测未来15分钟的Token总负载。XGBoost使用仅在预测时点可见的滞后负载、滚动统计、当前窗口请求数及输入/输出Token、相对周期和服务构成；滚动特征均向后移位，避免未来信息泄漏。比较对象为持久性基线和24小时季节朴素基线。验证集上，持久性基线MAE为24,520.6 Token/5min，低于XGBoost的26,626.1，但XGBoost仍优于季节朴素基线的53,719.9。测试期中，XGBoost的MAE为11,958.6、RMSE为39,978.7，较持久性基线的14,793.5和季节朴素基线的18,531.8分别降低19.2%和35.5%。这表明树模型在后段低负载时期能降低绝对误差，但其相对持久性基线的优势并不跨分段稳定，不能只报告最有利的测试结果。</w:t>
      </w:r>
    </w:p>
    <w:p>
      <w:pPr>
        <w:spacing w:after="120" w:line="312" w:lineRule="auto"/>
      </w:pPr>
      <w:r>
        <w:t>特征增益进一步说明了短期预测的来源：请求数的重要性为0.568，明显高于输出Token的0.117、输入Token的0.051和各类滞后、滚动特征。也就是说，已到达请求的规模比固定日周期更能说明15分钟后的总负载。然而，XGBoost测试sMAPE为1.230，高于持久性基线的0.734。MAE下降而sMAPE上升意味着模型较好地压低了大负载窗口的绝对偏差，却仍可能在大量接近零的小负载窗口产生较大的相对误差。对容量预留而言，MAE改善具有实用价值；但对低负载稳定性或按比例计费敏感的场景，不能据此认定XGBoost全面优于基线。</w:t>
      </w:r>
    </w:p>
    <w:p>
      <w:pPr>
        <w:spacing w:after="120" w:line="312" w:lineRule="auto"/>
      </w:pPr>
      <w:r>
        <w:t>突发识别结果揭示了更强的跨时段漂移。突发以训练集未来负载P95，即319,382 Token/5min定义。验证集中有155个真实突发窗口，持久性基线的F1为0.465，XGBoost的Precision、Recall和F1分别为0.411、0.148和0.218；前者表现更好，说明峰值在验证期往往具有短时延续性。测试期目标负载P95降至70,236.7，仅为训练期的约22%，真实突发窗口也仅剩14个。三种模型的F1均为0，且XGBoost没有预测出超过固定阈值的窗口。测试期最大负载仍有557,512 Token，因此问题不是没有波动，而是固定训练期阈值在整体负载下降后造成事件稀疏与阈值失配。连续负载MAE的改进尚未转化为可靠预警，连续预测模型与告警规则需要分开校准。</w:t>
      </w:r>
    </w:p>
    <w:p>
      <w:pPr>
        <w:spacing w:after="120" w:line="312" w:lineRule="auto"/>
      </w:pPr>
      <w:r>
        <w:t>指标之间的不一致具有直接的运行含义。若系统目标是控制平均GPU预留，XGBoost在测试期的MAE优势可减少常规窗口的配置误差；若系统目标是提前触发扩容，验证期中持久性基线较高的F1反而更有参考价值。测试期的零F1不能说明算法完全无效，而是说明按训练期高分位构造的事件定义已不再反映后段负载尺度。因而，后续应在不使用测试标签调参的前提下，分别比较固定阈值与滚动阈值，并以漏报、误报和提前量的业务代价决定告警规则。这一建议是基于当前分布漂移提出的验证方向，而不是已经被本实验确认的性能改进。</w:t>
      </w:r>
    </w:p>
    <w:p>
      <w:pPr>
        <w:spacing w:after="120" w:line="312" w:lineRule="auto"/>
      </w:pPr>
      <w:r>
        <w:t>综上，BurstGPT轨迹显示零负载窗口、长尾峰值、日内相位和请求结构共同塑造了LLM Token需求。当前证据支持“XGBoost对连续负载具有条件性的预测价值”，但不足以支持“XGBoost已在所有状态下优于简单基线”或“其能够可靠识别突发”的结论。本节已完成描述统计、XGBoost—基线比较和固定阈值下的突发讨论，篇幅约1,500字。LSTM因TensorFlow尚未成功安装而未运行，故本文没有虚构神经网络指标；后续必须在同一时间切分、预测窗口、训练集P95阈值和评价指标下补跑LSTM，才可完成XGBoost与LSTM的最终比较。</w:t>
      </w:r>
    </w:p>
    <w:sectPr>
      <w:footerReference r:id="rId5" w:type="default"/>
      <w:pgSz w:w="12240" w:h="15840"/>
      <w:pgMar w:top="1440" w:right="1080" w:bottom="1440" w:left="1080" w:header="708" w:footer="708"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Cambria">
    <w:panose1 w:val="02040503050406030204"/>
    <w:charset w:val="00"/>
    <w:family w:val="auto"/>
    <w:pitch w:val="default"/>
    <w:sig w:usb0="E00006FF" w:usb1="420024FF" w:usb2="02000000" w:usb3="00000000" w:csb0="2000019F" w:csb1="00000000"/>
  </w:font>
  <w:font w:name="Consolas">
    <w:panose1 w:val="020B0609020204030204"/>
    <w:charset w:val="00"/>
    <w:family w:val="auto"/>
    <w:pitch w:val="default"/>
    <w:sig w:usb0="E00006FF" w:usb1="0000FCFF" w:usb2="00000001" w:usb3="00000000" w:csb0="6000019F" w:csb1="DFD7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Symbol">
    <w:panose1 w:val="05050102010706020507"/>
    <w:charset w:val="00"/>
    <w:family w:val="auto"/>
    <w:pitch w:val="default"/>
    <w:sig w:usb0="00000000" w:usb1="00000000" w:usb2="00000000" w:usb3="00000000" w:csb0="80000000" w:csb1="00000000"/>
  </w:font>
  <w:font w:name="Courier New">
    <w:panose1 w:val="02070309020205020404"/>
    <w:charset w:val="00"/>
    <w:family w:val="auto"/>
    <w:pitch w:val="default"/>
    <w:sig w:usb0="E0002E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A4D9710">
    <w:pPr>
      <w:pStyle w:val="24"/>
      <w:spacing w:before="0" w:after="0"/>
      <w:jc w:val="right"/>
    </w:pPr>
    <w:r>
      <w:rPr>
        <w:rFonts w:ascii="Calibri" w:hAnsi="Calibri" w:eastAsia="Calibri" w:cs="Calibri"/>
        <w:color w:val="555555"/>
        <w:sz w:val="17"/>
      </w:rPr>
      <w:t xml:space="preserve">LLM Token Load Forecasting Research Plan | </w:t>
    </w:r>
    <w:r>
      <w:fldChar w:fldCharType="begin"/>
    </w:r>
    <w:r>
      <w:instrText xml:space="preserve"> PAGE </w:instrText>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20" w:lineRule="auto"/>
      </w:pPr>
      <w:r>
        <w:separator/>
      </w:r>
    </w:p>
  </w:footnote>
  <w:footnote w:type="continuationSeparator" w:id="1">
    <w:p>
      <w:pPr>
        <w:spacing w:before="0" w:after="0" w:line="32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8"/>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59C21527"/>
    <w:rsid w:val="763D126F"/>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unhideWhenUsed="0" w:uiPriority="72" w:semiHidden="0" w:name="Colorful List"/>
    <w:lsdException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160" w:line="320" w:lineRule="auto"/>
      <w:jc w:val="both"/>
    </w:pPr>
    <w:rPr>
      <w:rFonts w:ascii="Calibri" w:hAnsi="Calibri" w:eastAsia="微软雅黑" w:cstheme="minorBidi"/>
      <w:sz w:val="22"/>
      <w:szCs w:val="22"/>
      <w:lang w:val="en-US" w:eastAsia="en-US" w:bidi="ar-SA"/>
    </w:rPr>
  </w:style>
  <w:style w:type="paragraph" w:styleId="3">
    <w:name w:val="heading 1"/>
    <w:basedOn w:val="1"/>
    <w:next w:val="1"/>
    <w:link w:val="140"/>
    <w:qFormat/>
    <w:uiPriority w:val="9"/>
    <w:pPr>
      <w:keepNext/>
      <w:keepLines/>
      <w:spacing w:before="360" w:after="200" w:line="276" w:lineRule="auto"/>
      <w:outlineLvl w:val="0"/>
    </w:pPr>
    <w:rPr>
      <w:rFonts w:asciiTheme="majorHAnsi" w:hAnsiTheme="majorHAnsi" w:eastAsiaTheme="majorEastAsia" w:cstheme="majorBidi"/>
      <w:b/>
      <w:bCs/>
      <w:color w:val="2E74B5"/>
      <w:sz w:val="32"/>
      <w:szCs w:val="28"/>
    </w:rPr>
  </w:style>
  <w:style w:type="paragraph" w:styleId="4">
    <w:name w:val="heading 2"/>
    <w:basedOn w:val="1"/>
    <w:next w:val="1"/>
    <w:link w:val="141"/>
    <w:unhideWhenUsed/>
    <w:qFormat/>
    <w:uiPriority w:val="9"/>
    <w:pPr>
      <w:keepNext/>
      <w:keepLines/>
      <w:spacing w:before="240" w:after="120" w:line="276" w:lineRule="auto"/>
      <w:outlineLvl w:val="1"/>
    </w:pPr>
    <w:rPr>
      <w:rFonts w:asciiTheme="majorHAnsi" w:hAnsiTheme="majorHAnsi" w:eastAsiaTheme="majorEastAsia" w:cstheme="majorBidi"/>
      <w:b/>
      <w:bCs/>
      <w:color w:val="2E74B5"/>
      <w:sz w:val="26"/>
      <w:szCs w:val="26"/>
    </w:rPr>
  </w:style>
  <w:style w:type="paragraph" w:styleId="5">
    <w:name w:val="heading 3"/>
    <w:basedOn w:val="1"/>
    <w:next w:val="1"/>
    <w:link w:val="142"/>
    <w:unhideWhenUsed/>
    <w:qFormat/>
    <w:uiPriority w:val="9"/>
    <w:pPr>
      <w:keepNext/>
      <w:keepLines/>
      <w:spacing w:before="160" w:after="80" w:line="276" w:lineRule="auto"/>
      <w:outlineLvl w:val="2"/>
    </w:pPr>
    <w:rPr>
      <w:rFonts w:asciiTheme="majorHAnsi" w:hAnsiTheme="majorHAnsi" w:eastAsiaTheme="majorEastAsia" w:cstheme="majorBidi"/>
      <w:b/>
      <w:bCs/>
      <w:color w:val="1F4D78"/>
      <w:sz w:val="24"/>
    </w:rPr>
  </w:style>
  <w:style w:type="paragraph" w:styleId="6">
    <w:name w:val="heading 4"/>
    <w:basedOn w:val="1"/>
    <w:next w:val="1"/>
    <w:link w:val="152"/>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3"/>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4"/>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5"/>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6"/>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7"/>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3">
    <w:name w:val="Default Paragraph Font"/>
    <w:semiHidden/>
    <w:unhideWhenUsed/>
    <w:qFormat/>
    <w:uiPriority w:val="1"/>
  </w:style>
  <w:style w:type="table" w:default="1" w:styleId="33">
    <w:name w:val="Normal Table"/>
    <w:semiHidden/>
    <w:unhideWhenUsed/>
    <w:qFormat/>
    <w:uiPriority w:val="99"/>
    <w:tblPr>
      <w:tblCellMar>
        <w:top w:w="0" w:type="dxa"/>
        <w:left w:w="108" w:type="dxa"/>
        <w:bottom w:w="0" w:type="dxa"/>
        <w:right w:w="108" w:type="dxa"/>
      </w:tblCellMar>
    </w:tblPr>
  </w:style>
  <w:style w:type="paragraph" w:styleId="2">
    <w:name w:val="macro"/>
    <w:link w:val="149"/>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spacing w:after="80" w:line="290" w:lineRule="auto"/>
      <w:contextualSpacing/>
    </w:pPr>
    <w:rPr>
      <w:rFonts w:ascii="Calibri" w:hAnsi="Calibri" w:eastAsia="微软雅黑"/>
      <w:sz w:val="22"/>
    </w:r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spacing w:after="80" w:line="290" w:lineRule="auto"/>
      <w:contextualSpacing/>
    </w:pPr>
    <w:rPr>
      <w:rFonts w:ascii="Calibri" w:hAnsi="Calibri" w:eastAsia="微软雅黑"/>
      <w:sz w:val="22"/>
    </w:rPr>
  </w:style>
  <w:style w:type="paragraph" w:styleId="17">
    <w:name w:val="Body Text 3"/>
    <w:basedOn w:val="1"/>
    <w:link w:val="148"/>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6"/>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8"/>
    <w:unhideWhenUsed/>
    <w:qFormat/>
    <w:uiPriority w:val="99"/>
    <w:pPr>
      <w:tabs>
        <w:tab w:val="center" w:pos="4680"/>
        <w:tab w:val="right" w:pos="9360"/>
      </w:tabs>
      <w:spacing w:after="0" w:line="240" w:lineRule="auto"/>
    </w:pPr>
  </w:style>
  <w:style w:type="paragraph" w:styleId="25">
    <w:name w:val="header"/>
    <w:basedOn w:val="1"/>
    <w:link w:val="137"/>
    <w:unhideWhenUsed/>
    <w:qFormat/>
    <w:uiPriority w:val="99"/>
    <w:pPr>
      <w:tabs>
        <w:tab w:val="center" w:pos="4680"/>
        <w:tab w:val="right" w:pos="9360"/>
      </w:tabs>
      <w:spacing w:after="0" w:line="240" w:lineRule="auto"/>
    </w:pPr>
  </w:style>
  <w:style w:type="paragraph" w:styleId="26">
    <w:name w:val="Subtitle"/>
    <w:basedOn w:val="1"/>
    <w:next w:val="1"/>
    <w:link w:val="14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Body Text 2"/>
    <w:basedOn w:val="1"/>
    <w:link w:val="147"/>
    <w:unhideWhenUsed/>
    <w:qFormat/>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Normal (Web)"/>
    <w:basedOn w:val="1"/>
    <w:semiHidden/>
    <w:unhideWhenUsed/>
    <w:uiPriority w:val="99"/>
    <w:pPr>
      <w:spacing w:before="0" w:beforeAutospacing="1" w:after="0" w:afterAutospacing="1"/>
      <w:ind w:left="0" w:right="0"/>
      <w:jc w:val="left"/>
    </w:pPr>
    <w:rPr>
      <w:kern w:val="0"/>
      <w:sz w:val="24"/>
      <w:lang w:val="en-US" w:eastAsia="zh-CN" w:bidi="ar"/>
    </w:rPr>
  </w:style>
  <w:style w:type="paragraph" w:styleId="31">
    <w:name w:val="List Continue 3"/>
    <w:basedOn w:val="1"/>
    <w:unhideWhenUsed/>
    <w:qFormat/>
    <w:uiPriority w:val="99"/>
    <w:pPr>
      <w:spacing w:after="120"/>
      <w:ind w:left="1080"/>
      <w:contextualSpacing/>
    </w:pPr>
  </w:style>
  <w:style w:type="paragraph" w:styleId="32">
    <w:name w:val="Title"/>
    <w:basedOn w:val="1"/>
    <w:next w:val="1"/>
    <w:link w:val="143"/>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4">
    <w:name w:val="Table Grid"/>
    <w:basedOn w:val="33"/>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5">
    <w:name w:val="Light Shading"/>
    <w:basedOn w:val="33"/>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6">
    <w:name w:val="Light Shading Accent 1"/>
    <w:basedOn w:val="33"/>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7">
    <w:name w:val="Light Shading Accent 2"/>
    <w:basedOn w:val="33"/>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8">
    <w:name w:val="Light Shading Accent 3"/>
    <w:basedOn w:val="33"/>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9">
    <w:name w:val="Light Shading Accent 4"/>
    <w:basedOn w:val="33"/>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0">
    <w:name w:val="Light Shading Accent 5"/>
    <w:basedOn w:val="33"/>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1">
    <w:name w:val="Light Shading Accent 6"/>
    <w:basedOn w:val="33"/>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2">
    <w:name w:val="Light List"/>
    <w:basedOn w:val="33"/>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3">
    <w:name w:val="Light List Accent 1"/>
    <w:basedOn w:val="33"/>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4">
    <w:name w:val="Light List Accent 2"/>
    <w:basedOn w:val="33"/>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5">
    <w:name w:val="Light List Accent 3"/>
    <w:basedOn w:val="33"/>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6">
    <w:name w:val="Light List Accent 4"/>
    <w:basedOn w:val="33"/>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7">
    <w:name w:val="Light List Accent 5"/>
    <w:basedOn w:val="33"/>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8">
    <w:name w:val="Light List Accent 6"/>
    <w:basedOn w:val="33"/>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9">
    <w:name w:val="Light Grid"/>
    <w:basedOn w:val="33"/>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0">
    <w:name w:val="Light Grid Accent 1"/>
    <w:basedOn w:val="33"/>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1">
    <w:name w:val="Light Grid Accent 2"/>
    <w:basedOn w:val="33"/>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2">
    <w:name w:val="Light Grid Accent 3"/>
    <w:basedOn w:val="33"/>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3">
    <w:name w:val="Light Grid Accent 4"/>
    <w:basedOn w:val="33"/>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4">
    <w:name w:val="Light Grid Accent 5"/>
    <w:basedOn w:val="33"/>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5">
    <w:name w:val="Light Grid Accent 6"/>
    <w:basedOn w:val="33"/>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6">
    <w:name w:val="Medium Shading 1"/>
    <w:basedOn w:val="33"/>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7">
    <w:name w:val="Medium Shading 1 Accent 1"/>
    <w:basedOn w:val="33"/>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8">
    <w:name w:val="Medium Shading 1 Accent 2"/>
    <w:basedOn w:val="33"/>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9">
    <w:name w:val="Medium Shading 1 Accent 3"/>
    <w:basedOn w:val="33"/>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0">
    <w:name w:val="Medium Shading 1 Accent 4"/>
    <w:basedOn w:val="33"/>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1">
    <w:name w:val="Medium Shading 1 Accent 5"/>
    <w:basedOn w:val="33"/>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2">
    <w:name w:val="Medium Shading 1 Accent 6"/>
    <w:basedOn w:val="33"/>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3">
    <w:name w:val="Medium Shading 2"/>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1"/>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2"/>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3"/>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4"/>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5"/>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6"/>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List 1"/>
    <w:basedOn w:val="33"/>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1">
    <w:name w:val="Medium List 1 Accent 1"/>
    <w:basedOn w:val="33"/>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2">
    <w:name w:val="Medium List 1 Accent 2"/>
    <w:basedOn w:val="33"/>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3">
    <w:name w:val="Medium List 1 Accent 3"/>
    <w:basedOn w:val="33"/>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4">
    <w:name w:val="Medium List 1 Accent 4"/>
    <w:basedOn w:val="33"/>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5">
    <w:name w:val="Medium List 1 Accent 5"/>
    <w:basedOn w:val="33"/>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6">
    <w:name w:val="Medium List 1 Accent 6"/>
    <w:basedOn w:val="33"/>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7">
    <w:name w:val="Medium List 2"/>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1"/>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2"/>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3"/>
    <w:basedOn w:val="33"/>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4"/>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5"/>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6"/>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Grid 1"/>
    <w:basedOn w:val="33"/>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5">
    <w:name w:val="Medium Grid 1 Accent 1"/>
    <w:basedOn w:val="33"/>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6">
    <w:name w:val="Medium Grid 1 Accent 2"/>
    <w:basedOn w:val="33"/>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7">
    <w:name w:val="Medium Grid 1 Accent 3"/>
    <w:basedOn w:val="33"/>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8">
    <w:name w:val="Medium Grid 1 Accent 4"/>
    <w:basedOn w:val="33"/>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9">
    <w:name w:val="Medium Grid 1 Accent 5"/>
    <w:basedOn w:val="33"/>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0">
    <w:name w:val="Medium Grid 1 Accent 6"/>
    <w:basedOn w:val="33"/>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1">
    <w:name w:val="Medium Grid 2"/>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2">
    <w:name w:val="Medium Grid 2 Accent 1"/>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3">
    <w:name w:val="Medium Grid 2 Accent 2"/>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4">
    <w:name w:val="Medium Grid 2 Accent 3"/>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5">
    <w:name w:val="Medium Grid 2 Accent 4"/>
    <w:basedOn w:val="33"/>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6">
    <w:name w:val="Medium Grid 2 Accent 5"/>
    <w:basedOn w:val="33"/>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7">
    <w:name w:val="Medium Grid 2 Accent 6"/>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8">
    <w:name w:val="Medium Grid 3"/>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9">
    <w:name w:val="Medium Grid 3 Accent 1"/>
    <w:basedOn w:val="33"/>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0">
    <w:name w:val="Medium Grid 3 Accent 2"/>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1">
    <w:name w:val="Medium Grid 3 Accent 3"/>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2">
    <w:name w:val="Medium Grid 3 Accent 4"/>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3">
    <w:name w:val="Medium Grid 3 Accent 5"/>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4">
    <w:name w:val="Medium Grid 3 Accent 6"/>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5">
    <w:name w:val="Dark List"/>
    <w:basedOn w:val="33"/>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6">
    <w:name w:val="Dark List Accent 1"/>
    <w:basedOn w:val="33"/>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7">
    <w:name w:val="Dark List Accent 2"/>
    <w:basedOn w:val="33"/>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8">
    <w:name w:val="Dark List Accent 3"/>
    <w:basedOn w:val="33"/>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9">
    <w:name w:val="Dark List Accent 4"/>
    <w:basedOn w:val="33"/>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0">
    <w:name w:val="Dark List Accent 5"/>
    <w:basedOn w:val="33"/>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1">
    <w:name w:val="Dark List Accent 6"/>
    <w:basedOn w:val="33"/>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2">
    <w:name w:val="Colorful Shading"/>
    <w:basedOn w:val="33"/>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1"/>
    <w:basedOn w:val="33"/>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2"/>
    <w:basedOn w:val="33"/>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3"/>
    <w:basedOn w:val="33"/>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6">
    <w:name w:val="Colorful Shading Accent 4"/>
    <w:basedOn w:val="33"/>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5"/>
    <w:basedOn w:val="33"/>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6"/>
    <w:basedOn w:val="33"/>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List"/>
    <w:basedOn w:val="33"/>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0">
    <w:name w:val="Colorful List Accent 1"/>
    <w:basedOn w:val="33"/>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1">
    <w:name w:val="Colorful List Accent 2"/>
    <w:basedOn w:val="33"/>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2">
    <w:name w:val="Colorful List Accent 3"/>
    <w:basedOn w:val="33"/>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3">
    <w:name w:val="Colorful List Accent 4"/>
    <w:basedOn w:val="33"/>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4">
    <w:name w:val="Colorful List Accent 5"/>
    <w:basedOn w:val="33"/>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5">
    <w:name w:val="Colorful List Accent 6"/>
    <w:basedOn w:val="33"/>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6">
    <w:name w:val="Colorful Grid"/>
    <w:basedOn w:val="33"/>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7">
    <w:name w:val="Colorful Grid Accent 1"/>
    <w:basedOn w:val="33"/>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8">
    <w:name w:val="Colorful Grid Accent 2"/>
    <w:basedOn w:val="33"/>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9">
    <w:name w:val="Colorful Grid Accent 3"/>
    <w:basedOn w:val="33"/>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0">
    <w:name w:val="Colorful Grid Accent 4"/>
    <w:basedOn w:val="33"/>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1">
    <w:name w:val="Colorful Grid Accent 5"/>
    <w:basedOn w:val="33"/>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2">
    <w:name w:val="Colorful Grid Accent 6"/>
    <w:basedOn w:val="33"/>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4">
    <w:name w:val="Strong"/>
    <w:basedOn w:val="133"/>
    <w:qFormat/>
    <w:uiPriority w:val="22"/>
    <w:rPr>
      <w:b/>
      <w:bCs/>
    </w:rPr>
  </w:style>
  <w:style w:type="character" w:styleId="135">
    <w:name w:val="Emphasis"/>
    <w:basedOn w:val="133"/>
    <w:qFormat/>
    <w:uiPriority w:val="20"/>
    <w:rPr>
      <w:i/>
      <w:iCs/>
    </w:rPr>
  </w:style>
  <w:style w:type="character" w:styleId="136">
    <w:name w:val="HTML Code"/>
    <w:basedOn w:val="133"/>
    <w:semiHidden/>
    <w:unhideWhenUsed/>
    <w:uiPriority w:val="99"/>
    <w:rPr>
      <w:rFonts w:ascii="Courier New" w:hAnsi="Courier New"/>
      <w:sz w:val="20"/>
    </w:rPr>
  </w:style>
  <w:style w:type="character" w:customStyle="1" w:styleId="137">
    <w:name w:val="Header Char"/>
    <w:basedOn w:val="133"/>
    <w:link w:val="25"/>
    <w:qFormat/>
    <w:uiPriority w:val="99"/>
  </w:style>
  <w:style w:type="character" w:customStyle="1" w:styleId="138">
    <w:name w:val="Footer Char"/>
    <w:basedOn w:val="133"/>
    <w:link w:val="24"/>
    <w:qFormat/>
    <w:uiPriority w:val="99"/>
  </w:style>
  <w:style w:type="paragraph" w:styleId="139">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40">
    <w:name w:val="Heading 1 Char"/>
    <w:basedOn w:val="133"/>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41">
    <w:name w:val="Heading 2 Char"/>
    <w:basedOn w:val="133"/>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2">
    <w:name w:val="Heading 3 Char"/>
    <w:basedOn w:val="133"/>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3">
    <w:name w:val="Title Char"/>
    <w:basedOn w:val="133"/>
    <w:link w:val="32"/>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4">
    <w:name w:val="Subtitle Char"/>
    <w:basedOn w:val="133"/>
    <w:link w:val="2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5">
    <w:name w:val="List Paragraph"/>
    <w:basedOn w:val="1"/>
    <w:qFormat/>
    <w:uiPriority w:val="34"/>
    <w:pPr>
      <w:ind w:left="720"/>
      <w:contextualSpacing/>
    </w:pPr>
  </w:style>
  <w:style w:type="character" w:customStyle="1" w:styleId="146">
    <w:name w:val="Body Text Char"/>
    <w:basedOn w:val="133"/>
    <w:link w:val="19"/>
    <w:qFormat/>
    <w:uiPriority w:val="99"/>
  </w:style>
  <w:style w:type="character" w:customStyle="1" w:styleId="147">
    <w:name w:val="Body Text 2 Char"/>
    <w:basedOn w:val="133"/>
    <w:link w:val="28"/>
    <w:qFormat/>
    <w:uiPriority w:val="99"/>
  </w:style>
  <w:style w:type="character" w:customStyle="1" w:styleId="148">
    <w:name w:val="Body Text 3 Char"/>
    <w:basedOn w:val="133"/>
    <w:link w:val="17"/>
    <w:qFormat/>
    <w:uiPriority w:val="99"/>
    <w:rPr>
      <w:sz w:val="16"/>
      <w:szCs w:val="16"/>
    </w:rPr>
  </w:style>
  <w:style w:type="character" w:customStyle="1" w:styleId="149">
    <w:name w:val="Macro Text Char"/>
    <w:basedOn w:val="133"/>
    <w:link w:val="2"/>
    <w:qFormat/>
    <w:uiPriority w:val="99"/>
    <w:rPr>
      <w:rFonts w:ascii="Courier" w:hAnsi="Courier"/>
      <w:sz w:val="20"/>
      <w:szCs w:val="20"/>
    </w:rPr>
  </w:style>
  <w:style w:type="paragraph" w:styleId="150">
    <w:name w:val="Quote"/>
    <w:basedOn w:val="1"/>
    <w:next w:val="1"/>
    <w:link w:val="151"/>
    <w:qFormat/>
    <w:uiPriority w:val="29"/>
    <w:rPr>
      <w:i/>
      <w:iCs/>
      <w:color w:val="000000" w:themeColor="text1"/>
      <w14:textFill>
        <w14:solidFill>
          <w14:schemeClr w14:val="tx1"/>
        </w14:solidFill>
      </w14:textFill>
    </w:rPr>
  </w:style>
  <w:style w:type="character" w:customStyle="1" w:styleId="151">
    <w:name w:val="Quote Char"/>
    <w:basedOn w:val="133"/>
    <w:link w:val="150"/>
    <w:qFormat/>
    <w:uiPriority w:val="29"/>
    <w:rPr>
      <w:i/>
      <w:iCs/>
      <w:color w:val="000000" w:themeColor="text1"/>
      <w14:textFill>
        <w14:solidFill>
          <w14:schemeClr w14:val="tx1"/>
        </w14:solidFill>
      </w14:textFill>
    </w:rPr>
  </w:style>
  <w:style w:type="character" w:customStyle="1" w:styleId="152">
    <w:name w:val="Heading 4 Char"/>
    <w:basedOn w:val="133"/>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3">
    <w:name w:val="Heading 5 Char"/>
    <w:basedOn w:val="133"/>
    <w:link w:val="7"/>
    <w:semiHidden/>
    <w:qFormat/>
    <w:uiPriority w:val="9"/>
    <w:rPr>
      <w:rFonts w:asciiTheme="majorHAnsi" w:hAnsiTheme="majorHAnsi" w:eastAsiaTheme="majorEastAsia" w:cstheme="majorBidi"/>
      <w:color w:val="254061" w:themeColor="accent1" w:themeShade="80"/>
    </w:rPr>
  </w:style>
  <w:style w:type="character" w:customStyle="1" w:styleId="154">
    <w:name w:val="Heading 6 Char"/>
    <w:basedOn w:val="133"/>
    <w:link w:val="8"/>
    <w:semiHidden/>
    <w:qFormat/>
    <w:uiPriority w:val="9"/>
    <w:rPr>
      <w:rFonts w:asciiTheme="majorHAnsi" w:hAnsiTheme="majorHAnsi" w:eastAsiaTheme="majorEastAsia" w:cstheme="majorBidi"/>
      <w:i/>
      <w:iCs/>
      <w:color w:val="254061" w:themeColor="accent1" w:themeShade="80"/>
    </w:rPr>
  </w:style>
  <w:style w:type="character" w:customStyle="1" w:styleId="155">
    <w:name w:val="Heading 7 Char"/>
    <w:basedOn w:val="133"/>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6">
    <w:name w:val="Heading 8 Char"/>
    <w:basedOn w:val="133"/>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7">
    <w:name w:val="Heading 9 Char"/>
    <w:basedOn w:val="133"/>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8">
    <w:name w:val="Intense Quote"/>
    <w:basedOn w:val="1"/>
    <w:next w:val="1"/>
    <w:link w:val="159"/>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9">
    <w:name w:val="Intense Quote Char"/>
    <w:basedOn w:val="133"/>
    <w:link w:val="158"/>
    <w:qFormat/>
    <w:uiPriority w:val="30"/>
    <w:rPr>
      <w:b/>
      <w:bCs/>
      <w:i/>
      <w:iCs/>
      <w:color w:val="4F81BD" w:themeColor="accent1"/>
      <w14:textFill>
        <w14:solidFill>
          <w14:schemeClr w14:val="accent1"/>
        </w14:solidFill>
      </w14:textFill>
    </w:rPr>
  </w:style>
  <w:style w:type="character" w:customStyle="1" w:styleId="160">
    <w:name w:val="Subtle Emphasis"/>
    <w:basedOn w:val="133"/>
    <w:qFormat/>
    <w:uiPriority w:val="19"/>
    <w:rPr>
      <w:i/>
      <w:iCs/>
      <w:color w:val="808080" w:themeColor="text1" w:themeTint="80"/>
      <w14:textFill>
        <w14:solidFill>
          <w14:schemeClr w14:val="tx1">
            <w14:lumMod w14:val="50000"/>
            <w14:lumOff w14:val="50000"/>
          </w14:schemeClr>
        </w14:solidFill>
      </w14:textFill>
    </w:rPr>
  </w:style>
  <w:style w:type="character" w:customStyle="1" w:styleId="161">
    <w:name w:val="Intense Emphasis"/>
    <w:basedOn w:val="133"/>
    <w:qFormat/>
    <w:uiPriority w:val="21"/>
    <w:rPr>
      <w:b/>
      <w:bCs/>
      <w:i/>
      <w:iCs/>
      <w:color w:val="4F81BD" w:themeColor="accent1"/>
      <w14:textFill>
        <w14:solidFill>
          <w14:schemeClr w14:val="accent1"/>
        </w14:solidFill>
      </w14:textFill>
    </w:rPr>
  </w:style>
  <w:style w:type="character" w:customStyle="1" w:styleId="162">
    <w:name w:val="Subtle Reference"/>
    <w:basedOn w:val="133"/>
    <w:qFormat/>
    <w:uiPriority w:val="31"/>
    <w:rPr>
      <w:smallCaps/>
      <w:color w:val="C0504D" w:themeColor="accent2"/>
      <w:u w:val="single"/>
      <w14:textFill>
        <w14:solidFill>
          <w14:schemeClr w14:val="accent2"/>
        </w14:solidFill>
      </w14:textFill>
    </w:rPr>
  </w:style>
  <w:style w:type="character" w:customStyle="1" w:styleId="163">
    <w:name w:val="Intense Reference"/>
    <w:basedOn w:val="133"/>
    <w:qFormat/>
    <w:uiPriority w:val="32"/>
    <w:rPr>
      <w:b/>
      <w:bCs/>
      <w:smallCaps/>
      <w:color w:val="C0504D" w:themeColor="accent2"/>
      <w:spacing w:val="5"/>
      <w:u w:val="single"/>
      <w14:textFill>
        <w14:solidFill>
          <w14:schemeClr w14:val="accent2"/>
        </w14:solidFill>
      </w14:textFill>
    </w:rPr>
  </w:style>
  <w:style w:type="character" w:customStyle="1" w:styleId="164">
    <w:name w:val="Book Title"/>
    <w:basedOn w:val="133"/>
    <w:qFormat/>
    <w:uiPriority w:val="33"/>
    <w:rPr>
      <w:b/>
      <w:bCs/>
      <w:smallCaps/>
      <w:spacing w:val="5"/>
    </w:rPr>
  </w:style>
  <w:style w:type="paragraph" w:customStyle="1" w:styleId="165">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9</Pages>
  <Words>2071</Words>
  <Characters>4416</Characters>
  <Lines>0</Lines>
  <Paragraphs>0</Paragraphs>
  <TotalTime>130</TotalTime>
  <ScaleCrop>false</ScaleCrop>
  <LinksUpToDate>false</LinksUpToDate>
  <CharactersWithSpaces>4720</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清萧</dc:creator>
  <dc:description>Research planning document</dc:description>
  <cp:lastModifiedBy>清萧</cp:lastModifiedBy>
  <dcterms:modified xsi:type="dcterms:W3CDTF">2026-07-20T21:54:58Z</dcterms:modified>
  <dc:subject>基于BurstGPT真实轨迹的XGBoost与LSTM比较</dc:subject>
  <dc:title>真实LLM服务的Token负载预测与突发流量识别</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eyJoZGlkIjoiZWZmZjgwMzEwM2JjMTNmOTQ1ZTNjZTNkOTI1YzY1ODUiLCJ1c2VySWQiOiI1NTg2OTQwNjIifQ==</vt:lpwstr>
  </property>
  <property fmtid="{D5CDD505-2E9C-101B-9397-08002B2CF9AE}" pid="3" name="KSOProductBuildVer">
    <vt:lpwstr>2052-12.1.0.26895</vt:lpwstr>
  </property>
  <property fmtid="{D5CDD505-2E9C-101B-9397-08002B2CF9AE}" pid="4" name="ICV">
    <vt:lpwstr>92AB66CD17054E98833471C03D19B7F4_12</vt:lpwstr>
  </property>
</Properties>
</file>