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EF2EF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</w:p>
    <w:p w14:paraId="23191C44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7EF4755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技术选型文档</w:t>
      </w:r>
    </w:p>
    <w:p w14:paraId="29516319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4DF9F3BA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728DE117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708A9D2E">
      <w:pPr>
        <w:pStyle w:val="13"/>
        <w:rPr>
          <w:rFonts w:hint="eastAsia" w:ascii="微软雅黑" w:hAnsi="微软雅黑" w:eastAsia="微软雅黑" w:cs="微软雅黑"/>
          <w:b/>
          <w:bCs/>
          <w:sz w:val="112"/>
          <w:szCs w:val="72"/>
          <w:lang w:val="en-US" w:eastAsia="zh-CN"/>
        </w:rPr>
      </w:pPr>
    </w:p>
    <w:p w14:paraId="38249E09">
      <w:pPr>
        <w:pStyle w:val="1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C8B8">
      <w:pPr>
        <w:pStyle w:val="13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2B034A88">
      <w:pPr>
        <w:pStyle w:val="13"/>
        <w:spacing w:before="156" w:beforeLines="50"/>
        <w:rPr>
          <w:rFonts w:hint="eastAsia"/>
        </w:rPr>
      </w:pPr>
    </w:p>
    <w:p w14:paraId="4D18177D">
      <w:pPr>
        <w:pStyle w:val="15"/>
        <w:spacing w:after="156" w:line="240" w:lineRule="auto"/>
        <w:rPr>
          <w:rFonts w:hint="eastAsia"/>
          <w:b w:val="0"/>
          <w:sz w:val="30"/>
          <w:szCs w:val="30"/>
        </w:rPr>
      </w:pPr>
      <w:r>
        <w:rPr>
          <w:rFonts w:hint="eastAsia"/>
          <w:b w:val="0"/>
          <w:sz w:val="30"/>
          <w:szCs w:val="30"/>
        </w:rPr>
        <w:t>20</w:t>
      </w:r>
      <w:r>
        <w:rPr>
          <w:b w:val="0"/>
          <w:sz w:val="30"/>
          <w:szCs w:val="30"/>
        </w:rPr>
        <w:t>2</w:t>
      </w:r>
      <w:r>
        <w:rPr>
          <w:rFonts w:hint="eastAsia"/>
          <w:b w:val="0"/>
          <w:sz w:val="30"/>
          <w:szCs w:val="30"/>
          <w:lang w:val="en-US" w:eastAsia="zh-CN"/>
        </w:rPr>
        <w:t>5</w:t>
      </w:r>
      <w:r>
        <w:rPr>
          <w:rFonts w:hint="eastAsia"/>
          <w:b w:val="0"/>
          <w:sz w:val="30"/>
          <w:szCs w:val="30"/>
        </w:rPr>
        <w:t>年</w:t>
      </w:r>
      <w:r>
        <w:rPr>
          <w:rFonts w:hint="eastAsia"/>
          <w:b w:val="0"/>
          <w:sz w:val="30"/>
          <w:szCs w:val="30"/>
          <w:lang w:val="en-US" w:eastAsia="zh-CN"/>
        </w:rPr>
        <w:t>12</w:t>
      </w:r>
      <w:r>
        <w:rPr>
          <w:rFonts w:hint="eastAsia"/>
          <w:b w:val="0"/>
          <w:sz w:val="30"/>
          <w:szCs w:val="30"/>
        </w:rPr>
        <w:t>月</w:t>
      </w:r>
    </w:p>
    <w:p w14:paraId="59DF8D7A">
      <w:pPr>
        <w:pStyle w:val="13"/>
        <w:spacing w:before="156" w:beforeLines="50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p w14:paraId="6180CA2B">
      <w:pPr>
        <w:spacing w:before="156" w:beforeLines="50" w:after="156" w:line="240" w:lineRule="auto"/>
        <w:jc w:val="left"/>
        <w:rPr>
          <w:rFonts w:hint="eastAsia"/>
          <w:sz w:val="30"/>
          <w:szCs w:val="30"/>
        </w:rPr>
        <w:sectPr>
          <w:type w:val="continuous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616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B2826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36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36"/>
            </w:rPr>
            <w:t>录</w:t>
          </w:r>
        </w:p>
        <w:p w14:paraId="309A0ABF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_Toc1579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>1. 前言</w:t>
          </w:r>
          <w:r>
            <w:tab/>
          </w:r>
          <w:r>
            <w:fldChar w:fldCharType="begin"/>
          </w:r>
          <w:r>
            <w:instrText xml:space="preserve"> PAGEREF _Toc1579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6D1F2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_Toc14837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1.1. 编写目的</w:t>
          </w:r>
          <w:r>
            <w:tab/>
          </w:r>
          <w:r>
            <w:fldChar w:fldCharType="begin"/>
          </w:r>
          <w:r>
            <w:instrText xml:space="preserve"> PAGEREF _Toc14837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537E40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_Toc10084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_Toc10084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29863F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_Toc16486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1.3. 文档负责单位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AF1355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_Toc7779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1.4. 术语和符号说明</w:t>
          </w:r>
          <w:r>
            <w:tab/>
          </w:r>
          <w:r>
            <w:fldChar w:fldCharType="begin"/>
          </w:r>
          <w:r>
            <w:instrText xml:space="preserve"> PAGEREF _Toc7779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C0C3FF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_Toc25230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val="en-US" w:eastAsia="zh-CN" w:bidi="ar-SA"/>
            </w:rPr>
            <w:t>2. 技术选型原则</w:t>
          </w:r>
          <w:r>
            <w:tab/>
          </w:r>
          <w:r>
            <w:fldChar w:fldCharType="begin"/>
          </w:r>
          <w:r>
            <w:instrText xml:space="preserve"> PAGEREF _Toc25230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EFE13FF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_Toc12310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val="en-US" w:eastAsia="zh-CN" w:bidi="ar-SA"/>
            </w:rPr>
            <w:t>3. 核心技术栈选型</w:t>
          </w:r>
          <w:r>
            <w:tab/>
          </w:r>
          <w:r>
            <w:fldChar w:fldCharType="begin"/>
          </w:r>
          <w:r>
            <w:instrText xml:space="preserve"> PAGEREF _Toc12310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5A42F59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_Toc7189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3.1. 前端技术栈</w:t>
          </w:r>
          <w:r>
            <w:tab/>
          </w:r>
          <w:r>
            <w:fldChar w:fldCharType="begin"/>
          </w:r>
          <w:r>
            <w:instrText xml:space="preserve"> PAGEREF _Toc7189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722405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_Toc12871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3.2. 后端技术栈</w:t>
          </w:r>
          <w:r>
            <w:tab/>
          </w:r>
          <w:r>
            <w:fldChar w:fldCharType="begin"/>
          </w:r>
          <w:r>
            <w:instrText xml:space="preserve"> PAGEREF _Toc12871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FE721D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_Toc6480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3.3. 数据存储技术</w:t>
          </w:r>
          <w:r>
            <w:tab/>
          </w:r>
          <w:r>
            <w:fldChar w:fldCharType="begin"/>
          </w:r>
          <w:r>
            <w:instrText xml:space="preserve"> PAGEREF _Toc6480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D8B4DB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_Toc32457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3.4. 部署与运维技术</w:t>
          </w:r>
          <w:r>
            <w:tab/>
          </w:r>
          <w:r>
            <w:fldChar w:fldCharType="begin"/>
          </w:r>
          <w:r>
            <w:instrText xml:space="preserve"> PAGEREF _Toc32457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CB9CE9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_Toc30804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val="en-US" w:eastAsia="zh-CN" w:bidi="ar-SA"/>
            </w:rPr>
            <w:t>4. AI 辅助编程工具选型与应用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E68116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_Toc24764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4.1. 核心工具选型</w:t>
          </w:r>
          <w:r>
            <w:tab/>
          </w:r>
          <w:r>
            <w:fldChar w:fldCharType="begin"/>
          </w:r>
          <w:r>
            <w:instrText xml:space="preserve"> PAGEREF _Toc24764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B37F73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_Toc28572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4.2. 注意事项</w:t>
          </w:r>
          <w:r>
            <w:tab/>
          </w:r>
          <w:r>
            <w:fldChar w:fldCharType="begin"/>
          </w:r>
          <w:r>
            <w:instrText xml:space="preserve"> PAGEREF _Toc28572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420947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_Toc21797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val="en-US" w:eastAsia="zh-CN" w:bidi="ar-SA"/>
            </w:rPr>
            <w:t>5. 技术风险与应对措施</w:t>
          </w:r>
          <w:r>
            <w:tab/>
          </w:r>
          <w:r>
            <w:fldChar w:fldCharType="begin"/>
          </w:r>
          <w:r>
            <w:instrText xml:space="preserve"> PAGEREF _Toc21797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2B43B0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_Toc28352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val="en-US" w:eastAsia="zh-CN" w:bidi="ar-SA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_Toc28352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DE7D03">
          <w:pPr>
            <w:pStyle w:val="3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A50F975">
      <w:pPr>
        <w:pStyle w:val="3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9D49BB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</w:pPr>
      <w:bookmarkStart w:id="0" w:name="_Toc1579"/>
      <w:r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  <w:t>前言</w:t>
      </w:r>
      <w:bookmarkEnd w:id="0"/>
    </w:p>
    <w:p w14:paraId="0CF1A954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</w:rPr>
      </w:pPr>
      <w:bookmarkStart w:id="1" w:name="_Toc14837"/>
      <w:r>
        <w:rPr>
          <w:rFonts w:hint="default"/>
        </w:rPr>
        <w:t>编写目的</w:t>
      </w:r>
      <w:bookmarkEnd w:id="1"/>
    </w:p>
    <w:p w14:paraId="6B190780">
      <w:pPr>
        <w:ind w:firstLine="480" w:firstLineChars="200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 w:eastAsia="宋体" w:asciiTheme="minorEastAsia" w:hAnsiTheme="minorEastAsia" w:cstheme="minorEastAsia"/>
          <w:sz w:val="24"/>
          <w:lang w:val="en-US" w:eastAsia="zh-CN"/>
        </w:rPr>
        <w:t>本文档旨在明确 MES 项目全生命周期的技术栈、工具链及 AI 辅助编程方案，通过统一技术选型标准，保障项目开发的一致性、高效性与稳定性，为系统研发、测试、部署及运维提供技术依据，支撑项目达成生产流程管控、数据协同的核心目标。</w:t>
      </w:r>
    </w:p>
    <w:p w14:paraId="762B4AAC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2" w:name="_Toc10084"/>
      <w:r>
        <w:rPr>
          <w:rFonts w:hint="default"/>
          <w:lang w:val="en-US" w:eastAsia="zh-CN"/>
        </w:rPr>
        <w:t>适用范围</w:t>
      </w:r>
      <w:bookmarkEnd w:id="2"/>
    </w:p>
    <w:p w14:paraId="710B8B4F">
      <w:pPr>
        <w:ind w:firstLine="480" w:firstLineChars="200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 w:eastAsia="宋体" w:asciiTheme="minorEastAsia" w:hAnsiTheme="minorEastAsia" w:cstheme="minorEastAsia"/>
          <w:sz w:val="24"/>
          <w:lang w:val="en-US" w:eastAsia="zh-CN"/>
        </w:rPr>
        <w:t>适用于 MES 项目全生命周期技术实施场景（含需求分析、架构设计、编码开发、测试验证、部署运维阶段），覆盖研发、测试、运维、技术管理等相关团队，作为技术落地、工具配置、跨团队协同的执行依据；不含手机端相关技术选型与适配场景。</w:t>
      </w:r>
    </w:p>
    <w:p w14:paraId="2110EA56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3" w:name="_Toc16486"/>
      <w:r>
        <w:rPr>
          <w:rFonts w:hint="default"/>
          <w:lang w:val="en-US" w:eastAsia="zh-CN"/>
        </w:rPr>
        <w:t>文档负责单位</w:t>
      </w:r>
      <w:bookmarkEnd w:id="3"/>
    </w:p>
    <w:p w14:paraId="58F99BC5">
      <w:pPr>
        <w:ind w:firstLine="480" w:firstLineChars="200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 w:eastAsia="宋体" w:asciiTheme="minorEastAsia" w:hAnsiTheme="minorEastAsia" w:cstheme="minorEastAsia"/>
          <w:sz w:val="24"/>
          <w:lang w:val="en-US" w:eastAsia="zh-CN"/>
        </w:rPr>
        <w:t>由西安优加</w:t>
      </w:r>
      <w:r>
        <w:rPr>
          <w:rFonts w:hint="eastAsia" w:eastAsia="宋体" w:asciiTheme="minorEastAsia" w:hAnsiTheme="minorEastAsia" w:cstheme="minorEastAsia"/>
          <w:sz w:val="24"/>
          <w:lang w:val="en-US" w:eastAsia="zh-CN"/>
        </w:rPr>
        <w:t>青软</w:t>
      </w:r>
      <w:r>
        <w:rPr>
          <w:rFonts w:hint="default" w:eastAsia="宋体" w:asciiTheme="minorEastAsia" w:hAnsiTheme="minorEastAsia" w:cstheme="minorEastAsia"/>
          <w:sz w:val="24"/>
          <w:lang w:val="en-US" w:eastAsia="zh-CN"/>
        </w:rPr>
        <w:t>数字技术有限公司技术支持部牵头编制、修订及审核归档，技术研发团队配合完成技术适配性校验，确保文档符合项目实际需求与技术规范。</w:t>
      </w:r>
    </w:p>
    <w:p w14:paraId="5BBF4306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4" w:name="_Toc7779"/>
      <w:r>
        <w:rPr>
          <w:rFonts w:hint="default"/>
          <w:lang w:val="en-US" w:eastAsia="zh-CN"/>
        </w:rPr>
        <w:t>术语和符号说明</w:t>
      </w:r>
      <w:bookmarkEnd w:id="4"/>
    </w:p>
    <w:tbl>
      <w:tblPr>
        <w:tblStyle w:val="10"/>
        <w:tblW w:w="833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6758"/>
      </w:tblGrid>
      <w:tr w14:paraId="122CCA4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689B1A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术语符号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A9CFB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说明</w:t>
            </w:r>
          </w:p>
        </w:tc>
      </w:tr>
      <w:tr w14:paraId="113EBD0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39FFF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AI 辅助编程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53ED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借助大语言模型、代码生成工具实现智能代码补全、生成、审查的编程辅助方式</w:t>
            </w:r>
          </w:p>
        </w:tc>
      </w:tr>
      <w:tr w14:paraId="4FBD0AF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D80F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工作流引擎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711B7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用于系统流程自动化管理的技术组件</w:t>
            </w:r>
          </w:p>
        </w:tc>
      </w:tr>
      <w:tr w14:paraId="25FA9AA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8DD2C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代码生成器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47AD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一键生成前后端基础代码的工具</w:t>
            </w:r>
          </w:p>
        </w:tc>
      </w:tr>
      <w:tr w14:paraId="2401136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A4F3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负载均衡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333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实现服务请求分发、保障系统高可用性的技术工具</w:t>
            </w:r>
          </w:p>
        </w:tc>
      </w:tr>
      <w:tr w14:paraId="3AA47DA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C254D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任务调度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EC2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用于定时任务执行的技术组件</w:t>
            </w:r>
          </w:p>
        </w:tc>
      </w:tr>
    </w:tbl>
    <w:p w14:paraId="0770B0AF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</w:pPr>
      <w:bookmarkStart w:id="5" w:name="_Toc25230"/>
      <w:r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  <w:t>技术选型原则</w:t>
      </w:r>
      <w:bookmarkEnd w:id="5"/>
    </w:p>
    <w:p w14:paraId="33ECC584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一致性：统一技术栈版本，保障开发、测试、生产环境的兼容性；</w:t>
      </w:r>
    </w:p>
    <w:p w14:paraId="1ED1DB80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适配性：聚焦 PC 端、工业平板终端场景，移除非相关技术模块；</w:t>
      </w:r>
    </w:p>
    <w:p w14:paraId="4C460B96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高效性：选用成熟工具链 + AI 辅助编程，降低开发成本、提升迭代效率；</w:t>
      </w:r>
    </w:p>
    <w:p w14:paraId="2AD5CF27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稳定性：优先选用企业级成熟技术组件，保障生产环境运行可靠；</w:t>
      </w:r>
    </w:p>
    <w:p w14:paraId="7058D367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可扩展性：保留功能扩展、系统集成的技术接口，支持后续业务迭代。</w:t>
      </w:r>
    </w:p>
    <w:p w14:paraId="094D1079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</w:pPr>
      <w:bookmarkStart w:id="6" w:name="_Toc12310"/>
      <w:r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  <w:t>核心技术栈选型</w:t>
      </w:r>
      <w:bookmarkEnd w:id="6"/>
    </w:p>
    <w:p w14:paraId="3BBE5113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7" w:name="_Toc7189"/>
      <w:r>
        <w:rPr>
          <w:rFonts w:hint="default"/>
          <w:lang w:val="en-US" w:eastAsia="zh-CN"/>
        </w:rPr>
        <w:t>前端技术栈</w:t>
      </w:r>
      <w:bookmarkEnd w:id="7"/>
    </w:p>
    <w:tbl>
      <w:tblPr>
        <w:tblStyle w:val="10"/>
        <w:tblW w:w="833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68"/>
        <w:gridCol w:w="1856"/>
        <w:gridCol w:w="3376"/>
      </w:tblGrid>
      <w:tr w14:paraId="464834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68933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技术/工具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F18DD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选型版本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EE453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应用场景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6E54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选型理由</w:t>
            </w:r>
          </w:p>
        </w:tc>
      </w:tr>
      <w:tr w14:paraId="23D71D1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EB444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核心框架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007DF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Vue + Element UI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BFC4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系统界面开发、交互逻辑实现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A1B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组件丰富、文档完善，适配企业级系统界面规范，降低样式开发成本</w:t>
            </w:r>
          </w:p>
        </w:tc>
      </w:tr>
      <w:tr w14:paraId="382B140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1121D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报表工具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FF972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JimuReport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2F881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数据统计可视化展示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AF2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支持自定义报表配置，满足数据展示需求</w:t>
            </w:r>
          </w:p>
        </w:tc>
      </w:tr>
      <w:tr w14:paraId="2E2CA0F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E867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接口请求工具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29692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Axios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39E09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前后端接口通信、数据交互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4B4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支持拦截器与鉴权逻辑，适配系统权限校验需求</w:t>
            </w:r>
          </w:p>
        </w:tc>
      </w:tr>
      <w:tr w14:paraId="4182479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D7AD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代码规范工具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F19CC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ESLint + Prettier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E9989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前端代码格式统一、语法校验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0B1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保障代码风格一致性，提升团队协作效率</w:t>
            </w:r>
          </w:p>
        </w:tc>
      </w:tr>
      <w:tr w14:paraId="1C0F899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DFD84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代码生成器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8CA2A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若依框架衍生版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FF02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一键生成前后端基础代码</w:t>
            </w:r>
          </w:p>
        </w:tc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4FBB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减少重复编码工作量，提升开发效率</w:t>
            </w:r>
          </w:p>
        </w:tc>
      </w:tr>
    </w:tbl>
    <w:p w14:paraId="4DD1A568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8" w:name="_Toc12871"/>
      <w:r>
        <w:rPr>
          <w:rFonts w:hint="default"/>
          <w:lang w:val="en-US" w:eastAsia="zh-CN"/>
        </w:rPr>
        <w:t>后端技术栈</w:t>
      </w:r>
      <w:bookmarkEnd w:id="8"/>
    </w:p>
    <w:tbl>
      <w:tblPr>
        <w:tblStyle w:val="10"/>
        <w:tblW w:w="8560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2190"/>
        <w:gridCol w:w="1750"/>
        <w:gridCol w:w="3030"/>
      </w:tblGrid>
      <w:tr w14:paraId="5BFA4AB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67D912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技术/工具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A1BC6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选型版本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26A14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应用场景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10FC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选型理由</w:t>
            </w:r>
          </w:p>
        </w:tc>
      </w:tr>
      <w:tr w14:paraId="41ADA95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42D3B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核心框架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124D2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Spring Boot 2.6.6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775C4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业务逻辑开发、接口提供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95B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成熟稳定，自动配置简化开发流程，适配业务模块快速开发需求</w:t>
            </w:r>
          </w:p>
        </w:tc>
      </w:tr>
      <w:tr w14:paraId="23BDEC7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9C87B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安全框架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297C1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Spring Security + Shiro 1.8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ADEB0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用户权限管控、接口访问控制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1CFE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支持细粒度权限配置，适配多角色权限管理需求</w:t>
            </w:r>
          </w:p>
        </w:tc>
      </w:tr>
      <w:tr w14:paraId="0C90B20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A6C9B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持久层框架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F2D71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MyBatis-Plus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9AC7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数据库操作、动态 SQL 生成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7B86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简化数据库操作，支持批量处理，提升数据读写效率</w:t>
            </w:r>
          </w:p>
        </w:tc>
      </w:tr>
      <w:tr w14:paraId="6979EB8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FB0C69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工作流引擎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6A82F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Activiti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C177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流程自动化管理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E89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适配业务流程规范化管控需求</w:t>
            </w:r>
          </w:p>
        </w:tc>
      </w:tr>
      <w:tr w14:paraId="1D58755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005A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认证授权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F9937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Jwt 3.11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59E5B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多终端身份认证、接口鉴权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1AF5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支持无状态认证，适配多终端统一权限管控需求</w:t>
            </w:r>
          </w:p>
        </w:tc>
      </w:tr>
      <w:tr w14:paraId="52A6FE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FD9B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接口文档工具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F76B6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Knife4j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21BD7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接口文档生成、在线调试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D70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可视化展示接口信息，降低前后端协同成本</w:t>
            </w:r>
          </w:p>
        </w:tc>
      </w:tr>
      <w:tr w14:paraId="0FF3D48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83410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消息队列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58AB4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RabbitMQ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0690B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异步业务通知、数据采集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C029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保障异步流程稳定性，适配业务异步交互需求</w:t>
            </w:r>
          </w:p>
        </w:tc>
      </w:tr>
      <w:tr w14:paraId="2AE8A5F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66AD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任务调度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A73D8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xxl-job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59D0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定时任务执行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B40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支持分布式部署，适配系统定时业务需求</w:t>
            </w:r>
          </w:p>
        </w:tc>
      </w:tr>
    </w:tbl>
    <w:p w14:paraId="2EFD5E11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9" w:name="_Toc6480"/>
      <w:r>
        <w:rPr>
          <w:rFonts w:hint="default"/>
          <w:lang w:val="en-US" w:eastAsia="zh-CN"/>
        </w:rPr>
        <w:t>数据存储技术</w:t>
      </w:r>
      <w:bookmarkEnd w:id="9"/>
    </w:p>
    <w:tbl>
      <w:tblPr>
        <w:tblStyle w:val="10"/>
        <w:tblW w:w="833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1590"/>
        <w:gridCol w:w="1362"/>
        <w:gridCol w:w="3706"/>
      </w:tblGrid>
      <w:tr w14:paraId="6DFF94A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A7FD4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技术/工具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82F86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选型版本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CFA2D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应用场景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65B5F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选型理由</w:t>
            </w:r>
          </w:p>
        </w:tc>
      </w:tr>
      <w:tr w14:paraId="6E4DC82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30AF7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关系型数据库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18EF2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MySQL 8.0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2F3D9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业务主数据存储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7C0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支持事务与复杂查询，适配核心业务数据存储需求</w:t>
            </w:r>
          </w:p>
        </w:tc>
      </w:tr>
      <w:tr w14:paraId="474B9F3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C3AFF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缓存数据库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05C88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Redis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5C7B5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高频访问数据缓存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4D3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内存级读写速度快，降低数据库压力，提升系统响应效率</w:t>
            </w:r>
          </w:p>
        </w:tc>
      </w:tr>
      <w:tr w14:paraId="4B82D42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EDE2C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全文检索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BBABF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ElasticSearch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BEEF1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数据全文检索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A1BB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支持高效模糊查询，适配海量数据检索需求</w:t>
            </w:r>
          </w:p>
        </w:tc>
      </w:tr>
      <w:tr w14:paraId="0410362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CE4B8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对象存储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544E1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OSS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CC84D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附件存储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AFB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支持海量文件存储，适配系统附件管理需求</w:t>
            </w:r>
          </w:p>
        </w:tc>
      </w:tr>
    </w:tbl>
    <w:p w14:paraId="4864F112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10" w:name="_Toc32457"/>
      <w:r>
        <w:rPr>
          <w:rFonts w:hint="default"/>
          <w:lang w:val="en-US" w:eastAsia="zh-CN"/>
        </w:rPr>
        <w:t>部署与运维技术</w:t>
      </w:r>
      <w:bookmarkEnd w:id="10"/>
    </w:p>
    <w:tbl>
      <w:tblPr>
        <w:tblStyle w:val="10"/>
        <w:tblW w:w="8335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579"/>
        <w:gridCol w:w="2095"/>
        <w:gridCol w:w="3197"/>
      </w:tblGrid>
      <w:tr w14:paraId="3782CF2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74C6D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技术/工具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4661FB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选型版本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828CF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应用场景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D370A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选型理由</w:t>
            </w:r>
          </w:p>
        </w:tc>
      </w:tr>
      <w:tr w14:paraId="5439798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33D2C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容器化工具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C617A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Docker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41033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应用环境打包、容器化部署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BF2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保障多环境一致性，降低部署冲突风险</w:t>
            </w:r>
          </w:p>
        </w:tc>
      </w:tr>
      <w:tr w14:paraId="3C26D61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A5C22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负载均衡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6C72F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Nginx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EF3DF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服务请求分发、负载分担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0AF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提升系统高可用性，适配生产环境稳定需求</w:t>
            </w:r>
          </w:p>
        </w:tc>
      </w:tr>
      <w:tr w14:paraId="07DD970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D3FB9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CI/CD 工具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5E622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华为CodeArts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36AE9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代码自动构建、测试、部署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5263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自动化交付流程，提升迭代效率</w:t>
            </w:r>
          </w:p>
        </w:tc>
      </w:tr>
      <w:tr w14:paraId="6121B38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37BF1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日志收集与检索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2E4F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ELK Stack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0F670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日志采集、检索、分析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A83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适配系统故障排查、运行监控需求</w:t>
            </w:r>
          </w:p>
        </w:tc>
      </w:tr>
    </w:tbl>
    <w:p w14:paraId="3B2B7B5D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</w:pPr>
      <w:bookmarkStart w:id="11" w:name="_Toc30804"/>
      <w:r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  <w:t>AI 辅助编程工具选型与应用</w:t>
      </w:r>
      <w:bookmarkEnd w:id="11"/>
    </w:p>
    <w:p w14:paraId="3E850254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12" w:name="_Toc24764"/>
      <w:r>
        <w:rPr>
          <w:rFonts w:hint="default"/>
          <w:lang w:val="en-US" w:eastAsia="zh-CN"/>
        </w:rPr>
        <w:t>核心工具选型</w:t>
      </w:r>
      <w:bookmarkEnd w:id="12"/>
    </w:p>
    <w:tbl>
      <w:tblPr>
        <w:tblStyle w:val="10"/>
        <w:tblW w:w="833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2061"/>
        <w:gridCol w:w="4461"/>
      </w:tblGrid>
      <w:tr w14:paraId="65D6A66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CF376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工具名称</w:t>
            </w: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0C0F5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应用场景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054B6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选型理由</w:t>
            </w:r>
          </w:p>
        </w:tc>
      </w:tr>
      <w:tr w14:paraId="4E56430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332E2B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盘古大模型</w:t>
            </w: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5E9A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智能代码补全、代码生成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39B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适配项目技术栈，生成代码风格与项目一致，提升业务逻辑开发效率</w:t>
            </w:r>
          </w:p>
        </w:tc>
      </w:tr>
    </w:tbl>
    <w:p w14:paraId="43D80098">
      <w:pPr>
        <w:pStyle w:val="4"/>
        <w:numPr>
          <w:ilvl w:val="1"/>
          <w:numId w:val="2"/>
        </w:numPr>
        <w:spacing w:after="156"/>
        <w:ind w:left="567" w:leftChars="0" w:hanging="567" w:firstLineChars="0"/>
        <w:rPr>
          <w:rFonts w:hint="default"/>
          <w:lang w:val="en-US" w:eastAsia="zh-CN"/>
        </w:rPr>
      </w:pPr>
      <w:bookmarkStart w:id="13" w:name="_Toc28572"/>
      <w:r>
        <w:rPr>
          <w:rFonts w:hint="default"/>
          <w:lang w:val="en-US" w:eastAsia="zh-CN"/>
        </w:rPr>
        <w:t>注意事项</w:t>
      </w:r>
      <w:bookmarkEnd w:id="13"/>
    </w:p>
    <w:p w14:paraId="69A4E70E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版本兼容性：AI 生成代码需验证与项目技术版本的兼容性，避免依赖冲突；</w:t>
      </w:r>
    </w:p>
    <w:p w14:paraId="4A026348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逻辑验证：核心业务逻辑需人工验证，禁止直接上线；</w:t>
      </w:r>
    </w:p>
    <w:p w14:paraId="70C0A473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合规性：选用支持商业使用的 AI 工具，确保代码版权合规。</w:t>
      </w:r>
    </w:p>
    <w:p w14:paraId="719F84FA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</w:pPr>
      <w:bookmarkStart w:id="14" w:name="_Toc21797"/>
      <w:r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  <w:t>技术风险与应对措施</w:t>
      </w:r>
      <w:bookmarkEnd w:id="14"/>
    </w:p>
    <w:tbl>
      <w:tblPr>
        <w:tblStyle w:val="10"/>
        <w:tblW w:w="833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6"/>
        <w:gridCol w:w="1219"/>
        <w:gridCol w:w="4941"/>
      </w:tblGrid>
      <w:tr w14:paraId="437D660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4FB9ED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风险点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A28B8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影响程度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E0C4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b/>
                <w:sz w:val="24"/>
                <w:lang w:val="en-US" w:eastAsia="zh-CN"/>
              </w:rPr>
              <w:t>应对措施</w:t>
            </w:r>
          </w:p>
        </w:tc>
      </w:tr>
      <w:tr w14:paraId="5688F3C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8DE016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AI 生成代码版本冲突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52D64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中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84D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开发前明确技术版本清单，生成代码后先编译验证</w:t>
            </w:r>
          </w:p>
        </w:tc>
      </w:tr>
      <w:tr w14:paraId="3E54B59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988CA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终端适配问题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FDAE3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低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13FA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前端开发后在目标终端实测，优化界面适配效果</w:t>
            </w:r>
          </w:p>
        </w:tc>
      </w:tr>
      <w:tr w14:paraId="0888ED5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29D0F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组件更新风险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779BA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低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193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lang w:val="en-US" w:eastAsia="zh-CN"/>
              </w:rPr>
              <w:t>锁定技术组件版本，升级前需全量测试验证</w:t>
            </w:r>
          </w:p>
        </w:tc>
      </w:tr>
    </w:tbl>
    <w:p w14:paraId="76F1CB7F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</w:pPr>
      <w:bookmarkStart w:id="15" w:name="_Toc28352"/>
      <w:r>
        <w:rPr>
          <w:rFonts w:hint="default" w:ascii="Arial" w:hAnsi="Arial" w:eastAsia="黑体" w:cs="Times New Roman"/>
          <w:spacing w:val="20"/>
          <w:sz w:val="36"/>
          <w:szCs w:val="44"/>
          <w:lang w:val="en-US" w:eastAsia="zh-CN" w:bidi="ar-SA"/>
        </w:rPr>
        <w:t>附则</w:t>
      </w:r>
      <w:bookmarkEnd w:id="15"/>
    </w:p>
    <w:p w14:paraId="7DA7B29C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本文档由技术支持部维护，技术栈调整需经技术管理团队评审；</w:t>
      </w:r>
    </w:p>
    <w:p w14:paraId="6BD27A37">
      <w:pPr>
        <w:numPr>
          <w:ilvl w:val="0"/>
          <w:numId w:val="3"/>
        </w:numPr>
        <w:ind w:left="0" w:leftChars="0" w:firstLine="0" w:firstLineChars="0"/>
        <w:rPr>
          <w:rFonts w:hint="eastAsia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EastAsia" w:hAnsiTheme="minorEastAsia" w:cstheme="minorEastAsia"/>
          <w:kern w:val="2"/>
          <w:sz w:val="24"/>
          <w:szCs w:val="24"/>
          <w:lang w:val="en-US" w:eastAsia="zh-CN" w:bidi="ar-SA"/>
        </w:rPr>
        <w:t>文档修订需同步归档，确保技术选型的时效性与准确性。</w:t>
      </w:r>
    </w:p>
    <w:p w14:paraId="6D209741">
      <w:pPr>
        <w:ind w:firstLine="480" w:firstLineChars="200"/>
        <w:rPr>
          <w:rFonts w:hint="eastAsia" w:eastAsia="宋体" w:asciiTheme="minorEastAsia" w:hAnsiTheme="minorEastAsia" w:cstheme="minorEastAsia"/>
          <w:sz w:val="24"/>
          <w:lang w:val="en-US" w:eastAsia="zh-CN"/>
        </w:rPr>
      </w:pPr>
    </w:p>
    <w:p w14:paraId="42225B11">
      <w:pPr>
        <w:ind w:firstLine="480" w:firstLineChars="200"/>
        <w:rPr>
          <w:rFonts w:hint="eastAsia" w:eastAsia="宋体" w:asciiTheme="minorEastAsia" w:hAnsiTheme="minorEastAsia" w:cstheme="minorEastAsia"/>
          <w:sz w:val="24"/>
          <w:lang w:val="en-US" w:eastAsia="zh-CN"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4ABF">
    <w:pPr>
      <w:pStyle w:val="6"/>
      <w:spacing w:before="120" w:after="12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0B000">
                          <w:pPr>
                            <w:pStyle w:val="6"/>
                            <w:spacing w:before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3F0B000">
                    <w:pPr>
                      <w:pStyle w:val="6"/>
                      <w:spacing w:before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5816">
    <w:pPr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16F6">
    <w:pPr>
      <w:pStyle w:val="6"/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6"/>
      <w:spacing w:before="120" w:after="1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6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6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D0B">
    <w:pPr>
      <w:pStyle w:val="7"/>
      <w:tabs>
        <w:tab w:val="clear" w:pos="4153"/>
      </w:tabs>
      <w:spacing w:after="120"/>
      <w:jc w:val="both"/>
      <w:rPr>
        <w:rFonts w:hint="eastAsia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开发计划表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BBE6">
    <w:pPr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483BA">
    <w:pPr>
      <w:pStyle w:val="7"/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7"/>
      <w:tabs>
        <w:tab w:val="clear" w:pos="4153"/>
      </w:tabs>
      <w:spacing w:after="120"/>
      <w:jc w:val="both"/>
    </w:pPr>
    <w:bookmarkStart w:id="16" w:name="_GoBack"/>
    <w:bookmarkEnd w:id="16"/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开发计划表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37D136"/>
    <w:multiLevelType w:val="multilevel"/>
    <w:tmpl w:val="D437D1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2B279ED4"/>
    <w:multiLevelType w:val="multilevel"/>
    <w:tmpl w:val="2B279ED4"/>
    <w:lvl w:ilvl="0" w:tentative="0">
      <w:start w:val="1"/>
      <w:numFmt w:val="bullet"/>
      <w:suff w:val="space"/>
      <w:lvlText w:val=""/>
      <w:lvlJc w:val="left"/>
      <w:pPr>
        <w:ind w:left="0" w:leftChars="0" w:firstLine="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F260321"/>
    <w:multiLevelType w:val="multilevel"/>
    <w:tmpl w:val="2F260321"/>
    <w:lvl w:ilvl="0" w:tentative="0">
      <w:start w:val="1"/>
      <w:numFmt w:val="decimal"/>
      <w:pStyle w:val="16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D268A"/>
    <w:rsid w:val="06473856"/>
    <w:rsid w:val="07B611C8"/>
    <w:rsid w:val="08187E0D"/>
    <w:rsid w:val="0CF940F5"/>
    <w:rsid w:val="0F2B5A9C"/>
    <w:rsid w:val="163F05DA"/>
    <w:rsid w:val="16E80C72"/>
    <w:rsid w:val="1A9F5AEC"/>
    <w:rsid w:val="1EC22710"/>
    <w:rsid w:val="20166850"/>
    <w:rsid w:val="28421703"/>
    <w:rsid w:val="28BC3D0D"/>
    <w:rsid w:val="29157325"/>
    <w:rsid w:val="2A81564E"/>
    <w:rsid w:val="2CE675AA"/>
    <w:rsid w:val="2E093550"/>
    <w:rsid w:val="2E56075F"/>
    <w:rsid w:val="3B4E4C98"/>
    <w:rsid w:val="3DCB6CFD"/>
    <w:rsid w:val="3E1F291C"/>
    <w:rsid w:val="3FCE45FA"/>
    <w:rsid w:val="41B20E55"/>
    <w:rsid w:val="44E1092B"/>
    <w:rsid w:val="486106B0"/>
    <w:rsid w:val="494D658F"/>
    <w:rsid w:val="49956188"/>
    <w:rsid w:val="49D40A5E"/>
    <w:rsid w:val="4ACE1952"/>
    <w:rsid w:val="4BDF6E49"/>
    <w:rsid w:val="4FDE0794"/>
    <w:rsid w:val="513613AB"/>
    <w:rsid w:val="56E36785"/>
    <w:rsid w:val="595B6AA6"/>
    <w:rsid w:val="5A7871E4"/>
    <w:rsid w:val="5BDB3ECE"/>
    <w:rsid w:val="5C003935"/>
    <w:rsid w:val="5F8C4321"/>
    <w:rsid w:val="627E2646"/>
    <w:rsid w:val="65501489"/>
    <w:rsid w:val="673212ED"/>
    <w:rsid w:val="6BC21322"/>
    <w:rsid w:val="74CB28DA"/>
    <w:rsid w:val="76A32FBD"/>
    <w:rsid w:val="7A3C1B84"/>
    <w:rsid w:val="7B48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封面落款"/>
    <w:basedOn w:val="14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4">
    <w:name w:val="封面标题"/>
    <w:basedOn w:val="1"/>
    <w:next w:val="13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5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6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7">
    <w:name w:val="表格正文"/>
    <w:basedOn w:val="1"/>
    <w:qFormat/>
    <w:uiPriority w:val="0"/>
    <w:pPr>
      <w:snapToGrid w:val="0"/>
      <w:spacing w:after="0" w:afterLines="0" w:line="30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1463</Words>
  <Characters>1648</Characters>
  <Lines>0</Lines>
  <Paragraphs>0</Paragraphs>
  <TotalTime>0</TotalTime>
  <ScaleCrop>false</ScaleCrop>
  <LinksUpToDate>false</LinksUpToDate>
  <CharactersWithSpaces>1741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2026-03-17T09:51:32Z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