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91C44">
      <w:pPr>
        <w:spacing w:after="156"/>
        <w:jc w:val="center"/>
        <w:rPr>
          <w:rFonts w:hint="eastAsia" w:ascii="黑体" w:hAnsi="黑体" w:eastAsia="黑体"/>
          <w:b/>
          <w:sz w:val="52"/>
          <w:szCs w:val="52"/>
          <w:lang w:eastAsia="zh-Hans"/>
        </w:rPr>
      </w:pPr>
      <w:bookmarkStart w:id="0" w:name="heading_0"/>
      <w:r>
        <w:rPr>
          <w:rFonts w:hint="eastAsia" w:ascii="黑体" w:hAnsi="黑体" w:eastAsia="黑体"/>
          <w:b/>
          <w:sz w:val="52"/>
          <w:szCs w:val="52"/>
          <w:lang w:val="en-US" w:eastAsia="zh-CN"/>
        </w:rPr>
        <w:t>制造执行系统（MES）</w:t>
      </w:r>
    </w:p>
    <w:p w14:paraId="47EF4755">
      <w:pPr>
        <w:spacing w:after="156"/>
        <w:jc w:val="center"/>
        <w:rPr>
          <w:rFonts w:hint="default" w:ascii="黑体" w:hAnsi="黑体" w:eastAsia="黑体"/>
          <w:b/>
          <w:sz w:val="52"/>
          <w:szCs w:val="52"/>
          <w:lang w:val="en-US"/>
        </w:rPr>
      </w:pPr>
      <w:r>
        <w:rPr>
          <w:rFonts w:hint="eastAsia" w:ascii="黑体" w:hAnsi="黑体" w:eastAsia="黑体"/>
          <w:b/>
          <w:sz w:val="52"/>
          <w:szCs w:val="52"/>
          <w:lang w:val="en-US" w:eastAsia="zh-CN"/>
        </w:rPr>
        <w:t>风险识别表</w:t>
      </w:r>
    </w:p>
    <w:p w14:paraId="29516319">
      <w:pPr>
        <w:spacing w:after="156"/>
        <w:jc w:val="center"/>
        <w:rPr>
          <w:rFonts w:hint="eastAsia" w:ascii="黑体" w:hAnsi="黑体" w:eastAsia="黑体"/>
          <w:b/>
          <w:sz w:val="52"/>
          <w:szCs w:val="52"/>
        </w:rPr>
      </w:pPr>
    </w:p>
    <w:p w14:paraId="4DF9F3BA">
      <w:pPr>
        <w:spacing w:after="156"/>
        <w:jc w:val="center"/>
        <w:rPr>
          <w:rFonts w:hint="eastAsia" w:ascii="黑体" w:hAnsi="黑体" w:eastAsia="黑体"/>
          <w:b/>
          <w:sz w:val="52"/>
          <w:szCs w:val="52"/>
        </w:rPr>
      </w:pPr>
    </w:p>
    <w:p w14:paraId="728DE117">
      <w:pPr>
        <w:spacing w:after="156"/>
        <w:rPr>
          <w:rFonts w:hint="eastAsia" w:ascii="黑体" w:hAnsi="黑体" w:eastAsia="黑体"/>
          <w:b/>
          <w:sz w:val="52"/>
          <w:szCs w:val="52"/>
        </w:rPr>
      </w:pPr>
    </w:p>
    <w:p w14:paraId="708A9D2E">
      <w:pPr>
        <w:pStyle w:val="13"/>
        <w:rPr>
          <w:rFonts w:hint="eastAsia" w:ascii="微软雅黑" w:hAnsi="微软雅黑" w:eastAsia="微软雅黑" w:cs="微软雅黑"/>
          <w:b/>
          <w:bCs/>
          <w:sz w:val="112"/>
          <w:szCs w:val="72"/>
          <w:lang w:val="en-US" w:eastAsia="zh-CN"/>
        </w:rPr>
      </w:pPr>
    </w:p>
    <w:p w14:paraId="38249E09">
      <w:pPr>
        <w:pStyle w:val="13"/>
        <w:rPr>
          <w:rFonts w:hint="eastAsia" w:eastAsia="黑体"/>
          <w:lang w:eastAsia="zh-CN"/>
        </w:rPr>
      </w:pPr>
      <w:r>
        <w:rPr>
          <w:rFonts w:hint="eastAsia" w:eastAsia="黑体"/>
          <w:lang w:eastAsia="zh-CN"/>
        </w:rPr>
        <w:drawing>
          <wp:inline distT="0" distB="0" distL="114300" distR="114300">
            <wp:extent cx="3781425" cy="466725"/>
            <wp:effectExtent l="0" t="0" r="0" b="571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2"/>
                    <a:stretch>
                      <a:fillRect/>
                    </a:stretch>
                  </pic:blipFill>
                  <pic:spPr>
                    <a:xfrm>
                      <a:off x="0" y="0"/>
                      <a:ext cx="3781425" cy="466725"/>
                    </a:xfrm>
                    <a:prstGeom prst="rect">
                      <a:avLst/>
                    </a:prstGeom>
                  </pic:spPr>
                </pic:pic>
              </a:graphicData>
            </a:graphic>
          </wp:inline>
        </w:drawing>
      </w:r>
    </w:p>
    <w:p w14:paraId="0B3DC8B8">
      <w:pPr>
        <w:pStyle w:val="13"/>
        <w:spacing w:before="156" w:beforeLines="50"/>
        <w:rPr>
          <w:rFonts w:hint="default"/>
          <w:lang w:val="en-US"/>
        </w:rPr>
      </w:pPr>
      <w:r>
        <w:rPr>
          <w:rFonts w:hint="eastAsia"/>
          <w:lang w:val="en-US" w:eastAsia="zh-CN"/>
        </w:rPr>
        <w:t>西北工业大学 软件学院</w:t>
      </w:r>
    </w:p>
    <w:p w14:paraId="3F26DEC4">
      <w:pPr>
        <w:pStyle w:val="13"/>
        <w:spacing w:before="156" w:beforeLines="50"/>
        <w:rPr>
          <w:rFonts w:hint="eastAsia"/>
        </w:rPr>
      </w:pPr>
      <w:bookmarkStart w:id="41" w:name="_GoBack"/>
      <w:bookmarkEnd w:id="41"/>
    </w:p>
    <w:p w14:paraId="4D18177D">
      <w:pPr>
        <w:pStyle w:val="15"/>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5</w:t>
      </w:r>
      <w:r>
        <w:rPr>
          <w:rFonts w:hint="eastAsia"/>
          <w:b w:val="0"/>
          <w:sz w:val="30"/>
          <w:szCs w:val="30"/>
        </w:rPr>
        <w:t>年</w:t>
      </w:r>
      <w:r>
        <w:rPr>
          <w:rFonts w:hint="eastAsia"/>
          <w:b w:val="0"/>
          <w:sz w:val="30"/>
          <w:szCs w:val="30"/>
          <w:lang w:val="en-US" w:eastAsia="zh-CN"/>
        </w:rPr>
        <w:t>12</w:t>
      </w:r>
      <w:r>
        <w:rPr>
          <w:rFonts w:hint="eastAsia"/>
          <w:b w:val="0"/>
          <w:sz w:val="30"/>
          <w:szCs w:val="30"/>
        </w:rPr>
        <w:t>月</w:t>
      </w:r>
    </w:p>
    <w:p w14:paraId="59DF8D7A">
      <w:pPr>
        <w:pStyle w:val="13"/>
        <w:spacing w:before="156" w:beforeLines="50"/>
        <w:rPr>
          <w:rFonts w:hint="eastAsia"/>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cols w:space="720" w:num="1"/>
          <w:docGrid w:type="linesAndChars" w:linePitch="312" w:charSpace="0"/>
        </w:sectPr>
      </w:pPr>
    </w:p>
    <w:p w14:paraId="6180CA2B">
      <w:pPr>
        <w:spacing w:before="156" w:beforeLines="50" w:after="156" w:line="240" w:lineRule="auto"/>
        <w:jc w:val="left"/>
        <w:rPr>
          <w:rFonts w:hint="eastAsia"/>
          <w:sz w:val="30"/>
          <w:szCs w:val="30"/>
        </w:rPr>
        <w:sectPr>
          <w:type w:val="continuous"/>
          <w:pgSz w:w="11907" w:h="16840"/>
          <w:pgMar w:top="1440" w:right="1797" w:bottom="1440" w:left="1797" w:header="851" w:footer="992" w:gutter="0"/>
          <w:cols w:space="720" w:num="1"/>
          <w:docGrid w:type="linesAndChars" w:linePitch="312" w:charSpace="0"/>
        </w:sectPr>
      </w:pPr>
    </w:p>
    <w:sdt>
      <w:sdtPr>
        <w:rPr>
          <w:rFonts w:ascii="宋体" w:hAnsi="宋体" w:eastAsia="宋体" w:cstheme="minorBidi"/>
          <w:b/>
          <w:bCs/>
          <w:kern w:val="2"/>
          <w:sz w:val="28"/>
          <w:szCs w:val="36"/>
          <w:lang w:val="en-US" w:eastAsia="zh-CN" w:bidi="ar-SA"/>
        </w:rPr>
        <w:id w:val="147461658"/>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5B2826AB">
          <w:pPr>
            <w:spacing w:before="0" w:beforeLines="0" w:after="0" w:afterLines="0" w:line="240" w:lineRule="auto"/>
            <w:ind w:left="0" w:leftChars="0" w:right="0" w:rightChars="0" w:firstLine="0" w:firstLineChars="0"/>
            <w:jc w:val="center"/>
            <w:rPr>
              <w:b/>
              <w:bCs/>
              <w:sz w:val="28"/>
              <w:szCs w:val="36"/>
            </w:rPr>
          </w:pPr>
          <w:r>
            <w:rPr>
              <w:rFonts w:ascii="宋体" w:hAnsi="宋体" w:eastAsia="宋体"/>
              <w:b/>
              <w:bCs/>
              <w:sz w:val="28"/>
              <w:szCs w:val="36"/>
            </w:rPr>
            <w:t>目</w:t>
          </w:r>
          <w:r>
            <w:rPr>
              <w:rFonts w:hint="eastAsia" w:ascii="宋体" w:hAnsi="宋体" w:eastAsia="宋体"/>
              <w:b/>
              <w:bCs/>
              <w:sz w:val="28"/>
              <w:szCs w:val="36"/>
              <w:lang w:val="en-US" w:eastAsia="zh-CN"/>
            </w:rPr>
            <w:t xml:space="preserve"> </w:t>
          </w:r>
          <w:r>
            <w:rPr>
              <w:rFonts w:ascii="宋体" w:hAnsi="宋体" w:eastAsia="宋体"/>
              <w:b/>
              <w:bCs/>
              <w:sz w:val="28"/>
              <w:szCs w:val="36"/>
            </w:rPr>
            <w:t>录</w:t>
          </w:r>
        </w:p>
        <w:p w14:paraId="703D1379">
          <w:pPr>
            <w:pStyle w:val="9"/>
            <w:tabs>
              <w:tab w:val="right" w:leader="dot" w:pos="8305"/>
              <w:tab w:val="clear" w:pos="420"/>
              <w:tab w:val="clear" w:pos="8222"/>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"1-3"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_Toc27048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1. </w:t>
          </w:r>
          <w:r>
            <w:rPr>
              <w:rFonts w:hint="eastAsia" w:ascii="Arial" w:hAnsi="Arial" w:eastAsia="黑体" w:cs="Times New Roman"/>
              <w:spacing w:val="20"/>
              <w:szCs w:val="44"/>
              <w:lang w:bidi="ar-SA"/>
            </w:rPr>
            <w:t>前言</w:t>
          </w:r>
          <w:r>
            <w:tab/>
          </w:r>
          <w:r>
            <w:fldChar w:fldCharType="begin"/>
          </w:r>
          <w:r>
            <w:instrText xml:space="preserve"> PAGEREF _Toc27048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11993E40">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_Toc3686 </w:instrText>
          </w:r>
          <w:r>
            <w:rPr>
              <w:rFonts w:asciiTheme="minorHAnsi" w:hAnsiTheme="minorHAnsi" w:eastAsiaTheme="minorEastAsia" w:cstheme="minorBidi"/>
              <w:kern w:val="2"/>
              <w:szCs w:val="24"/>
              <w:lang w:val="en-US" w:eastAsia="zh-CN" w:bidi="ar-SA"/>
            </w:rPr>
            <w:fldChar w:fldCharType="separate"/>
          </w:r>
          <w:r>
            <w:rPr>
              <w:rFonts w:hint="default"/>
            </w:rPr>
            <w:t xml:space="preserve">1.1. </w:t>
          </w:r>
          <w:r>
            <w:rPr>
              <w:rFonts w:hint="eastAsia"/>
            </w:rPr>
            <w:t>编写目的</w:t>
          </w:r>
          <w:r>
            <w:tab/>
          </w:r>
          <w:r>
            <w:fldChar w:fldCharType="begin"/>
          </w:r>
          <w:r>
            <w:instrText xml:space="preserve"> PAGEREF _Toc3686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684CE397">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_Toc23789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_Toc23789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1EB09AD8">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_Toc14468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文档负责单位</w:t>
          </w:r>
          <w:r>
            <w:tab/>
          </w:r>
          <w:r>
            <w:fldChar w:fldCharType="begin"/>
          </w:r>
          <w:r>
            <w:instrText xml:space="preserve"> PAGEREF _Toc14468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5176AB93">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_Toc6117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1.4. </w:t>
          </w:r>
          <w:r>
            <w:rPr>
              <w:rFonts w:hint="eastAsia"/>
              <w:lang w:val="en-US" w:eastAsia="zh-CN"/>
            </w:rPr>
            <w:t>术语和符号说明</w:t>
          </w:r>
          <w:r>
            <w:tab/>
          </w:r>
          <w:r>
            <w:fldChar w:fldCharType="begin"/>
          </w:r>
          <w:r>
            <w:instrText xml:space="preserve"> PAGEREF _Toc6117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0B2D6360">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_Toc3139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1.5. 文档信息</w:t>
          </w:r>
          <w:r>
            <w:tab/>
          </w:r>
          <w:r>
            <w:fldChar w:fldCharType="begin"/>
          </w:r>
          <w:r>
            <w:instrText xml:space="preserve"> PAGEREF _Toc3139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7BA85272">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_Toc31963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1.6. </w:t>
          </w:r>
          <w:r>
            <w:rPr>
              <w:rFonts w:hint="eastAsia"/>
              <w:lang w:val="en-US" w:eastAsia="zh-CN"/>
            </w:rPr>
            <w:t>维护记录</w:t>
          </w:r>
          <w:r>
            <w:tab/>
          </w:r>
          <w:r>
            <w:fldChar w:fldCharType="begin"/>
          </w:r>
          <w:r>
            <w:instrText xml:space="preserve"> PAGEREF _Toc31963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51CB46DD">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_Toc29294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2. </w:t>
          </w:r>
          <w:r>
            <w:rPr>
              <w:rFonts w:hint="eastAsia" w:ascii="Arial" w:hAnsi="Arial" w:eastAsia="黑体" w:cs="Times New Roman"/>
              <w:spacing w:val="20"/>
              <w:szCs w:val="44"/>
              <w:lang w:bidi="ar-SA"/>
            </w:rPr>
            <w:t>概述</w:t>
          </w:r>
          <w:r>
            <w:tab/>
          </w:r>
          <w:r>
            <w:fldChar w:fldCharType="begin"/>
          </w:r>
          <w:r>
            <w:instrText xml:space="preserve"> PAGEREF _Toc29294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0ED2774A">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_Toc27218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2.1. </w:t>
          </w:r>
          <w:r>
            <w:rPr>
              <w:rFonts w:hint="eastAsia"/>
              <w:lang w:val="en-US" w:eastAsia="zh-CN"/>
            </w:rPr>
            <w:t>风险识别目的</w:t>
          </w:r>
          <w:r>
            <w:tab/>
          </w:r>
          <w:r>
            <w:fldChar w:fldCharType="begin"/>
          </w:r>
          <w:r>
            <w:instrText xml:space="preserve"> PAGEREF _Toc27218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EF9D96E">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_Toc11456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2.2. </w:t>
          </w:r>
          <w:r>
            <w:rPr>
              <w:rFonts w:hint="eastAsia"/>
              <w:lang w:val="en-US" w:eastAsia="zh-CN"/>
            </w:rPr>
            <w:t>风险识别范围</w:t>
          </w:r>
          <w:r>
            <w:tab/>
          </w:r>
          <w:r>
            <w:fldChar w:fldCharType="begin"/>
          </w:r>
          <w:r>
            <w:instrText xml:space="preserve"> PAGEREF _Toc11456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7B0ADE98">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_Toc2900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2.3. </w:t>
          </w:r>
          <w:r>
            <w:rPr>
              <w:rFonts w:hint="eastAsia"/>
              <w:lang w:val="en-US" w:eastAsia="zh-CN"/>
            </w:rPr>
            <w:t>风险识别方法</w:t>
          </w:r>
          <w:r>
            <w:tab/>
          </w:r>
          <w:r>
            <w:fldChar w:fldCharType="begin"/>
          </w:r>
          <w:r>
            <w:instrText xml:space="preserve"> PAGEREF _Toc2900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4A410D49">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_Toc20847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2.4. </w:t>
          </w:r>
          <w:r>
            <w:rPr>
              <w:rFonts w:hint="eastAsia"/>
              <w:lang w:val="en-US" w:eastAsia="zh-CN"/>
            </w:rPr>
            <w:t>风险评估标准</w:t>
          </w:r>
          <w:r>
            <w:tab/>
          </w:r>
          <w:r>
            <w:fldChar w:fldCharType="begin"/>
          </w:r>
          <w:r>
            <w:instrText xml:space="preserve"> PAGEREF _Toc20847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3606880">
          <w:pPr>
            <w:pStyle w:val="6"/>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_Toc8011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2.4.1. </w:t>
          </w:r>
          <w:r>
            <w:rPr>
              <w:rFonts w:hint="eastAsia"/>
              <w:lang w:val="en-US" w:eastAsia="zh-CN"/>
            </w:rPr>
            <w:t>影响程度分级</w:t>
          </w:r>
          <w:r>
            <w:tab/>
          </w:r>
          <w:r>
            <w:fldChar w:fldCharType="begin"/>
          </w:r>
          <w:r>
            <w:instrText xml:space="preserve"> PAGEREF _Toc8011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61EDE8F4">
          <w:pPr>
            <w:pStyle w:val="6"/>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_Toc17436 </w:instrText>
          </w:r>
          <w:r>
            <w:rPr>
              <w:rFonts w:asciiTheme="minorHAnsi" w:hAnsiTheme="minorHAnsi" w:eastAsiaTheme="minorEastAsia" w:cstheme="minorBidi"/>
              <w:kern w:val="2"/>
              <w:szCs w:val="24"/>
              <w:lang w:val="en-US" w:eastAsia="zh-CN" w:bidi="ar-SA"/>
            </w:rPr>
            <w:fldChar w:fldCharType="separate"/>
          </w:r>
          <w:r>
            <w:rPr>
              <w:rFonts w:hint="default" w:ascii="Times New Roman" w:hAnsi="Times New Roman" w:eastAsia="宋体" w:cs="Times New Roman"/>
              <w:lang w:val="en-US" w:eastAsia="zh-CN"/>
            </w:rPr>
            <w:t xml:space="preserve">2.4.2. </w:t>
          </w:r>
          <w:r>
            <w:rPr>
              <w:rFonts w:hint="eastAsia" w:ascii="Times New Roman" w:hAnsi="Times New Roman" w:eastAsia="宋体" w:cs="Times New Roman"/>
              <w:lang w:val="en-US" w:eastAsia="zh-CN"/>
            </w:rPr>
            <w:t>发生概率分级</w:t>
          </w:r>
          <w:r>
            <w:tab/>
          </w:r>
          <w:r>
            <w:fldChar w:fldCharType="begin"/>
          </w:r>
          <w:r>
            <w:instrText xml:space="preserve"> PAGEREF _Toc17436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007D28F7">
          <w:pPr>
            <w:pStyle w:val="6"/>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_Toc7599 </w:instrText>
          </w:r>
          <w:r>
            <w:rPr>
              <w:rFonts w:asciiTheme="minorHAnsi" w:hAnsiTheme="minorHAnsi" w:eastAsiaTheme="minorEastAsia" w:cstheme="minorBidi"/>
              <w:kern w:val="2"/>
              <w:szCs w:val="24"/>
              <w:lang w:val="en-US" w:eastAsia="zh-CN" w:bidi="ar-SA"/>
            </w:rPr>
            <w:fldChar w:fldCharType="separate"/>
          </w:r>
          <w:r>
            <w:rPr>
              <w:rFonts w:hint="default" w:ascii="Times New Roman" w:hAnsi="Times New Roman" w:eastAsia="宋体" w:cs="Times New Roman"/>
              <w:lang w:val="en-US" w:eastAsia="zh-CN"/>
            </w:rPr>
            <w:t xml:space="preserve">2.4.3. </w:t>
          </w:r>
          <w:r>
            <w:rPr>
              <w:rFonts w:hint="eastAsia" w:ascii="Times New Roman" w:hAnsi="Times New Roman" w:eastAsia="宋体" w:cs="Times New Roman"/>
              <w:lang w:val="en-US" w:eastAsia="zh-CN"/>
            </w:rPr>
            <w:t>风险等级判定规则</w:t>
          </w:r>
          <w:r>
            <w:tab/>
          </w:r>
          <w:r>
            <w:fldChar w:fldCharType="begin"/>
          </w:r>
          <w:r>
            <w:instrText xml:space="preserve"> PAGEREF _Toc7599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7CA067B1">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_Toc8017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3. </w:t>
          </w:r>
          <w:r>
            <w:rPr>
              <w:rFonts w:hint="eastAsia" w:ascii="Arial" w:hAnsi="Arial" w:eastAsia="黑体" w:cs="Times New Roman"/>
              <w:spacing w:val="20"/>
              <w:szCs w:val="44"/>
              <w:lang w:bidi="ar-SA"/>
            </w:rPr>
            <w:t>详细风险识别清单</w:t>
          </w:r>
          <w:r>
            <w:tab/>
          </w:r>
          <w:r>
            <w:fldChar w:fldCharType="begin"/>
          </w:r>
          <w:r>
            <w:instrText xml:space="preserve"> PAGEREF _Toc8017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42426E33">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_Toc31753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4. </w:t>
          </w:r>
          <w:r>
            <w:rPr>
              <w:rFonts w:hint="eastAsia" w:ascii="Arial" w:hAnsi="Arial" w:eastAsia="黑体" w:cs="Times New Roman"/>
              <w:spacing w:val="20"/>
              <w:szCs w:val="44"/>
              <w:lang w:bidi="ar-SA"/>
            </w:rPr>
            <w:t>风险应对策略总览</w:t>
          </w:r>
          <w:r>
            <w:tab/>
          </w:r>
          <w:r>
            <w:fldChar w:fldCharType="begin"/>
          </w:r>
          <w:r>
            <w:instrText xml:space="preserve"> PAGEREF _Toc31753 \h </w:instrText>
          </w:r>
          <w:r>
            <w:fldChar w:fldCharType="separate"/>
          </w:r>
          <w:r>
            <w:t>17</w:t>
          </w:r>
          <w:r>
            <w:fldChar w:fldCharType="end"/>
          </w:r>
          <w:r>
            <w:rPr>
              <w:rFonts w:asciiTheme="minorHAnsi" w:hAnsiTheme="minorHAnsi" w:eastAsiaTheme="minorEastAsia" w:cstheme="minorBidi"/>
              <w:kern w:val="2"/>
              <w:szCs w:val="24"/>
              <w:lang w:val="en-US" w:eastAsia="zh-CN" w:bidi="ar-SA"/>
            </w:rPr>
            <w:fldChar w:fldCharType="end"/>
          </w:r>
        </w:p>
        <w:p w14:paraId="1DB1AE18">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_Toc23288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5. </w:t>
          </w:r>
          <w:r>
            <w:rPr>
              <w:rFonts w:hint="eastAsia" w:ascii="Arial" w:hAnsi="Arial" w:eastAsia="黑体" w:cs="Times New Roman"/>
              <w:spacing w:val="20"/>
              <w:szCs w:val="44"/>
              <w:lang w:bidi="ar-SA"/>
            </w:rPr>
            <w:t>风险监控与闭环管理</w:t>
          </w:r>
          <w:r>
            <w:tab/>
          </w:r>
          <w:r>
            <w:fldChar w:fldCharType="begin"/>
          </w:r>
          <w:r>
            <w:instrText xml:space="preserve"> PAGEREF _Toc23288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7CBC3CE4">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_Toc20758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5.1. </w:t>
          </w:r>
          <w:r>
            <w:rPr>
              <w:rFonts w:hint="eastAsia"/>
              <w:lang w:val="en-US" w:eastAsia="zh-CN"/>
            </w:rPr>
            <w:t>监控主体与职责</w:t>
          </w:r>
          <w:r>
            <w:tab/>
          </w:r>
          <w:r>
            <w:fldChar w:fldCharType="begin"/>
          </w:r>
          <w:r>
            <w:instrText xml:space="preserve"> PAGEREF _Toc20758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51D4DB4A">
          <w:pPr>
            <w:pStyle w:val="10"/>
            <w:tabs>
              <w:tab w:val="right" w:leader="dot" w:pos="8305"/>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_Toc8041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5.2. </w:t>
          </w:r>
          <w:r>
            <w:rPr>
              <w:rFonts w:hint="eastAsia"/>
              <w:lang w:val="en-US" w:eastAsia="zh-CN"/>
            </w:rPr>
            <w:t>闭环管理流程</w:t>
          </w:r>
          <w:r>
            <w:tab/>
          </w:r>
          <w:r>
            <w:fldChar w:fldCharType="begin"/>
          </w:r>
          <w:r>
            <w:instrText xml:space="preserve"> PAGEREF _Toc8041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277BE397">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_Toc9753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6. </w:t>
          </w:r>
          <w:r>
            <w:rPr>
              <w:rFonts w:hint="eastAsia" w:ascii="Arial" w:hAnsi="Arial" w:eastAsia="黑体" w:cs="Times New Roman"/>
              <w:spacing w:val="20"/>
              <w:szCs w:val="44"/>
              <w:lang w:bidi="ar-SA"/>
            </w:rPr>
            <w:t>附则</w:t>
          </w:r>
          <w:r>
            <w:tab/>
          </w:r>
          <w:r>
            <w:fldChar w:fldCharType="begin"/>
          </w:r>
          <w:r>
            <w:instrText xml:space="preserve"> PAGEREF _Toc9753 \h </w:instrText>
          </w:r>
          <w:r>
            <w:fldChar w:fldCharType="separate"/>
          </w:r>
          <w:r>
            <w:t>19</w:t>
          </w:r>
          <w:r>
            <w:fldChar w:fldCharType="end"/>
          </w:r>
          <w:r>
            <w:rPr>
              <w:rFonts w:asciiTheme="minorHAnsi" w:hAnsiTheme="minorHAnsi" w:eastAsiaTheme="minorEastAsia" w:cstheme="minorBidi"/>
              <w:kern w:val="2"/>
              <w:szCs w:val="24"/>
              <w:lang w:val="en-US" w:eastAsia="zh-CN" w:bidi="ar-SA"/>
            </w:rPr>
            <w:fldChar w:fldCharType="end"/>
          </w:r>
        </w:p>
        <w:p w14:paraId="160CEC13">
          <w:pPr>
            <w:pStyle w:val="9"/>
            <w:tabs>
              <w:tab w:val="right" w:leader="dot" w:pos="8305"/>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_Toc29185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7. </w:t>
          </w:r>
          <w:r>
            <w:rPr>
              <w:rFonts w:hint="eastAsia" w:ascii="Arial" w:hAnsi="Arial" w:eastAsia="黑体" w:cs="Times New Roman"/>
              <w:spacing w:val="20"/>
              <w:szCs w:val="44"/>
              <w:lang w:bidi="ar-SA"/>
            </w:rPr>
            <w:t>审批意见</w:t>
          </w:r>
          <w:r>
            <w:tab/>
          </w:r>
          <w:r>
            <w:fldChar w:fldCharType="begin"/>
          </w:r>
          <w:r>
            <w:instrText xml:space="preserve"> PAGEREF _Toc29185 \h </w:instrText>
          </w:r>
          <w:r>
            <w:fldChar w:fldCharType="separate"/>
          </w:r>
          <w:r>
            <w:t>20</w:t>
          </w:r>
          <w:r>
            <w:fldChar w:fldCharType="end"/>
          </w:r>
          <w:r>
            <w:rPr>
              <w:rFonts w:asciiTheme="minorHAnsi" w:hAnsiTheme="minorHAnsi" w:eastAsiaTheme="minorEastAsia" w:cstheme="minorBidi"/>
              <w:kern w:val="2"/>
              <w:szCs w:val="24"/>
              <w:lang w:val="en-US" w:eastAsia="zh-CN" w:bidi="ar-SA"/>
            </w:rPr>
            <w:fldChar w:fldCharType="end"/>
          </w:r>
        </w:p>
        <w:p w14:paraId="4CDE7D03">
          <w:pPr>
            <w:pStyle w:val="3"/>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7A50F975">
      <w:pPr>
        <w:pStyle w:val="3"/>
        <w:rPr>
          <w:rFonts w:asciiTheme="minorHAnsi" w:hAnsiTheme="minorHAnsi" w:eastAsiaTheme="minorEastAsia" w:cstheme="minorBidi"/>
          <w:kern w:val="2"/>
          <w:sz w:val="21"/>
          <w:szCs w:val="24"/>
          <w:lang w:val="en-US" w:eastAsia="zh-CN" w:bidi="ar-SA"/>
        </w:rPr>
      </w:pPr>
    </w:p>
    <w:p w14:paraId="2C001C79">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 w:name="_Toc27048"/>
      <w:r>
        <w:rPr>
          <w:rFonts w:hint="eastAsia" w:ascii="Arial" w:hAnsi="Arial" w:eastAsia="黑体" w:cs="Times New Roman"/>
          <w:spacing w:val="20"/>
          <w:sz w:val="36"/>
          <w:szCs w:val="44"/>
          <w:lang w:bidi="ar-SA"/>
        </w:rPr>
        <w:t>前言</w:t>
      </w:r>
      <w:bookmarkEnd w:id="1"/>
    </w:p>
    <w:p w14:paraId="6FE23BCE">
      <w:pPr>
        <w:pStyle w:val="4"/>
        <w:numPr>
          <w:ilvl w:val="1"/>
          <w:numId w:val="2"/>
        </w:numPr>
        <w:spacing w:after="156"/>
        <w:ind w:left="567" w:leftChars="0" w:hanging="567" w:firstLineChars="0"/>
      </w:pPr>
      <w:bookmarkStart w:id="2" w:name="_Toc3686"/>
      <w:r>
        <w:rPr>
          <w:rFonts w:hint="eastAsia"/>
        </w:rPr>
        <w:t>编写目的</w:t>
      </w:r>
      <w:bookmarkEnd w:id="2"/>
    </w:p>
    <w:p w14:paraId="4649819C">
      <w:pPr>
        <w:ind w:firstLine="480" w:firstLineChars="20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本制造执行系统（MES）项目风险识别文档旨在明确项目全生命周期的风险识别、评估、管控核心标准，通过统筹项目管理、研发、测试、运维、业务及合规等所有相关方对风险范围、等级、应对策略及协同要求的认知，为MES项目风险前置防控、分级响应、进度保障与资源调配提供科学依据，同时规避风险失控导致的项目延期、成本超支、质量缺陷等问题，保障项目在既定约束条件下高效达成生产过程可视化、可管控及数据协同的核心目标，为项目立项评审、阶段复盘、上线验收及后续运维交接提供风险管控核心依据，也为同类型智能制造项目的风险识别文档编制提供参考范式。</w:t>
      </w:r>
    </w:p>
    <w:p w14:paraId="45132CD3">
      <w:pPr>
        <w:pStyle w:val="4"/>
        <w:numPr>
          <w:ilvl w:val="1"/>
          <w:numId w:val="2"/>
        </w:numPr>
        <w:spacing w:after="156"/>
        <w:ind w:left="567" w:leftChars="0" w:hanging="567" w:firstLineChars="0"/>
        <w:jc w:val="left"/>
        <w:rPr>
          <w:rFonts w:hint="eastAsia"/>
          <w:lang w:val="en-US" w:eastAsia="zh-CN"/>
        </w:rPr>
      </w:pPr>
      <w:bookmarkStart w:id="3" w:name="_Toc23789"/>
      <w:r>
        <w:rPr>
          <w:rFonts w:hint="eastAsia"/>
          <w:lang w:val="en-US" w:eastAsia="zh-CN"/>
        </w:rPr>
        <w:t>适用范围</w:t>
      </w:r>
      <w:bookmarkEnd w:id="3"/>
    </w:p>
    <w:p w14:paraId="67185B5D">
      <w:pPr>
        <w:ind w:firstLine="480" w:firstLineChars="20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本制造执行系统（MES）项目风险识别文档的适用范围包括项目全生命周期风险管控相关场景（含项目启动、规划、执行、监控、收尾阶段），相关方涵盖项目管理团队、研发团队、产品团队、测试团队、运维团队、生产业务部门、工艺部门、质量部门、合规部门及企业管理层、客户对接团队等；适用于项目风险识别、评估、应对、监控及闭环管理的全流程，作为风险管控资源调配、责任分工、跨部门协同及阶段复盘、验收交付的执行依据，同时为后续系统优化升级及同类型智能制造项目的风险识别文档编制提供参考，不适用于第三方系统深度集成的定制化风险管控方案及非本项目约定范围内的个性化风险场景识别。</w:t>
      </w:r>
    </w:p>
    <w:p w14:paraId="034FCFF0">
      <w:pPr>
        <w:pStyle w:val="4"/>
        <w:numPr>
          <w:ilvl w:val="1"/>
          <w:numId w:val="2"/>
        </w:numPr>
        <w:spacing w:after="156"/>
        <w:ind w:left="567" w:leftChars="0" w:hanging="567" w:firstLineChars="0"/>
        <w:jc w:val="left"/>
        <w:rPr>
          <w:rFonts w:hint="eastAsia"/>
          <w:lang w:val="en-US" w:eastAsia="zh-CN"/>
        </w:rPr>
      </w:pPr>
      <w:bookmarkStart w:id="4" w:name="_Toc14468"/>
      <w:r>
        <w:rPr>
          <w:rFonts w:hint="eastAsia"/>
          <w:lang w:val="en-US" w:eastAsia="zh-CN"/>
        </w:rPr>
        <w:t>文档负责单位</w:t>
      </w:r>
      <w:bookmarkEnd w:id="4"/>
    </w:p>
    <w:p w14:paraId="17C79BC4">
      <w:pPr>
        <w:ind w:firstLine="480" w:firstLineChars="20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文档由西安优加青软数字技术有限公司（以下简称“西安优加”）技术支持部牵头起草，负责文档的统筹编制、修订迭代、审核归档及跨部门（含企业内部各业务部门、合作单位）的对接协调工作；西安优加技术支持部作为核心支撑，配合完成文档中MES系统风险识别相关内容的校验与补充，确保文档符合项目实际推进需求及公司技术规范。</w:t>
      </w:r>
    </w:p>
    <w:p w14:paraId="15C63B74">
      <w:pPr>
        <w:pStyle w:val="4"/>
        <w:numPr>
          <w:ilvl w:val="1"/>
          <w:numId w:val="2"/>
        </w:numPr>
        <w:spacing w:after="156"/>
        <w:ind w:left="567" w:leftChars="0" w:hanging="567" w:firstLineChars="0"/>
        <w:jc w:val="left"/>
        <w:rPr>
          <w:rFonts w:hint="eastAsia"/>
          <w:lang w:val="en-US" w:eastAsia="zh-CN"/>
        </w:rPr>
      </w:pPr>
      <w:bookmarkStart w:id="5" w:name="_Toc6117"/>
      <w:r>
        <w:rPr>
          <w:rFonts w:hint="eastAsia"/>
          <w:lang w:val="en-US" w:eastAsia="zh-CN"/>
        </w:rPr>
        <w:t>术语和符号说明</w:t>
      </w:r>
      <w:bookmarkEnd w:id="5"/>
    </w:p>
    <w:p w14:paraId="307E37F4">
      <w:pPr>
        <w:pStyle w:val="16"/>
      </w:pPr>
      <w:bookmarkStart w:id="6" w:name="_Toc297912237"/>
      <w:bookmarkStart w:id="7" w:name="_Toc161849948"/>
      <w:bookmarkStart w:id="8" w:name="_Toc306003114"/>
      <w:r>
        <w:rPr>
          <w:rFonts w:hint="eastAsia"/>
        </w:rPr>
        <w:t>术语与符号说明</w:t>
      </w:r>
      <w:bookmarkEnd w:id="6"/>
      <w:bookmarkEnd w:id="7"/>
      <w:bookmarkEnd w:id="8"/>
    </w:p>
    <w:tbl>
      <w:tblPr>
        <w:tblStyle w:val="11"/>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88"/>
        <w:gridCol w:w="6447"/>
      </w:tblGrid>
      <w:tr w14:paraId="345B812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888" w:type="dxa"/>
            <w:tcBorders>
              <w:top w:val="nil"/>
              <w:left w:val="nil"/>
              <w:bottom w:val="nil"/>
              <w:right w:val="single" w:color="auto" w:sz="4" w:space="0"/>
            </w:tcBorders>
            <w:shd w:val="clear" w:color="auto" w:fill="F2F2F2"/>
            <w:vAlign w:val="center"/>
          </w:tcPr>
          <w:p w14:paraId="54E0D6E8">
            <w:pPr>
              <w:spacing w:line="360" w:lineRule="auto"/>
              <w:jc w:val="center"/>
              <w:rPr>
                <w:rFonts w:hint="eastAsia" w:ascii="Times New Roman" w:hAnsi="Times New Roman" w:eastAsia="宋体" w:cs="Times New Roman"/>
                <w:b/>
                <w:color w:val="000000"/>
                <w:szCs w:val="21"/>
              </w:rPr>
            </w:pPr>
            <w:r>
              <w:rPr>
                <w:rFonts w:hint="default" w:ascii="Times New Roman" w:hAnsi="Times New Roman" w:eastAsia="宋体" w:cs="Times New Roman"/>
                <w:b/>
                <w:color w:val="000000"/>
                <w:szCs w:val="21"/>
                <w:lang w:val="en-US" w:eastAsia="zh-CN"/>
              </w:rPr>
              <w:t>术语符号</w:t>
            </w:r>
          </w:p>
        </w:tc>
        <w:tc>
          <w:tcPr>
            <w:tcW w:w="6447" w:type="dxa"/>
            <w:tcBorders>
              <w:top w:val="nil"/>
              <w:left w:val="nil"/>
              <w:bottom w:val="nil"/>
              <w:right w:val="nil"/>
            </w:tcBorders>
            <w:shd w:val="clear" w:color="auto" w:fill="F2F2F2"/>
            <w:vAlign w:val="center"/>
          </w:tcPr>
          <w:p w14:paraId="1565DC30">
            <w:pPr>
              <w:spacing w:line="360" w:lineRule="auto"/>
              <w:jc w:val="center"/>
              <w:rPr>
                <w:rFonts w:hint="default" w:ascii="Times New Roman" w:hAnsi="Times New Roman" w:eastAsia="宋体" w:cs="Times New Roman"/>
                <w:b/>
                <w:color w:val="000000"/>
                <w:szCs w:val="21"/>
              </w:rPr>
            </w:pPr>
            <w:r>
              <w:rPr>
                <w:rFonts w:hint="default" w:ascii="Times New Roman" w:hAnsi="Times New Roman" w:eastAsia="宋体" w:cs="Times New Roman"/>
                <w:b/>
                <w:color w:val="000000"/>
                <w:szCs w:val="21"/>
                <w:lang w:val="en-US" w:eastAsia="zh-CN"/>
              </w:rPr>
              <w:t>说明</w:t>
            </w:r>
          </w:p>
        </w:tc>
      </w:tr>
      <w:tr w14:paraId="7A2C6FC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042FC80C">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风险ID</w:t>
            </w:r>
          </w:p>
        </w:tc>
        <w:tc>
          <w:tcPr>
            <w:tcW w:w="6447" w:type="dxa"/>
            <w:tcBorders>
              <w:top w:val="nil"/>
              <w:left w:val="nil"/>
              <w:bottom w:val="nil"/>
              <w:right w:val="nil"/>
            </w:tcBorders>
            <w:shd w:val="clear" w:color="auto" w:fill="FFFFFF"/>
            <w:vAlign w:val="center"/>
          </w:tcPr>
          <w:p w14:paraId="1C30F2D5">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用于唯一标识项目中单个风险的编码（如RISK-001）</w:t>
            </w:r>
          </w:p>
        </w:tc>
      </w:tr>
      <w:tr w14:paraId="6A918DC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4E7EAD77">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风险等级（红色）</w:t>
            </w:r>
          </w:p>
        </w:tc>
        <w:tc>
          <w:tcPr>
            <w:tcW w:w="6447" w:type="dxa"/>
            <w:tcBorders>
              <w:top w:val="nil"/>
              <w:left w:val="nil"/>
              <w:bottom w:val="nil"/>
              <w:right w:val="nil"/>
            </w:tcBorders>
            <w:shd w:val="clear" w:color="auto" w:fill="FFFFFF"/>
            <w:vAlign w:val="center"/>
          </w:tcPr>
          <w:p w14:paraId="582FC358">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风险管控等级之一，对应“极高”风险（严重影响×高/中概率、较大影响×高概率）</w:t>
            </w:r>
          </w:p>
        </w:tc>
      </w:tr>
      <w:tr w14:paraId="68AADD4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6A83CF82">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风险等级（橙色）</w:t>
            </w:r>
          </w:p>
        </w:tc>
        <w:tc>
          <w:tcPr>
            <w:tcW w:w="6447" w:type="dxa"/>
            <w:tcBorders>
              <w:top w:val="nil"/>
              <w:left w:val="nil"/>
              <w:bottom w:val="nil"/>
              <w:right w:val="nil"/>
            </w:tcBorders>
            <w:shd w:val="clear" w:color="auto" w:fill="FFFFFF"/>
            <w:vAlign w:val="center"/>
          </w:tcPr>
          <w:p w14:paraId="1C43D8E6">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风险管控等级之一，对应“高”风险（严重影响×低概率、较大影响×中概率、一般影响×高概率）</w:t>
            </w:r>
          </w:p>
        </w:tc>
      </w:tr>
      <w:tr w14:paraId="5226687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752A17BD">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风险等级（黄色）</w:t>
            </w:r>
          </w:p>
        </w:tc>
        <w:tc>
          <w:tcPr>
            <w:tcW w:w="6447" w:type="dxa"/>
            <w:tcBorders>
              <w:top w:val="nil"/>
              <w:left w:val="nil"/>
              <w:bottom w:val="nil"/>
              <w:right w:val="nil"/>
            </w:tcBorders>
            <w:shd w:val="clear" w:color="auto" w:fill="FFFFFF"/>
            <w:vAlign w:val="center"/>
          </w:tcPr>
          <w:p w14:paraId="58997C88">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风险管控等级之一，对应“中”风险（较大影响×低概率、一般影响×中概率、轻微影响×高概率）</w:t>
            </w:r>
          </w:p>
        </w:tc>
      </w:tr>
      <w:tr w14:paraId="33978A5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14FC4EC1">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风险等级（蓝色）</w:t>
            </w:r>
          </w:p>
        </w:tc>
        <w:tc>
          <w:tcPr>
            <w:tcW w:w="6447" w:type="dxa"/>
            <w:tcBorders>
              <w:top w:val="nil"/>
              <w:left w:val="nil"/>
              <w:bottom w:val="nil"/>
              <w:right w:val="nil"/>
            </w:tcBorders>
            <w:shd w:val="clear" w:color="auto" w:fill="FFFFFF"/>
            <w:vAlign w:val="center"/>
          </w:tcPr>
          <w:p w14:paraId="3CDE8E7A">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风险管控等级之一，对应“低”风险（一般影响×低概率、轻微影响×中/低概率）</w:t>
            </w:r>
          </w:p>
        </w:tc>
      </w:tr>
      <w:tr w14:paraId="22E6022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7BC1D6FB">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风险闭环</w:t>
            </w:r>
          </w:p>
        </w:tc>
        <w:tc>
          <w:tcPr>
            <w:tcW w:w="6447" w:type="dxa"/>
            <w:tcBorders>
              <w:top w:val="nil"/>
              <w:left w:val="nil"/>
              <w:bottom w:val="nil"/>
              <w:right w:val="nil"/>
            </w:tcBorders>
            <w:shd w:val="clear" w:color="auto" w:fill="FFFFFF"/>
            <w:vAlign w:val="center"/>
          </w:tcPr>
          <w:p w14:paraId="32F78EC6">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风险经识别、评估、应对、监控后，消除或降至可接受范围的管控收尾流程</w:t>
            </w:r>
          </w:p>
        </w:tc>
      </w:tr>
      <w:tr w14:paraId="74AA390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888" w:type="dxa"/>
            <w:tcBorders>
              <w:top w:val="nil"/>
              <w:left w:val="nil"/>
              <w:bottom w:val="nil"/>
              <w:right w:val="single" w:color="auto" w:sz="4" w:space="0"/>
            </w:tcBorders>
            <w:shd w:val="clear" w:color="auto" w:fill="FFFFFF"/>
            <w:vAlign w:val="center"/>
          </w:tcPr>
          <w:p w14:paraId="52FB0DAF">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风险应对措施</w:t>
            </w:r>
          </w:p>
        </w:tc>
        <w:tc>
          <w:tcPr>
            <w:tcW w:w="6447" w:type="dxa"/>
            <w:tcBorders>
              <w:top w:val="nil"/>
              <w:left w:val="nil"/>
              <w:bottom w:val="nil"/>
              <w:right w:val="nil"/>
            </w:tcBorders>
            <w:shd w:val="clear" w:color="auto" w:fill="FFFFFF"/>
            <w:vAlign w:val="center"/>
          </w:tcPr>
          <w:p w14:paraId="22320B97">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针对风险制定的预防、缓解及应急处置方案，包含前置防控与事后补救手段</w:t>
            </w:r>
          </w:p>
        </w:tc>
      </w:tr>
    </w:tbl>
    <w:p w14:paraId="6F01B67E">
      <w:pPr>
        <w:pStyle w:val="3"/>
      </w:pPr>
    </w:p>
    <w:p w14:paraId="581899DC">
      <w:pPr>
        <w:pStyle w:val="4"/>
        <w:numPr>
          <w:ilvl w:val="1"/>
          <w:numId w:val="2"/>
        </w:numPr>
        <w:spacing w:after="156"/>
        <w:ind w:left="567" w:leftChars="0" w:hanging="567" w:firstLineChars="0"/>
        <w:jc w:val="left"/>
        <w:rPr>
          <w:rFonts w:hint="eastAsia"/>
          <w:lang w:val="en-US" w:eastAsia="zh-CN"/>
        </w:rPr>
      </w:pPr>
      <w:bookmarkStart w:id="9" w:name="_Toc3139"/>
      <w:r>
        <w:rPr>
          <w:rFonts w:hint="default"/>
          <w:lang w:val="en-US" w:eastAsia="zh-CN"/>
        </w:rPr>
        <w:t>文档信息</w:t>
      </w:r>
      <w:bookmarkEnd w:id="9"/>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73"/>
        <w:gridCol w:w="3406"/>
        <w:gridCol w:w="1564"/>
        <w:gridCol w:w="2137"/>
      </w:tblGrid>
      <w:tr w14:paraId="025586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3" w:type="dxa"/>
            <w:tcMar>
              <w:top w:w="60" w:type="dxa"/>
              <w:left w:w="120" w:type="dxa"/>
              <w:bottom w:w="30" w:type="dxa"/>
              <w:right w:w="120" w:type="dxa"/>
            </w:tcMar>
          </w:tcPr>
          <w:p w14:paraId="584ACECC">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项目名称</w:t>
            </w:r>
          </w:p>
        </w:tc>
        <w:tc>
          <w:tcPr>
            <w:tcW w:w="3406" w:type="dxa"/>
            <w:tcMar>
              <w:top w:w="60" w:type="dxa"/>
              <w:left w:w="120" w:type="dxa"/>
              <w:bottom w:w="30" w:type="dxa"/>
              <w:right w:w="120" w:type="dxa"/>
            </w:tcMar>
          </w:tcPr>
          <w:p w14:paraId="26FB755C">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西安优加制造执行系统（MES）</w:t>
            </w:r>
          </w:p>
        </w:tc>
        <w:tc>
          <w:tcPr>
            <w:tcW w:w="1564" w:type="dxa"/>
            <w:tcMar>
              <w:top w:w="60" w:type="dxa"/>
              <w:left w:w="120" w:type="dxa"/>
              <w:bottom w:w="30" w:type="dxa"/>
              <w:right w:w="120" w:type="dxa"/>
            </w:tcMar>
          </w:tcPr>
          <w:p w14:paraId="1BC467E3">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文档版本</w:t>
            </w:r>
          </w:p>
        </w:tc>
        <w:tc>
          <w:tcPr>
            <w:tcW w:w="2137" w:type="dxa"/>
            <w:tcMar>
              <w:top w:w="60" w:type="dxa"/>
              <w:left w:w="120" w:type="dxa"/>
              <w:bottom w:w="30" w:type="dxa"/>
              <w:right w:w="120" w:type="dxa"/>
            </w:tcMar>
          </w:tcPr>
          <w:p w14:paraId="6A98C924">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V1.1.0</w:t>
            </w:r>
          </w:p>
        </w:tc>
      </w:tr>
      <w:tr w14:paraId="7792BB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3" w:type="dxa"/>
            <w:tcMar>
              <w:top w:w="60" w:type="dxa"/>
              <w:left w:w="120" w:type="dxa"/>
              <w:bottom w:w="30" w:type="dxa"/>
              <w:right w:w="120" w:type="dxa"/>
            </w:tcMar>
          </w:tcPr>
          <w:p w14:paraId="3F1301D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项目周期</w:t>
            </w:r>
          </w:p>
        </w:tc>
        <w:tc>
          <w:tcPr>
            <w:tcW w:w="3406" w:type="dxa"/>
            <w:tcMar>
              <w:top w:w="60" w:type="dxa"/>
              <w:left w:w="120" w:type="dxa"/>
              <w:bottom w:w="30" w:type="dxa"/>
              <w:right w:w="120" w:type="dxa"/>
            </w:tcMar>
          </w:tcPr>
          <w:p w14:paraId="11FC537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9周（2025.12.15-2026.2.15）</w:t>
            </w:r>
          </w:p>
        </w:tc>
        <w:tc>
          <w:tcPr>
            <w:tcW w:w="1564" w:type="dxa"/>
            <w:tcMar>
              <w:top w:w="60" w:type="dxa"/>
              <w:left w:w="120" w:type="dxa"/>
              <w:bottom w:w="30" w:type="dxa"/>
              <w:right w:w="120" w:type="dxa"/>
            </w:tcMar>
          </w:tcPr>
          <w:p w14:paraId="0F9E59F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编制日期</w:t>
            </w:r>
          </w:p>
        </w:tc>
        <w:tc>
          <w:tcPr>
            <w:tcW w:w="2137" w:type="dxa"/>
            <w:tcMar>
              <w:top w:w="60" w:type="dxa"/>
              <w:left w:w="120" w:type="dxa"/>
              <w:bottom w:w="30" w:type="dxa"/>
              <w:right w:w="120" w:type="dxa"/>
            </w:tcMar>
          </w:tcPr>
          <w:p w14:paraId="3388CC1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2025年12月15日</w:t>
            </w:r>
          </w:p>
        </w:tc>
      </w:tr>
      <w:tr w14:paraId="064A4A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3" w:type="dxa"/>
            <w:tcMar>
              <w:top w:w="60" w:type="dxa"/>
              <w:left w:w="120" w:type="dxa"/>
              <w:bottom w:w="30" w:type="dxa"/>
              <w:right w:w="120" w:type="dxa"/>
            </w:tcMar>
          </w:tcPr>
          <w:p w14:paraId="0907536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编制人</w:t>
            </w:r>
          </w:p>
        </w:tc>
        <w:tc>
          <w:tcPr>
            <w:tcW w:w="3406" w:type="dxa"/>
            <w:tcMar>
              <w:top w:w="60" w:type="dxa"/>
              <w:left w:w="120" w:type="dxa"/>
              <w:bottom w:w="30" w:type="dxa"/>
              <w:right w:w="120" w:type="dxa"/>
            </w:tcMar>
          </w:tcPr>
          <w:p w14:paraId="237359A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项目管理部</w:t>
            </w:r>
          </w:p>
        </w:tc>
        <w:tc>
          <w:tcPr>
            <w:tcW w:w="1564" w:type="dxa"/>
            <w:tcMar>
              <w:top w:w="60" w:type="dxa"/>
              <w:left w:w="120" w:type="dxa"/>
              <w:bottom w:w="30" w:type="dxa"/>
              <w:right w:w="120" w:type="dxa"/>
            </w:tcMar>
          </w:tcPr>
          <w:p w14:paraId="7DB20A6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审批人</w:t>
            </w:r>
          </w:p>
        </w:tc>
        <w:tc>
          <w:tcPr>
            <w:tcW w:w="2137" w:type="dxa"/>
            <w:tcMar>
              <w:top w:w="60" w:type="dxa"/>
              <w:left w:w="120" w:type="dxa"/>
              <w:bottom w:w="30" w:type="dxa"/>
              <w:right w:w="120" w:type="dxa"/>
            </w:tcMar>
          </w:tcPr>
          <w:p w14:paraId="20A3B9E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项目负责人/技术总监</w:t>
            </w:r>
          </w:p>
        </w:tc>
      </w:tr>
      <w:tr w14:paraId="2912AC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3" w:type="dxa"/>
            <w:tcMar>
              <w:top w:w="60" w:type="dxa"/>
              <w:left w:w="120" w:type="dxa"/>
              <w:bottom w:w="30" w:type="dxa"/>
              <w:right w:w="120" w:type="dxa"/>
            </w:tcMar>
          </w:tcPr>
          <w:p w14:paraId="0F68451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适用范围</w:t>
            </w:r>
          </w:p>
        </w:tc>
        <w:tc>
          <w:tcPr>
            <w:tcW w:w="7107" w:type="dxa"/>
            <w:gridSpan w:val="3"/>
            <w:tcMar>
              <w:top w:w="60" w:type="dxa"/>
              <w:left w:w="120" w:type="dxa"/>
              <w:bottom w:w="30" w:type="dxa"/>
              <w:right w:w="120" w:type="dxa"/>
            </w:tcMar>
          </w:tcPr>
          <w:p w14:paraId="617BFF0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项目组全体成员、业务部门对接人、运维部门、合规部门</w:t>
            </w:r>
          </w:p>
        </w:tc>
      </w:tr>
      <w:tr w14:paraId="440B83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3" w:type="dxa"/>
            <w:tcMar>
              <w:top w:w="60" w:type="dxa"/>
              <w:left w:w="120" w:type="dxa"/>
              <w:bottom w:w="30" w:type="dxa"/>
              <w:right w:w="120" w:type="dxa"/>
            </w:tcMar>
          </w:tcPr>
          <w:p w14:paraId="6E2538E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文档用途</w:t>
            </w:r>
          </w:p>
        </w:tc>
        <w:tc>
          <w:tcPr>
            <w:tcW w:w="7107" w:type="dxa"/>
            <w:gridSpan w:val="3"/>
            <w:tcMar>
              <w:top w:w="60" w:type="dxa"/>
              <w:left w:w="120" w:type="dxa"/>
              <w:bottom w:w="30" w:type="dxa"/>
              <w:right w:w="120" w:type="dxa"/>
            </w:tcMar>
          </w:tcPr>
          <w:p w14:paraId="0EF20A2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识别项目全生命周期潜在风险，明确风险等级、应对策略及管控责任，降低风险对项目目标（范围、进度、质量、成本）的影响，保障项目顺利交付。</w:t>
            </w:r>
          </w:p>
        </w:tc>
      </w:tr>
    </w:tbl>
    <w:p w14:paraId="5BE7585C">
      <w:pPr>
        <w:bidi w:val="0"/>
        <w:rPr>
          <w:rFonts w:hint="default"/>
        </w:rPr>
      </w:pPr>
    </w:p>
    <w:p w14:paraId="6EF86B87">
      <w:pPr>
        <w:pStyle w:val="4"/>
        <w:numPr>
          <w:ilvl w:val="1"/>
          <w:numId w:val="2"/>
        </w:numPr>
        <w:spacing w:after="156"/>
        <w:ind w:left="567" w:leftChars="0" w:hanging="567" w:firstLineChars="0"/>
        <w:jc w:val="left"/>
        <w:rPr>
          <w:rFonts w:hint="eastAsia"/>
          <w:lang w:val="en-US" w:eastAsia="zh-CN"/>
        </w:rPr>
      </w:pPr>
      <w:bookmarkStart w:id="10" w:name="_Toc31963"/>
      <w:r>
        <w:rPr>
          <w:rFonts w:hint="eastAsia"/>
          <w:lang w:val="en-US" w:eastAsia="zh-CN"/>
        </w:rPr>
        <w:t>维护记录</w:t>
      </w:r>
      <w:bookmarkEnd w:id="10"/>
    </w:p>
    <w:tbl>
      <w:tblPr>
        <w:tblStyle w:val="11"/>
        <w:tblW w:w="8334"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8"/>
        <w:gridCol w:w="1716"/>
        <w:gridCol w:w="1155"/>
        <w:gridCol w:w="1022"/>
        <w:gridCol w:w="3523"/>
      </w:tblGrid>
      <w:tr w14:paraId="77199065">
        <w:tblPrEx>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F2F2F2"/>
            <w:vAlign w:val="center"/>
          </w:tcPr>
          <w:p w14:paraId="5B064572">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版本号</w:t>
            </w:r>
          </w:p>
        </w:tc>
        <w:tc>
          <w:tcPr>
            <w:tcW w:w="1716" w:type="dxa"/>
            <w:tcBorders>
              <w:top w:val="nil"/>
              <w:left w:val="nil"/>
              <w:bottom w:val="nil"/>
              <w:right w:val="single" w:color="auto" w:sz="4" w:space="0"/>
            </w:tcBorders>
            <w:shd w:val="clear" w:color="auto" w:fill="F2F2F2"/>
            <w:vAlign w:val="center"/>
          </w:tcPr>
          <w:p w14:paraId="1A421D3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修订日期</w:t>
            </w:r>
          </w:p>
        </w:tc>
        <w:tc>
          <w:tcPr>
            <w:tcW w:w="1155" w:type="dxa"/>
            <w:tcBorders>
              <w:top w:val="nil"/>
              <w:left w:val="nil"/>
              <w:bottom w:val="nil"/>
              <w:right w:val="single" w:color="auto" w:sz="4" w:space="0"/>
            </w:tcBorders>
            <w:shd w:val="clear" w:color="auto" w:fill="F2F2F2"/>
            <w:vAlign w:val="center"/>
          </w:tcPr>
          <w:p w14:paraId="035064D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修改人</w:t>
            </w:r>
          </w:p>
        </w:tc>
        <w:tc>
          <w:tcPr>
            <w:tcW w:w="1022" w:type="dxa"/>
            <w:tcBorders>
              <w:top w:val="nil"/>
              <w:left w:val="nil"/>
              <w:bottom w:val="nil"/>
              <w:right w:val="nil"/>
            </w:tcBorders>
            <w:shd w:val="clear" w:color="auto" w:fill="F2F2F2"/>
            <w:vAlign w:val="center"/>
          </w:tcPr>
          <w:p w14:paraId="728E1828">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审核人</w:t>
            </w:r>
          </w:p>
        </w:tc>
        <w:tc>
          <w:tcPr>
            <w:tcW w:w="3523" w:type="dxa"/>
            <w:tcBorders>
              <w:top w:val="nil"/>
              <w:left w:val="nil"/>
              <w:bottom w:val="nil"/>
              <w:right w:val="nil"/>
            </w:tcBorders>
            <w:shd w:val="clear" w:color="auto" w:fill="F2F2F2"/>
            <w:vAlign w:val="center"/>
          </w:tcPr>
          <w:p w14:paraId="05BD110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修改内容概述</w:t>
            </w:r>
          </w:p>
        </w:tc>
      </w:tr>
      <w:tr w14:paraId="65ECE3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auto"/>
            <w:vAlign w:val="center"/>
          </w:tcPr>
          <w:p w14:paraId="399AE288">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V1.1.0</w:t>
            </w:r>
          </w:p>
        </w:tc>
        <w:tc>
          <w:tcPr>
            <w:tcW w:w="1716" w:type="dxa"/>
            <w:tcBorders>
              <w:top w:val="nil"/>
              <w:left w:val="nil"/>
              <w:bottom w:val="nil"/>
              <w:right w:val="single" w:color="auto" w:sz="4" w:space="0"/>
            </w:tcBorders>
            <w:shd w:val="clear" w:color="auto" w:fill="auto"/>
            <w:vAlign w:val="center"/>
          </w:tcPr>
          <w:p w14:paraId="6B5314C3">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2025-12-24</w:t>
            </w:r>
          </w:p>
        </w:tc>
        <w:tc>
          <w:tcPr>
            <w:tcW w:w="1155" w:type="dxa"/>
            <w:tcBorders>
              <w:top w:val="nil"/>
              <w:left w:val="nil"/>
              <w:bottom w:val="nil"/>
              <w:right w:val="single" w:color="auto" w:sz="4" w:space="0"/>
            </w:tcBorders>
            <w:shd w:val="clear" w:color="auto" w:fill="auto"/>
            <w:vAlign w:val="center"/>
          </w:tcPr>
          <w:p w14:paraId="17F3F0DB">
            <w:pPr>
              <w:spacing w:line="360" w:lineRule="auto"/>
              <w:jc w:val="center"/>
              <w:rPr>
                <w:rFonts w:hint="eastAsia" w:ascii="Times New Roman" w:hAnsi="Times New Roman" w:eastAsia="宋体" w:cs="Times New Roman"/>
                <w:b w:val="0"/>
                <w:bCs/>
                <w:color w:val="000000"/>
                <w:szCs w:val="21"/>
                <w:lang w:val="en-US" w:eastAsia="zh-CN"/>
              </w:rPr>
            </w:pPr>
            <w:r>
              <w:rPr>
                <w:rFonts w:hint="eastAsia" w:cs="Times New Roman"/>
                <w:b w:val="0"/>
                <w:bCs/>
                <w:color w:val="000000"/>
                <w:szCs w:val="21"/>
                <w:lang w:val="en-US" w:eastAsia="zh-CN"/>
              </w:rPr>
              <w:t>张强</w:t>
            </w:r>
          </w:p>
        </w:tc>
        <w:tc>
          <w:tcPr>
            <w:tcW w:w="1022" w:type="dxa"/>
            <w:tcBorders>
              <w:top w:val="nil"/>
              <w:left w:val="nil"/>
              <w:bottom w:val="nil"/>
              <w:right w:val="nil"/>
            </w:tcBorders>
            <w:shd w:val="clear" w:color="auto" w:fill="auto"/>
            <w:vAlign w:val="center"/>
          </w:tcPr>
          <w:p w14:paraId="781D16C6">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无</w:t>
            </w:r>
          </w:p>
        </w:tc>
        <w:tc>
          <w:tcPr>
            <w:tcW w:w="3523" w:type="dxa"/>
            <w:tcBorders>
              <w:top w:val="nil"/>
              <w:left w:val="nil"/>
              <w:bottom w:val="nil"/>
              <w:right w:val="nil"/>
            </w:tcBorders>
            <w:shd w:val="clear" w:color="auto" w:fill="auto"/>
            <w:vAlign w:val="center"/>
          </w:tcPr>
          <w:p w14:paraId="32B2206D">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初始版本发布，完成文档核心内容编制</w:t>
            </w:r>
          </w:p>
        </w:tc>
      </w:tr>
      <w:bookmarkEnd w:id="0"/>
    </w:tbl>
    <w:p w14:paraId="4CC70430">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1" w:name="_Toc29294"/>
      <w:bookmarkStart w:id="12" w:name="heading_1"/>
      <w:r>
        <w:rPr>
          <w:rFonts w:hint="eastAsia" w:ascii="Arial" w:hAnsi="Arial" w:eastAsia="黑体" w:cs="Times New Roman"/>
          <w:spacing w:val="20"/>
          <w:sz w:val="36"/>
          <w:szCs w:val="44"/>
          <w:lang w:bidi="ar-SA"/>
        </w:rPr>
        <w:t>概述</w:t>
      </w:r>
      <w:bookmarkEnd w:id="11"/>
      <w:bookmarkEnd w:id="12"/>
    </w:p>
    <w:p w14:paraId="01DFA8FA">
      <w:pPr>
        <w:pStyle w:val="4"/>
        <w:numPr>
          <w:ilvl w:val="1"/>
          <w:numId w:val="2"/>
        </w:numPr>
        <w:spacing w:after="156"/>
        <w:ind w:left="567" w:leftChars="0" w:hanging="567" w:firstLineChars="0"/>
        <w:jc w:val="left"/>
        <w:rPr>
          <w:rFonts w:hint="eastAsia"/>
          <w:lang w:val="en-US" w:eastAsia="zh-CN"/>
        </w:rPr>
      </w:pPr>
      <w:bookmarkStart w:id="13" w:name="heading_2"/>
      <w:bookmarkStart w:id="14" w:name="_Toc27218"/>
      <w:r>
        <w:rPr>
          <w:rFonts w:hint="eastAsia"/>
          <w:lang w:val="en-US" w:eastAsia="zh-CN"/>
        </w:rPr>
        <w:t>风险识别目的</w:t>
      </w:r>
      <w:bookmarkEnd w:id="13"/>
      <w:bookmarkEnd w:id="14"/>
    </w:p>
    <w:p w14:paraId="76B28D84">
      <w:pPr>
        <w:ind w:firstLine="480" w:firstLineChars="20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全面梳理MES系统开发项目从启动、规划、执行到收尾各阶段的潜在风险，建立标准化风险管控体系，实现“提前预防、及时预警、快速应对、闭环管控”，确保项目在既定范围、进度、成本内交付符合质量要求的产品，满足企业生产业务核心需求。</w:t>
      </w:r>
    </w:p>
    <w:p w14:paraId="734EFA22">
      <w:pPr>
        <w:pStyle w:val="4"/>
        <w:numPr>
          <w:ilvl w:val="1"/>
          <w:numId w:val="2"/>
        </w:numPr>
        <w:spacing w:after="156"/>
        <w:ind w:left="567" w:leftChars="0" w:hanging="567" w:firstLineChars="0"/>
        <w:jc w:val="left"/>
        <w:rPr>
          <w:rFonts w:hint="eastAsia"/>
          <w:lang w:val="en-US" w:eastAsia="zh-CN"/>
        </w:rPr>
      </w:pPr>
      <w:bookmarkStart w:id="15" w:name="heading_3"/>
      <w:bookmarkStart w:id="16" w:name="_Toc11456"/>
      <w:r>
        <w:rPr>
          <w:rFonts w:hint="eastAsia"/>
          <w:lang w:val="en-US" w:eastAsia="zh-CN"/>
        </w:rPr>
        <w:t>风险识别范围</w:t>
      </w:r>
      <w:bookmarkEnd w:id="15"/>
      <w:bookmarkEnd w:id="16"/>
    </w:p>
    <w:p w14:paraId="4F41A5A3">
      <w:pPr>
        <w:ind w:firstLine="480" w:firstLineChars="20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覆盖项目全生命周期，包括但不限于：需求管理、技术实现、进度管控、成本控制、资源保障、质量管控、安全合规、外部环境、团队协作、运维部署等维度。</w:t>
      </w:r>
    </w:p>
    <w:p w14:paraId="63A0E09F">
      <w:pPr>
        <w:pStyle w:val="4"/>
        <w:numPr>
          <w:ilvl w:val="1"/>
          <w:numId w:val="2"/>
        </w:numPr>
        <w:spacing w:after="156"/>
        <w:ind w:left="567" w:leftChars="0" w:hanging="567" w:firstLineChars="0"/>
        <w:jc w:val="left"/>
        <w:rPr>
          <w:rFonts w:hint="eastAsia"/>
          <w:lang w:val="en-US" w:eastAsia="zh-CN"/>
        </w:rPr>
      </w:pPr>
      <w:bookmarkStart w:id="17" w:name="_Toc2900"/>
      <w:bookmarkStart w:id="18" w:name="heading_4"/>
      <w:r>
        <w:rPr>
          <w:rFonts w:hint="eastAsia"/>
          <w:lang w:val="en-US" w:eastAsia="zh-CN"/>
        </w:rPr>
        <w:t>风险识别方法</w:t>
      </w:r>
      <w:bookmarkEnd w:id="17"/>
      <w:bookmarkEnd w:id="18"/>
    </w:p>
    <w:p w14:paraId="29DEE606">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历史复盘法：参考企业过往MES、ERP等同类系统开发项目的风险记录，提炼共性风险点；</w:t>
      </w:r>
    </w:p>
    <w:p w14:paraId="50377BA2">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头脑风暴法：组织项目组、业务部门、运维部门核心人员开展风险研讨会，发散梳理潜在风险；</w:t>
      </w:r>
    </w:p>
    <w:p w14:paraId="45B6CE2B">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SWOT分析法：结合项目资源、技术能力、业务需求，分析内部优势/劣势、外部机会/威胁，推导风险点；</w:t>
      </w:r>
    </w:p>
    <w:p w14:paraId="41E1C8CF">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流程分析法：按“需求→设计→开发→测试→部署→运维”流程拆解，逐个环节识别风险；</w:t>
      </w:r>
    </w:p>
    <w:p w14:paraId="5406E709">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专家评审法：邀请技术专家、合规专家、生产业务专家对初步识别的风险进行评审，补充遗漏风险并校准风险等级。</w:t>
      </w:r>
    </w:p>
    <w:p w14:paraId="2051D76B">
      <w:pPr>
        <w:pStyle w:val="4"/>
        <w:numPr>
          <w:ilvl w:val="1"/>
          <w:numId w:val="2"/>
        </w:numPr>
        <w:spacing w:after="156"/>
        <w:ind w:left="567" w:leftChars="0" w:hanging="567" w:firstLineChars="0"/>
        <w:jc w:val="left"/>
        <w:rPr>
          <w:rFonts w:hint="eastAsia"/>
          <w:lang w:val="en-US" w:eastAsia="zh-CN"/>
        </w:rPr>
      </w:pPr>
      <w:bookmarkStart w:id="19" w:name="heading_5"/>
      <w:bookmarkStart w:id="20" w:name="_Toc20847"/>
      <w:r>
        <w:rPr>
          <w:rFonts w:hint="eastAsia"/>
          <w:lang w:val="en-US" w:eastAsia="zh-CN"/>
        </w:rPr>
        <w:t>风险评估标准</w:t>
      </w:r>
      <w:bookmarkEnd w:id="19"/>
      <w:bookmarkEnd w:id="20"/>
    </w:p>
    <w:p w14:paraId="75004321">
      <w:pPr>
        <w:pStyle w:val="5"/>
        <w:numPr>
          <w:ilvl w:val="2"/>
          <w:numId w:val="2"/>
        </w:numPr>
        <w:bidi w:val="0"/>
        <w:ind w:left="709" w:leftChars="0" w:hanging="709" w:firstLineChars="0"/>
        <w:rPr>
          <w:rFonts w:hint="eastAsia"/>
          <w:lang w:val="en-US" w:eastAsia="zh-CN"/>
        </w:rPr>
      </w:pPr>
      <w:bookmarkStart w:id="21" w:name="heading_6"/>
      <w:bookmarkStart w:id="22" w:name="_Toc8011"/>
      <w:r>
        <w:rPr>
          <w:rFonts w:hint="eastAsia"/>
          <w:lang w:val="en-US" w:eastAsia="zh-CN"/>
        </w:rPr>
        <w:t>影响程度分级</w:t>
      </w:r>
      <w:bookmarkEnd w:id="21"/>
      <w:bookmarkEnd w:id="22"/>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50"/>
        <w:gridCol w:w="3291"/>
        <w:gridCol w:w="3739"/>
      </w:tblGrid>
      <w:tr w14:paraId="12DB9F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250" w:type="dxa"/>
            <w:tcMar>
              <w:top w:w="60" w:type="dxa"/>
              <w:left w:w="120" w:type="dxa"/>
              <w:bottom w:w="30" w:type="dxa"/>
              <w:right w:w="120" w:type="dxa"/>
            </w:tcMar>
          </w:tcPr>
          <w:p w14:paraId="74B4B8E2">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等级</w:t>
            </w:r>
          </w:p>
        </w:tc>
        <w:tc>
          <w:tcPr>
            <w:tcW w:w="3291" w:type="dxa"/>
            <w:tcMar>
              <w:top w:w="60" w:type="dxa"/>
              <w:left w:w="120" w:type="dxa"/>
              <w:bottom w:w="30" w:type="dxa"/>
              <w:right w:w="120" w:type="dxa"/>
            </w:tcMar>
          </w:tcPr>
          <w:p w14:paraId="2E2FE366">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定义</w:t>
            </w:r>
          </w:p>
        </w:tc>
        <w:tc>
          <w:tcPr>
            <w:tcW w:w="3739" w:type="dxa"/>
            <w:tcMar>
              <w:top w:w="60" w:type="dxa"/>
              <w:left w:w="120" w:type="dxa"/>
              <w:bottom w:w="30" w:type="dxa"/>
              <w:right w:w="120" w:type="dxa"/>
            </w:tcMar>
          </w:tcPr>
          <w:p w14:paraId="7AD7396A">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判定标准（满足任一即可）</w:t>
            </w:r>
          </w:p>
        </w:tc>
      </w:tr>
      <w:tr w14:paraId="3C2670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50" w:type="dxa"/>
            <w:tcMar>
              <w:top w:w="60" w:type="dxa"/>
              <w:left w:w="120" w:type="dxa"/>
              <w:bottom w:w="30" w:type="dxa"/>
              <w:right w:w="120" w:type="dxa"/>
            </w:tcMar>
          </w:tcPr>
          <w:p w14:paraId="2F5E328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3291" w:type="dxa"/>
            <w:tcMar>
              <w:top w:w="60" w:type="dxa"/>
              <w:left w:w="120" w:type="dxa"/>
              <w:bottom w:w="30" w:type="dxa"/>
              <w:right w:w="120" w:type="dxa"/>
            </w:tcMar>
          </w:tcPr>
          <w:p w14:paraId="08173DA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导致项目目标无法实现，核心业务中断，造成重大经济损失或合规风险</w:t>
            </w:r>
          </w:p>
        </w:tc>
        <w:tc>
          <w:tcPr>
            <w:tcW w:w="3739" w:type="dxa"/>
            <w:tcMar>
              <w:top w:w="60" w:type="dxa"/>
              <w:left w:w="120" w:type="dxa"/>
              <w:bottom w:w="30" w:type="dxa"/>
              <w:right w:w="120" w:type="dxa"/>
            </w:tcMar>
          </w:tcPr>
          <w:p w14:paraId="798BF18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核心流程断裂、数据泄露/丢失、违反法律法规、项目延期超2周、成本超支30%以上</w:t>
            </w:r>
          </w:p>
        </w:tc>
      </w:tr>
      <w:tr w14:paraId="7CFF43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50" w:type="dxa"/>
            <w:tcMar>
              <w:top w:w="60" w:type="dxa"/>
              <w:left w:w="120" w:type="dxa"/>
              <w:bottom w:w="30" w:type="dxa"/>
              <w:right w:w="120" w:type="dxa"/>
            </w:tcMar>
          </w:tcPr>
          <w:p w14:paraId="4C57740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3291" w:type="dxa"/>
            <w:tcMar>
              <w:top w:w="60" w:type="dxa"/>
              <w:left w:w="120" w:type="dxa"/>
              <w:bottom w:w="30" w:type="dxa"/>
              <w:right w:w="120" w:type="dxa"/>
            </w:tcMar>
          </w:tcPr>
          <w:p w14:paraId="4BCF1CA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影响项目核心功能交付，进度/成本超出预期，需调整项目计划</w:t>
            </w:r>
          </w:p>
        </w:tc>
        <w:tc>
          <w:tcPr>
            <w:tcW w:w="3739" w:type="dxa"/>
            <w:tcMar>
              <w:top w:w="60" w:type="dxa"/>
              <w:left w:w="120" w:type="dxa"/>
              <w:bottom w:w="30" w:type="dxa"/>
              <w:right w:w="120" w:type="dxa"/>
            </w:tcMar>
          </w:tcPr>
          <w:p w14:paraId="7BB996D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非核心流程断裂、功能存在重大缺陷、项目延期1-2周、成本超支10%-30%、用户体验严重受损</w:t>
            </w:r>
          </w:p>
        </w:tc>
      </w:tr>
      <w:tr w14:paraId="7A2AEC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50" w:type="dxa"/>
            <w:tcMar>
              <w:top w:w="60" w:type="dxa"/>
              <w:left w:w="120" w:type="dxa"/>
              <w:bottom w:w="30" w:type="dxa"/>
              <w:right w:w="120" w:type="dxa"/>
            </w:tcMar>
          </w:tcPr>
          <w:p w14:paraId="42C0507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一般（L）</w:t>
            </w:r>
          </w:p>
        </w:tc>
        <w:tc>
          <w:tcPr>
            <w:tcW w:w="3291" w:type="dxa"/>
            <w:tcMar>
              <w:top w:w="60" w:type="dxa"/>
              <w:left w:w="120" w:type="dxa"/>
              <w:bottom w:w="30" w:type="dxa"/>
              <w:right w:w="120" w:type="dxa"/>
            </w:tcMar>
          </w:tcPr>
          <w:p w14:paraId="3E248DC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不影响核心目标实现，仅对局部功能、进度有轻微影响，可快速整改</w:t>
            </w:r>
          </w:p>
        </w:tc>
        <w:tc>
          <w:tcPr>
            <w:tcW w:w="3739" w:type="dxa"/>
            <w:tcMar>
              <w:top w:w="60" w:type="dxa"/>
              <w:left w:w="120" w:type="dxa"/>
              <w:bottom w:w="30" w:type="dxa"/>
              <w:right w:w="120" w:type="dxa"/>
            </w:tcMar>
          </w:tcPr>
          <w:p w14:paraId="15DFAA9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局部功能缺陷、界面样式异常、项目延期≤3天、成本超支≤10%、轻微操作不便</w:t>
            </w:r>
          </w:p>
        </w:tc>
      </w:tr>
      <w:tr w14:paraId="31BFBF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50" w:type="dxa"/>
            <w:tcMar>
              <w:top w:w="60" w:type="dxa"/>
              <w:left w:w="120" w:type="dxa"/>
              <w:bottom w:w="30" w:type="dxa"/>
              <w:right w:w="120" w:type="dxa"/>
            </w:tcMar>
          </w:tcPr>
          <w:p w14:paraId="2073916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轻微（N）</w:t>
            </w:r>
          </w:p>
        </w:tc>
        <w:tc>
          <w:tcPr>
            <w:tcW w:w="3291" w:type="dxa"/>
            <w:tcMar>
              <w:top w:w="60" w:type="dxa"/>
              <w:left w:w="120" w:type="dxa"/>
              <w:bottom w:w="30" w:type="dxa"/>
              <w:right w:w="120" w:type="dxa"/>
            </w:tcMar>
          </w:tcPr>
          <w:p w14:paraId="6DA539D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对项目无实质影响，仅需微调优化，不影响交付质量与业务使用</w:t>
            </w:r>
          </w:p>
        </w:tc>
        <w:tc>
          <w:tcPr>
            <w:tcW w:w="3739" w:type="dxa"/>
            <w:tcMar>
              <w:top w:w="60" w:type="dxa"/>
              <w:left w:w="120" w:type="dxa"/>
              <w:bottom w:w="30" w:type="dxa"/>
              <w:right w:w="120" w:type="dxa"/>
            </w:tcMar>
          </w:tcPr>
          <w:p w14:paraId="4C599D9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文字错误、非关键字段显示异常、可忽略的性能波动</w:t>
            </w:r>
          </w:p>
        </w:tc>
      </w:tr>
    </w:tbl>
    <w:p w14:paraId="4196456C">
      <w:pPr>
        <w:pStyle w:val="5"/>
        <w:numPr>
          <w:ilvl w:val="2"/>
          <w:numId w:val="2"/>
        </w:numPr>
        <w:bidi w:val="0"/>
        <w:ind w:left="709" w:leftChars="0" w:hanging="709" w:firstLineChars="0"/>
        <w:rPr>
          <w:rFonts w:hint="eastAsia" w:ascii="Times New Roman" w:hAnsi="Times New Roman" w:eastAsia="宋体" w:cs="Times New Roman"/>
          <w:b/>
          <w:lang w:val="en-US" w:eastAsia="zh-CN"/>
        </w:rPr>
      </w:pPr>
      <w:bookmarkStart w:id="23" w:name="_Toc17436"/>
      <w:bookmarkStart w:id="24" w:name="heading_7"/>
      <w:r>
        <w:rPr>
          <w:rFonts w:hint="eastAsia" w:ascii="Times New Roman" w:hAnsi="Times New Roman" w:eastAsia="宋体" w:cs="Times New Roman"/>
          <w:b/>
          <w:lang w:val="en-US" w:eastAsia="zh-CN"/>
        </w:rPr>
        <w:t>发生概率分级</w:t>
      </w:r>
      <w:bookmarkEnd w:id="23"/>
      <w:bookmarkEnd w:id="24"/>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DA51C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0DD3B51">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等级</w:t>
            </w:r>
          </w:p>
        </w:tc>
        <w:tc>
          <w:tcPr>
            <w:tcW w:w="2760" w:type="dxa"/>
            <w:tcMar>
              <w:top w:w="60" w:type="dxa"/>
              <w:left w:w="120" w:type="dxa"/>
              <w:bottom w:w="30" w:type="dxa"/>
              <w:right w:w="120" w:type="dxa"/>
            </w:tcMar>
          </w:tcPr>
          <w:p w14:paraId="2093B4CF">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定义</w:t>
            </w:r>
          </w:p>
        </w:tc>
        <w:tc>
          <w:tcPr>
            <w:tcW w:w="2760" w:type="dxa"/>
            <w:tcMar>
              <w:top w:w="60" w:type="dxa"/>
              <w:left w:w="120" w:type="dxa"/>
              <w:bottom w:w="30" w:type="dxa"/>
              <w:right w:w="120" w:type="dxa"/>
            </w:tcMar>
          </w:tcPr>
          <w:p w14:paraId="58033D4A">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发生概率范围</w:t>
            </w:r>
          </w:p>
        </w:tc>
      </w:tr>
      <w:tr w14:paraId="0EE99D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49E319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高（H）</w:t>
            </w:r>
          </w:p>
        </w:tc>
        <w:tc>
          <w:tcPr>
            <w:tcW w:w="2760" w:type="dxa"/>
            <w:tcMar>
              <w:top w:w="60" w:type="dxa"/>
              <w:left w:w="120" w:type="dxa"/>
              <w:bottom w:w="30" w:type="dxa"/>
              <w:right w:w="120" w:type="dxa"/>
            </w:tcMar>
          </w:tcPr>
          <w:p w14:paraId="064584F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极有可能发生，过往同类项目频繁出现</w:t>
            </w:r>
          </w:p>
        </w:tc>
        <w:tc>
          <w:tcPr>
            <w:tcW w:w="2760" w:type="dxa"/>
            <w:tcMar>
              <w:top w:w="60" w:type="dxa"/>
              <w:left w:w="120" w:type="dxa"/>
              <w:bottom w:w="30" w:type="dxa"/>
              <w:right w:w="120" w:type="dxa"/>
            </w:tcMar>
          </w:tcPr>
          <w:p w14:paraId="42E1DF4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概率≥60%</w:t>
            </w:r>
          </w:p>
        </w:tc>
      </w:tr>
      <w:tr w14:paraId="1B3AC3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99BD8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2760" w:type="dxa"/>
            <w:tcMar>
              <w:top w:w="60" w:type="dxa"/>
              <w:left w:w="120" w:type="dxa"/>
              <w:bottom w:w="30" w:type="dxa"/>
              <w:right w:w="120" w:type="dxa"/>
            </w:tcMar>
          </w:tcPr>
          <w:p w14:paraId="4B69F00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可能发生，存在明确触发条件，过往同类项目偶有出现</w:t>
            </w:r>
          </w:p>
        </w:tc>
        <w:tc>
          <w:tcPr>
            <w:tcW w:w="2760" w:type="dxa"/>
            <w:tcMar>
              <w:top w:w="60" w:type="dxa"/>
              <w:left w:w="120" w:type="dxa"/>
              <w:bottom w:w="30" w:type="dxa"/>
              <w:right w:w="120" w:type="dxa"/>
            </w:tcMar>
          </w:tcPr>
          <w:p w14:paraId="07E0D7C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30%≤概率＜60%</w:t>
            </w:r>
          </w:p>
        </w:tc>
      </w:tr>
      <w:tr w14:paraId="1A6328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A179F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低（L）</w:t>
            </w:r>
          </w:p>
        </w:tc>
        <w:tc>
          <w:tcPr>
            <w:tcW w:w="2760" w:type="dxa"/>
            <w:tcMar>
              <w:top w:w="60" w:type="dxa"/>
              <w:left w:w="120" w:type="dxa"/>
              <w:bottom w:w="30" w:type="dxa"/>
              <w:right w:w="120" w:type="dxa"/>
            </w:tcMar>
          </w:tcPr>
          <w:p w14:paraId="2388B4D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发生概率较低，需多重条件叠加触发</w:t>
            </w:r>
          </w:p>
        </w:tc>
        <w:tc>
          <w:tcPr>
            <w:tcW w:w="2760" w:type="dxa"/>
            <w:tcMar>
              <w:top w:w="60" w:type="dxa"/>
              <w:left w:w="120" w:type="dxa"/>
              <w:bottom w:w="30" w:type="dxa"/>
              <w:right w:w="120" w:type="dxa"/>
            </w:tcMar>
          </w:tcPr>
          <w:p w14:paraId="22E8D10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概率＜30%</w:t>
            </w:r>
          </w:p>
        </w:tc>
      </w:tr>
    </w:tbl>
    <w:p w14:paraId="3E046758">
      <w:pPr>
        <w:pStyle w:val="5"/>
        <w:numPr>
          <w:ilvl w:val="2"/>
          <w:numId w:val="2"/>
        </w:numPr>
        <w:bidi w:val="0"/>
        <w:ind w:left="709" w:leftChars="0" w:hanging="709" w:firstLineChars="0"/>
        <w:rPr>
          <w:rFonts w:hint="eastAsia" w:ascii="Times New Roman" w:hAnsi="Times New Roman" w:eastAsia="宋体" w:cs="Times New Roman"/>
          <w:b/>
          <w:lang w:val="en-US" w:eastAsia="zh-CN"/>
        </w:rPr>
      </w:pPr>
      <w:bookmarkStart w:id="25" w:name="_Toc7599"/>
      <w:bookmarkStart w:id="26" w:name="heading_8"/>
      <w:r>
        <w:rPr>
          <w:rFonts w:hint="eastAsia" w:ascii="Times New Roman" w:hAnsi="Times New Roman" w:eastAsia="宋体" w:cs="Times New Roman"/>
          <w:b/>
          <w:lang w:val="en-US" w:eastAsia="zh-CN"/>
        </w:rPr>
        <w:t>风险等级判定规则</w:t>
      </w:r>
      <w:bookmarkEnd w:id="25"/>
      <w:bookmarkEnd w:id="26"/>
    </w:p>
    <w:p w14:paraId="4FFF6E5B">
      <w:pPr>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风险等级=影响程度×发生概率，划分为四级：</w:t>
      </w:r>
    </w:p>
    <w:p w14:paraId="02423DD0">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红色风险（极高）：严重×高、严重×中、较大×高；</w:t>
      </w:r>
    </w:p>
    <w:p w14:paraId="01BEB213">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橙色风险（高）：严重×低、较大×中、一般×高；</w:t>
      </w:r>
    </w:p>
    <w:p w14:paraId="49E09223">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黄色风险（中）：较大×低、一般×中、轻微×高；</w:t>
      </w:r>
    </w:p>
    <w:p w14:paraId="129D8BAD">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蓝色风险（低）：一般×低、轻微×中、轻微×低。</w:t>
      </w:r>
    </w:p>
    <w:p w14:paraId="4E37A29F">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27" w:name="heading_9"/>
      <w:bookmarkStart w:id="28" w:name="_Toc8017"/>
      <w:r>
        <w:rPr>
          <w:rFonts w:hint="eastAsia" w:ascii="Arial" w:hAnsi="Arial" w:eastAsia="黑体" w:cs="Times New Roman"/>
          <w:spacing w:val="20"/>
          <w:sz w:val="36"/>
          <w:szCs w:val="44"/>
          <w:lang w:bidi="ar-SA"/>
        </w:rPr>
        <w:t>详细风险识别清单</w:t>
      </w:r>
      <w:bookmarkEnd w:id="27"/>
      <w:bookmarkEnd w:id="28"/>
    </w:p>
    <w:tbl>
      <w:tblPr>
        <w:tblStyle w:val="11"/>
        <w:tblW w:w="10412"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3"/>
        <w:gridCol w:w="395"/>
        <w:gridCol w:w="1152"/>
        <w:gridCol w:w="503"/>
        <w:gridCol w:w="743"/>
        <w:gridCol w:w="790"/>
        <w:gridCol w:w="1316"/>
        <w:gridCol w:w="1990"/>
        <w:gridCol w:w="642"/>
        <w:gridCol w:w="705"/>
        <w:gridCol w:w="418"/>
        <w:gridCol w:w="1105"/>
      </w:tblGrid>
      <w:tr w14:paraId="0E3E6A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653" w:type="dxa"/>
            <w:tcMar>
              <w:top w:w="60" w:type="dxa"/>
              <w:left w:w="120" w:type="dxa"/>
              <w:bottom w:w="30" w:type="dxa"/>
              <w:right w:w="120" w:type="dxa"/>
            </w:tcMar>
            <w:vAlign w:val="center"/>
          </w:tcPr>
          <w:p w14:paraId="357F92F9">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风险ID</w:t>
            </w:r>
          </w:p>
        </w:tc>
        <w:tc>
          <w:tcPr>
            <w:tcW w:w="395" w:type="dxa"/>
            <w:tcMar>
              <w:top w:w="60" w:type="dxa"/>
              <w:left w:w="120" w:type="dxa"/>
              <w:bottom w:w="30" w:type="dxa"/>
              <w:right w:w="120" w:type="dxa"/>
            </w:tcMar>
            <w:vAlign w:val="center"/>
          </w:tcPr>
          <w:p w14:paraId="6373BA17">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风险类别</w:t>
            </w:r>
          </w:p>
        </w:tc>
        <w:tc>
          <w:tcPr>
            <w:tcW w:w="1152" w:type="dxa"/>
            <w:tcMar>
              <w:top w:w="60" w:type="dxa"/>
              <w:left w:w="120" w:type="dxa"/>
              <w:bottom w:w="30" w:type="dxa"/>
              <w:right w:w="120" w:type="dxa"/>
            </w:tcMar>
            <w:vAlign w:val="center"/>
          </w:tcPr>
          <w:p w14:paraId="47845767">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风险描述</w:t>
            </w:r>
          </w:p>
        </w:tc>
        <w:tc>
          <w:tcPr>
            <w:tcW w:w="503" w:type="dxa"/>
            <w:tcMar>
              <w:top w:w="60" w:type="dxa"/>
              <w:left w:w="120" w:type="dxa"/>
              <w:bottom w:w="30" w:type="dxa"/>
              <w:right w:w="120" w:type="dxa"/>
            </w:tcMar>
            <w:vAlign w:val="center"/>
          </w:tcPr>
          <w:p w14:paraId="3E39F41D">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影响程度</w:t>
            </w:r>
          </w:p>
        </w:tc>
        <w:tc>
          <w:tcPr>
            <w:tcW w:w="743" w:type="dxa"/>
            <w:tcMar>
              <w:top w:w="60" w:type="dxa"/>
              <w:left w:w="120" w:type="dxa"/>
              <w:bottom w:w="30" w:type="dxa"/>
              <w:right w:w="120" w:type="dxa"/>
            </w:tcMar>
            <w:vAlign w:val="center"/>
          </w:tcPr>
          <w:p w14:paraId="43894F57">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发生概率</w:t>
            </w:r>
          </w:p>
        </w:tc>
        <w:tc>
          <w:tcPr>
            <w:tcW w:w="790" w:type="dxa"/>
            <w:tcMar>
              <w:top w:w="60" w:type="dxa"/>
              <w:left w:w="120" w:type="dxa"/>
              <w:bottom w:w="30" w:type="dxa"/>
              <w:right w:w="120" w:type="dxa"/>
            </w:tcMar>
            <w:vAlign w:val="center"/>
          </w:tcPr>
          <w:p w14:paraId="2A632A4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风险等级</w:t>
            </w:r>
          </w:p>
        </w:tc>
        <w:tc>
          <w:tcPr>
            <w:tcW w:w="1316" w:type="dxa"/>
            <w:tcMar>
              <w:top w:w="60" w:type="dxa"/>
              <w:left w:w="120" w:type="dxa"/>
              <w:bottom w:w="30" w:type="dxa"/>
              <w:right w:w="120" w:type="dxa"/>
            </w:tcMar>
            <w:vAlign w:val="center"/>
          </w:tcPr>
          <w:p w14:paraId="180E156D">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触发条件</w:t>
            </w:r>
          </w:p>
        </w:tc>
        <w:tc>
          <w:tcPr>
            <w:tcW w:w="1990" w:type="dxa"/>
            <w:tcMar>
              <w:top w:w="60" w:type="dxa"/>
              <w:left w:w="120" w:type="dxa"/>
              <w:bottom w:w="30" w:type="dxa"/>
              <w:right w:w="120" w:type="dxa"/>
            </w:tcMar>
            <w:vAlign w:val="center"/>
          </w:tcPr>
          <w:p w14:paraId="29FE200F">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应对措施</w:t>
            </w:r>
          </w:p>
          <w:p w14:paraId="55DF3B08">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（预防+缓解）</w:t>
            </w:r>
          </w:p>
        </w:tc>
        <w:tc>
          <w:tcPr>
            <w:tcW w:w="642" w:type="dxa"/>
            <w:tcMar>
              <w:top w:w="60" w:type="dxa"/>
              <w:left w:w="120" w:type="dxa"/>
              <w:bottom w:w="30" w:type="dxa"/>
              <w:right w:w="120" w:type="dxa"/>
            </w:tcMar>
            <w:vAlign w:val="center"/>
          </w:tcPr>
          <w:p w14:paraId="17C4283A">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责任人</w:t>
            </w:r>
          </w:p>
        </w:tc>
        <w:tc>
          <w:tcPr>
            <w:tcW w:w="705" w:type="dxa"/>
            <w:tcMar>
              <w:top w:w="60" w:type="dxa"/>
              <w:left w:w="120" w:type="dxa"/>
              <w:bottom w:w="30" w:type="dxa"/>
              <w:right w:w="120" w:type="dxa"/>
            </w:tcMar>
            <w:vAlign w:val="center"/>
          </w:tcPr>
          <w:p w14:paraId="3F517768">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监控方式</w:t>
            </w:r>
          </w:p>
        </w:tc>
        <w:tc>
          <w:tcPr>
            <w:tcW w:w="418" w:type="dxa"/>
            <w:tcMar>
              <w:top w:w="60" w:type="dxa"/>
              <w:left w:w="120" w:type="dxa"/>
              <w:bottom w:w="30" w:type="dxa"/>
              <w:right w:w="120" w:type="dxa"/>
            </w:tcMar>
            <w:vAlign w:val="center"/>
          </w:tcPr>
          <w:p w14:paraId="74E36F50">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监控周期</w:t>
            </w:r>
          </w:p>
        </w:tc>
        <w:tc>
          <w:tcPr>
            <w:tcW w:w="1105" w:type="dxa"/>
            <w:tcMar>
              <w:top w:w="60" w:type="dxa"/>
              <w:left w:w="120" w:type="dxa"/>
              <w:bottom w:w="30" w:type="dxa"/>
              <w:right w:w="120" w:type="dxa"/>
            </w:tcMar>
            <w:vAlign w:val="center"/>
          </w:tcPr>
          <w:p w14:paraId="1B3BD2C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应急方案</w:t>
            </w:r>
          </w:p>
        </w:tc>
      </w:tr>
      <w:tr w14:paraId="4D717F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16A625F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RISK-001</w:t>
            </w:r>
          </w:p>
        </w:tc>
        <w:tc>
          <w:tcPr>
            <w:tcW w:w="395" w:type="dxa"/>
            <w:tcMar>
              <w:top w:w="60" w:type="dxa"/>
              <w:left w:w="120" w:type="dxa"/>
              <w:bottom w:w="30" w:type="dxa"/>
              <w:right w:w="120" w:type="dxa"/>
            </w:tcMar>
            <w:vAlign w:val="center"/>
          </w:tcPr>
          <w:p w14:paraId="7309DBE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需求风险</w:t>
            </w:r>
          </w:p>
        </w:tc>
        <w:tc>
          <w:tcPr>
            <w:tcW w:w="1152" w:type="dxa"/>
            <w:tcMar>
              <w:top w:w="60" w:type="dxa"/>
              <w:left w:w="120" w:type="dxa"/>
              <w:bottom w:w="30" w:type="dxa"/>
              <w:right w:w="120" w:type="dxa"/>
            </w:tcMar>
            <w:vAlign w:val="center"/>
          </w:tcPr>
          <w:p w14:paraId="46D2A62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业务需求不明确、边界模糊，导致开发功能与实际业务脱节，反复返工</w:t>
            </w:r>
          </w:p>
        </w:tc>
        <w:tc>
          <w:tcPr>
            <w:tcW w:w="503" w:type="dxa"/>
            <w:tcMar>
              <w:top w:w="60" w:type="dxa"/>
              <w:left w:w="120" w:type="dxa"/>
              <w:bottom w:w="30" w:type="dxa"/>
              <w:right w:w="120" w:type="dxa"/>
            </w:tcMar>
            <w:vAlign w:val="center"/>
          </w:tcPr>
          <w:p w14:paraId="0DD2C82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6BCF3EA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0012CBD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49D66CD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1.业务部门未提供完整的业务流程文档；2.需求评审未覆盖一线生产人员；3.需求文档未明确异常场景处理逻辑</w:t>
            </w:r>
          </w:p>
        </w:tc>
        <w:tc>
          <w:tcPr>
            <w:tcW w:w="1990" w:type="dxa"/>
            <w:tcMar>
              <w:top w:w="60" w:type="dxa"/>
              <w:left w:w="120" w:type="dxa"/>
              <w:bottom w:w="30" w:type="dxa"/>
              <w:right w:w="120" w:type="dxa"/>
            </w:tcMar>
            <w:vAlign w:val="center"/>
          </w:tcPr>
          <w:p w14:paraId="0402E0C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联合业务部门输出《业务流程说明书》《需求规格说明书》，明确核心场景、异常处理、验收标准；2. 组织需求评审会（含一线操作员、业务主管），签署评审确认单；3. 制作需求原型，与业务部门对齐视觉与交互逻辑。缓解：1. 需求变更需走标准化流程，评估影响后执行；2. 每迭代开展1次需求验证，及时修正偏差</w:t>
            </w:r>
          </w:p>
        </w:tc>
        <w:tc>
          <w:tcPr>
            <w:tcW w:w="642" w:type="dxa"/>
            <w:tcMar>
              <w:top w:w="60" w:type="dxa"/>
              <w:left w:w="120" w:type="dxa"/>
              <w:bottom w:w="30" w:type="dxa"/>
              <w:right w:w="120" w:type="dxa"/>
            </w:tcMar>
            <w:vAlign w:val="center"/>
          </w:tcPr>
          <w:p w14:paraId="519AE29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产品负责人</w:t>
            </w:r>
          </w:p>
        </w:tc>
        <w:tc>
          <w:tcPr>
            <w:tcW w:w="705" w:type="dxa"/>
            <w:tcMar>
              <w:top w:w="60" w:type="dxa"/>
              <w:left w:w="120" w:type="dxa"/>
              <w:bottom w:w="30" w:type="dxa"/>
              <w:right w:w="120" w:type="dxa"/>
            </w:tcMar>
            <w:vAlign w:val="center"/>
          </w:tcPr>
          <w:p w14:paraId="5D4CC54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需求评审会确认、迭代需求验证报告、业务部门定期反馈</w:t>
            </w:r>
          </w:p>
        </w:tc>
        <w:tc>
          <w:tcPr>
            <w:tcW w:w="418" w:type="dxa"/>
            <w:tcMar>
              <w:top w:w="60" w:type="dxa"/>
              <w:left w:w="120" w:type="dxa"/>
              <w:bottom w:w="30" w:type="dxa"/>
              <w:right w:w="120" w:type="dxa"/>
            </w:tcMar>
            <w:vAlign w:val="center"/>
          </w:tcPr>
          <w:p w14:paraId="3EDE141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需求阶段每日跟进，开发阶段每周1次</w:t>
            </w:r>
          </w:p>
        </w:tc>
        <w:tc>
          <w:tcPr>
            <w:tcW w:w="1105" w:type="dxa"/>
            <w:tcMar>
              <w:top w:w="60" w:type="dxa"/>
              <w:left w:w="120" w:type="dxa"/>
              <w:bottom w:w="30" w:type="dxa"/>
              <w:right w:w="120" w:type="dxa"/>
            </w:tcMar>
            <w:vAlign w:val="center"/>
          </w:tcPr>
          <w:p w14:paraId="2976AFD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暂停对应功能开发，组织业务部门紧急澄清需求，输出补充说明文档，调整开发计划，优先保障核心流程</w:t>
            </w:r>
          </w:p>
        </w:tc>
      </w:tr>
      <w:tr w14:paraId="6CA2F1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69317A0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RISK-002</w:t>
            </w:r>
          </w:p>
        </w:tc>
        <w:tc>
          <w:tcPr>
            <w:tcW w:w="395" w:type="dxa"/>
            <w:tcMar>
              <w:top w:w="60" w:type="dxa"/>
              <w:left w:w="120" w:type="dxa"/>
              <w:bottom w:w="30" w:type="dxa"/>
              <w:right w:w="120" w:type="dxa"/>
            </w:tcMar>
            <w:vAlign w:val="center"/>
          </w:tcPr>
          <w:p w14:paraId="024FDE5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需求风险</w:t>
            </w:r>
          </w:p>
        </w:tc>
        <w:tc>
          <w:tcPr>
            <w:tcW w:w="1152" w:type="dxa"/>
            <w:tcMar>
              <w:top w:w="60" w:type="dxa"/>
              <w:left w:w="120" w:type="dxa"/>
              <w:bottom w:w="30" w:type="dxa"/>
              <w:right w:w="120" w:type="dxa"/>
            </w:tcMar>
            <w:vAlign w:val="center"/>
          </w:tcPr>
          <w:p w14:paraId="327D786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业务部门频繁变更需求，导致范围蔓延、进度滞后、成本超支</w:t>
            </w:r>
          </w:p>
        </w:tc>
        <w:tc>
          <w:tcPr>
            <w:tcW w:w="503" w:type="dxa"/>
            <w:tcMar>
              <w:top w:w="60" w:type="dxa"/>
              <w:left w:w="120" w:type="dxa"/>
              <w:bottom w:w="30" w:type="dxa"/>
              <w:right w:w="120" w:type="dxa"/>
            </w:tcMar>
            <w:vAlign w:val="center"/>
          </w:tcPr>
          <w:p w14:paraId="5EF7842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5567D00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6B69E0C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390E04F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业务部门基于生产调整优化需求；2. 需求未提前冻结，变更无管控；3. 未评估变更对进度、成本的影响</w:t>
            </w:r>
          </w:p>
        </w:tc>
        <w:tc>
          <w:tcPr>
            <w:tcW w:w="1990" w:type="dxa"/>
            <w:tcMar>
              <w:top w:w="60" w:type="dxa"/>
              <w:left w:w="120" w:type="dxa"/>
              <w:bottom w:w="30" w:type="dxa"/>
              <w:right w:w="120" w:type="dxa"/>
            </w:tcMar>
            <w:vAlign w:val="center"/>
          </w:tcPr>
          <w:p w14:paraId="628C03D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项目启动时明确需求冻结规则，每个迭代仅允许1个紧急小需求变更，重大变更延后至后续版本；2. 建立《需求变更申请单》制度，需业务部门负责人审批，同步评估对进度、成本、质量的影响；3. 核心需求与非核心需求分级，优先保障核心需求交付。缓解：1. 预留10%的进度缓冲时间应对需求变更；2. 非核心变更纳入需求储备池，作为二期功能</w:t>
            </w:r>
          </w:p>
        </w:tc>
        <w:tc>
          <w:tcPr>
            <w:tcW w:w="642" w:type="dxa"/>
            <w:tcMar>
              <w:top w:w="60" w:type="dxa"/>
              <w:left w:w="120" w:type="dxa"/>
              <w:bottom w:w="30" w:type="dxa"/>
              <w:right w:w="120" w:type="dxa"/>
            </w:tcMar>
            <w:vAlign w:val="center"/>
          </w:tcPr>
          <w:p w14:paraId="474B82C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产品负责人、项目经理</w:t>
            </w:r>
          </w:p>
        </w:tc>
        <w:tc>
          <w:tcPr>
            <w:tcW w:w="705" w:type="dxa"/>
            <w:tcMar>
              <w:top w:w="60" w:type="dxa"/>
              <w:left w:w="120" w:type="dxa"/>
              <w:bottom w:w="30" w:type="dxa"/>
              <w:right w:w="120" w:type="dxa"/>
            </w:tcMar>
            <w:vAlign w:val="center"/>
          </w:tcPr>
          <w:p w14:paraId="4B09F77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需求变更申请单审批记录、每周进度偏差分析、成本动态监控</w:t>
            </w:r>
          </w:p>
        </w:tc>
        <w:tc>
          <w:tcPr>
            <w:tcW w:w="418" w:type="dxa"/>
            <w:tcMar>
              <w:top w:w="60" w:type="dxa"/>
              <w:left w:w="120" w:type="dxa"/>
              <w:bottom w:w="30" w:type="dxa"/>
              <w:right w:w="120" w:type="dxa"/>
            </w:tcMar>
            <w:vAlign w:val="center"/>
          </w:tcPr>
          <w:p w14:paraId="492F577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每周1次，重大变更实时跟踪</w:t>
            </w:r>
          </w:p>
        </w:tc>
        <w:tc>
          <w:tcPr>
            <w:tcW w:w="1105" w:type="dxa"/>
            <w:tcMar>
              <w:top w:w="60" w:type="dxa"/>
              <w:left w:w="120" w:type="dxa"/>
              <w:bottom w:w="30" w:type="dxa"/>
              <w:right w:w="120" w:type="dxa"/>
            </w:tcMar>
            <w:vAlign w:val="center"/>
          </w:tcPr>
          <w:p w14:paraId="28AE802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冻结当前迭代非核心功能开发，优先完成原计划需求；紧急变更启用缓冲时间，超出缓冲范围则启动项目计划调整流程，报技术总监审批</w:t>
            </w:r>
          </w:p>
        </w:tc>
      </w:tr>
      <w:tr w14:paraId="3537B9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7EE9CE0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RISK-003</w:t>
            </w:r>
          </w:p>
        </w:tc>
        <w:tc>
          <w:tcPr>
            <w:tcW w:w="395" w:type="dxa"/>
            <w:tcMar>
              <w:top w:w="60" w:type="dxa"/>
              <w:left w:w="120" w:type="dxa"/>
              <w:bottom w:w="30" w:type="dxa"/>
              <w:right w:w="120" w:type="dxa"/>
            </w:tcMar>
            <w:vAlign w:val="center"/>
          </w:tcPr>
          <w:p w14:paraId="3F8CA58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技术风险</w:t>
            </w:r>
          </w:p>
        </w:tc>
        <w:tc>
          <w:tcPr>
            <w:tcW w:w="1152" w:type="dxa"/>
            <w:tcMar>
              <w:top w:w="60" w:type="dxa"/>
              <w:left w:w="120" w:type="dxa"/>
              <w:bottom w:w="30" w:type="dxa"/>
              <w:right w:w="120" w:type="dxa"/>
            </w:tcMar>
            <w:vAlign w:val="center"/>
          </w:tcPr>
          <w:p w14:paraId="64F4E51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架构设计缺陷，导致系统性能瓶颈、扩展性不足，后续无法支撑业务量增长</w:t>
            </w:r>
          </w:p>
        </w:tc>
        <w:tc>
          <w:tcPr>
            <w:tcW w:w="503" w:type="dxa"/>
            <w:tcMar>
              <w:top w:w="60" w:type="dxa"/>
              <w:left w:w="120" w:type="dxa"/>
              <w:bottom w:w="30" w:type="dxa"/>
              <w:right w:w="120" w:type="dxa"/>
            </w:tcMar>
            <w:vAlign w:val="center"/>
          </w:tcPr>
          <w:p w14:paraId="005326A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6C6CA7C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低（L）</w:t>
            </w:r>
          </w:p>
        </w:tc>
        <w:tc>
          <w:tcPr>
            <w:tcW w:w="790" w:type="dxa"/>
            <w:tcMar>
              <w:top w:w="60" w:type="dxa"/>
              <w:left w:w="120" w:type="dxa"/>
              <w:bottom w:w="30" w:type="dxa"/>
              <w:right w:w="120" w:type="dxa"/>
            </w:tcMar>
            <w:vAlign w:val="center"/>
          </w:tcPr>
          <w:p w14:paraId="0E8C25B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29EE7F0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架构设计未结合企业未来3年生产业务量规划；2. 未经过技术专家评审；3. 忽略高并发、大数据量场景</w:t>
            </w:r>
          </w:p>
        </w:tc>
        <w:tc>
          <w:tcPr>
            <w:tcW w:w="1990" w:type="dxa"/>
            <w:tcMar>
              <w:top w:w="60" w:type="dxa"/>
              <w:left w:w="120" w:type="dxa"/>
              <w:bottom w:w="30" w:type="dxa"/>
              <w:right w:w="120" w:type="dxa"/>
            </w:tcMar>
            <w:vAlign w:val="center"/>
          </w:tcPr>
          <w:p w14:paraId="16EBBE9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架构设计前调研企业业务增长规划，明确性能指标（支持500用户并发、日均数据量10万条）；2. 输出《架构设计文档》，组织技术专家评审；3. 搭建原型架构进行性能测试，验证设计合理性。缓解：1. 核心模块预留扩展接口，便于后续架构优化；2. 数据库核心表建立分区索引，提升查询性能</w:t>
            </w:r>
          </w:p>
        </w:tc>
        <w:tc>
          <w:tcPr>
            <w:tcW w:w="642" w:type="dxa"/>
            <w:tcMar>
              <w:top w:w="60" w:type="dxa"/>
              <w:left w:w="120" w:type="dxa"/>
              <w:bottom w:w="30" w:type="dxa"/>
              <w:right w:w="120" w:type="dxa"/>
            </w:tcMar>
            <w:vAlign w:val="center"/>
          </w:tcPr>
          <w:p w14:paraId="18CC0CE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技术架构师</w:t>
            </w:r>
          </w:p>
        </w:tc>
        <w:tc>
          <w:tcPr>
            <w:tcW w:w="705" w:type="dxa"/>
            <w:tcMar>
              <w:top w:w="60" w:type="dxa"/>
              <w:left w:w="120" w:type="dxa"/>
              <w:bottom w:w="30" w:type="dxa"/>
              <w:right w:w="120" w:type="dxa"/>
            </w:tcMar>
            <w:vAlign w:val="center"/>
          </w:tcPr>
          <w:p w14:paraId="2021881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架构设计评审报告、性能测试报告、业务量增长预测复盘</w:t>
            </w:r>
          </w:p>
        </w:tc>
        <w:tc>
          <w:tcPr>
            <w:tcW w:w="418" w:type="dxa"/>
            <w:tcMar>
              <w:top w:w="60" w:type="dxa"/>
              <w:left w:w="120" w:type="dxa"/>
              <w:bottom w:w="30" w:type="dxa"/>
              <w:right w:w="120" w:type="dxa"/>
            </w:tcMar>
            <w:vAlign w:val="center"/>
          </w:tcPr>
          <w:p w14:paraId="70EFFFE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设计阶段1次/周，开发阶段1次/迭代</w:t>
            </w:r>
          </w:p>
        </w:tc>
        <w:tc>
          <w:tcPr>
            <w:tcW w:w="1105" w:type="dxa"/>
            <w:tcMar>
              <w:top w:w="60" w:type="dxa"/>
              <w:left w:w="120" w:type="dxa"/>
              <w:bottom w:w="30" w:type="dxa"/>
              <w:right w:w="120" w:type="dxa"/>
            </w:tcMar>
            <w:vAlign w:val="center"/>
          </w:tcPr>
          <w:p w14:paraId="39680BB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启用备用架构方案，保障当前业务运行；成立专项小组，制定架构重构计划，在系统上线后二期优化中落地</w:t>
            </w:r>
          </w:p>
        </w:tc>
      </w:tr>
      <w:tr w14:paraId="6540DC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50DACF0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RISK-004</w:t>
            </w:r>
          </w:p>
        </w:tc>
        <w:tc>
          <w:tcPr>
            <w:tcW w:w="395" w:type="dxa"/>
            <w:tcMar>
              <w:top w:w="60" w:type="dxa"/>
              <w:left w:w="120" w:type="dxa"/>
              <w:bottom w:w="30" w:type="dxa"/>
              <w:right w:w="120" w:type="dxa"/>
            </w:tcMar>
            <w:vAlign w:val="center"/>
          </w:tcPr>
          <w:p w14:paraId="56C93BD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技术风险</w:t>
            </w:r>
          </w:p>
        </w:tc>
        <w:tc>
          <w:tcPr>
            <w:tcW w:w="1152" w:type="dxa"/>
            <w:tcMar>
              <w:top w:w="60" w:type="dxa"/>
              <w:left w:w="120" w:type="dxa"/>
              <w:bottom w:w="30" w:type="dxa"/>
              <w:right w:w="120" w:type="dxa"/>
            </w:tcMar>
            <w:vAlign w:val="center"/>
          </w:tcPr>
          <w:p w14:paraId="7521961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跨模块/系统联调失败，核心业务流程断裂</w:t>
            </w:r>
          </w:p>
        </w:tc>
        <w:tc>
          <w:tcPr>
            <w:tcW w:w="503" w:type="dxa"/>
            <w:tcMar>
              <w:top w:w="60" w:type="dxa"/>
              <w:left w:w="120" w:type="dxa"/>
              <w:bottom w:w="30" w:type="dxa"/>
              <w:right w:w="120" w:type="dxa"/>
            </w:tcMar>
            <w:vAlign w:val="center"/>
          </w:tcPr>
          <w:p w14:paraId="1FF70B0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46B815C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581C3E6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45EC189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接口设计未明确数据格式、字段含义、异常码；2. 联调前未完成单模块自测；3. 未制定联调方案与应急预案</w:t>
            </w:r>
          </w:p>
        </w:tc>
        <w:tc>
          <w:tcPr>
            <w:tcW w:w="1990" w:type="dxa"/>
            <w:tcMar>
              <w:top w:w="60" w:type="dxa"/>
              <w:left w:w="120" w:type="dxa"/>
              <w:bottom w:w="30" w:type="dxa"/>
              <w:right w:w="120" w:type="dxa"/>
            </w:tcMar>
            <w:vAlign w:val="center"/>
          </w:tcPr>
          <w:p w14:paraId="7B559E8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输出《接口规范文档》，明确数据类型、传输协议、异常处理机制，组织前后端、跨系统对接人评审；2. 单模块开发完成后，通过Postman完成接口自测，输出《接口自测报告》；3. 制定分步联调方案，按“基础模块→跨模块→跨系统”顺序验证。缓解：1. 预留接口适配层，便于快速调整数据格式；2. 建立联调问题台账，明确整改时限</w:t>
            </w:r>
          </w:p>
        </w:tc>
        <w:tc>
          <w:tcPr>
            <w:tcW w:w="642" w:type="dxa"/>
            <w:tcMar>
              <w:top w:w="60" w:type="dxa"/>
              <w:left w:w="120" w:type="dxa"/>
              <w:bottom w:w="30" w:type="dxa"/>
              <w:right w:w="120" w:type="dxa"/>
            </w:tcMar>
            <w:vAlign w:val="center"/>
          </w:tcPr>
          <w:p w14:paraId="3379B30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后端技术负责人、接口开发工程师</w:t>
            </w:r>
          </w:p>
        </w:tc>
        <w:tc>
          <w:tcPr>
            <w:tcW w:w="705" w:type="dxa"/>
            <w:tcMar>
              <w:top w:w="60" w:type="dxa"/>
              <w:left w:w="120" w:type="dxa"/>
              <w:bottom w:w="30" w:type="dxa"/>
              <w:right w:w="120" w:type="dxa"/>
            </w:tcMar>
            <w:vAlign w:val="center"/>
          </w:tcPr>
          <w:p w14:paraId="3A982ED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接口自测报告、联调问题台账、每日联调进度同步</w:t>
            </w:r>
          </w:p>
        </w:tc>
        <w:tc>
          <w:tcPr>
            <w:tcW w:w="418" w:type="dxa"/>
            <w:tcMar>
              <w:top w:w="60" w:type="dxa"/>
              <w:left w:w="120" w:type="dxa"/>
              <w:bottom w:w="30" w:type="dxa"/>
              <w:right w:w="120" w:type="dxa"/>
            </w:tcMar>
            <w:vAlign w:val="center"/>
          </w:tcPr>
          <w:p w14:paraId="46C8EAB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开发阶段每日跟进，联调阶段实时监控</w:t>
            </w:r>
          </w:p>
        </w:tc>
        <w:tc>
          <w:tcPr>
            <w:tcW w:w="1105" w:type="dxa"/>
            <w:tcMar>
              <w:top w:w="60" w:type="dxa"/>
              <w:left w:w="120" w:type="dxa"/>
              <w:bottom w:w="30" w:type="dxa"/>
              <w:right w:w="120" w:type="dxa"/>
            </w:tcMar>
            <w:vAlign w:val="center"/>
          </w:tcPr>
          <w:p w14:paraId="16C800E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启用临时数据同步方案，保障业务流程演示与试运行；组织技术小组紧急排查问题，优先修复核心接口数据流转逻辑，次要接口延后处理</w:t>
            </w:r>
          </w:p>
        </w:tc>
      </w:tr>
      <w:tr w14:paraId="688933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602CC59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RISK-005</w:t>
            </w:r>
          </w:p>
        </w:tc>
        <w:tc>
          <w:tcPr>
            <w:tcW w:w="395" w:type="dxa"/>
            <w:tcMar>
              <w:top w:w="60" w:type="dxa"/>
              <w:left w:w="120" w:type="dxa"/>
              <w:bottom w:w="30" w:type="dxa"/>
              <w:right w:w="120" w:type="dxa"/>
            </w:tcMar>
            <w:vAlign w:val="center"/>
          </w:tcPr>
          <w:p w14:paraId="197F93D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技术风险</w:t>
            </w:r>
          </w:p>
        </w:tc>
        <w:tc>
          <w:tcPr>
            <w:tcW w:w="1152" w:type="dxa"/>
            <w:tcMar>
              <w:top w:w="60" w:type="dxa"/>
              <w:left w:w="120" w:type="dxa"/>
              <w:bottom w:w="30" w:type="dxa"/>
              <w:right w:w="120" w:type="dxa"/>
            </w:tcMar>
            <w:vAlign w:val="center"/>
          </w:tcPr>
          <w:p w14:paraId="6EC74BD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第三方组件/API依赖风险，导致功能失效或系统安全隐患</w:t>
            </w:r>
          </w:p>
        </w:tc>
        <w:tc>
          <w:tcPr>
            <w:tcW w:w="503" w:type="dxa"/>
            <w:tcMar>
              <w:top w:w="60" w:type="dxa"/>
              <w:left w:w="120" w:type="dxa"/>
              <w:bottom w:w="30" w:type="dxa"/>
              <w:right w:w="120" w:type="dxa"/>
            </w:tcMar>
            <w:vAlign w:val="center"/>
          </w:tcPr>
          <w:p w14:paraId="2A8451B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285E884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27FD471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0D94444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未评估第三方组件安全性与稳定性；2. 未签订服务等级协议（SLA）；3. 无备用组件/接口方案</w:t>
            </w:r>
          </w:p>
        </w:tc>
        <w:tc>
          <w:tcPr>
            <w:tcW w:w="1990" w:type="dxa"/>
            <w:tcMar>
              <w:top w:w="60" w:type="dxa"/>
              <w:left w:w="120" w:type="dxa"/>
              <w:bottom w:w="30" w:type="dxa"/>
              <w:right w:w="120" w:type="dxa"/>
            </w:tcMar>
            <w:vAlign w:val="center"/>
          </w:tcPr>
          <w:p w14:paraId="71213FE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优先选用企业级成熟组件，开源组件需经过安全扫描与兼容性测试；2. 与第三方服务商签订SLA，明确接口可用性（≥99.9%）、故障响应时限；3. 储备备用组件/接口方案。缓解：1. 对开源组件进行二次封装，降低替换成本；2. 建立第三方接口监控机制，及时预警异常</w:t>
            </w:r>
          </w:p>
        </w:tc>
        <w:tc>
          <w:tcPr>
            <w:tcW w:w="642" w:type="dxa"/>
            <w:tcMar>
              <w:top w:w="60" w:type="dxa"/>
              <w:left w:w="120" w:type="dxa"/>
              <w:bottom w:w="30" w:type="dxa"/>
              <w:right w:w="120" w:type="dxa"/>
            </w:tcMar>
            <w:vAlign w:val="center"/>
          </w:tcPr>
          <w:p w14:paraId="76E6622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技术负责人、采购对接人</w:t>
            </w:r>
          </w:p>
        </w:tc>
        <w:tc>
          <w:tcPr>
            <w:tcW w:w="705" w:type="dxa"/>
            <w:tcMar>
              <w:top w:w="60" w:type="dxa"/>
              <w:left w:w="120" w:type="dxa"/>
              <w:bottom w:w="30" w:type="dxa"/>
              <w:right w:w="120" w:type="dxa"/>
            </w:tcMar>
            <w:vAlign w:val="center"/>
          </w:tcPr>
          <w:p w14:paraId="514B053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组件安全测试报告、SLA协议、第三方接口监控日志</w:t>
            </w:r>
          </w:p>
        </w:tc>
        <w:tc>
          <w:tcPr>
            <w:tcW w:w="418" w:type="dxa"/>
            <w:tcMar>
              <w:top w:w="60" w:type="dxa"/>
              <w:left w:w="120" w:type="dxa"/>
              <w:bottom w:w="30" w:type="dxa"/>
              <w:right w:w="120" w:type="dxa"/>
            </w:tcMar>
            <w:vAlign w:val="center"/>
          </w:tcPr>
          <w:p w14:paraId="2899EBA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每周1次，接口异常时实时跟踪</w:t>
            </w:r>
          </w:p>
        </w:tc>
        <w:tc>
          <w:tcPr>
            <w:tcW w:w="1105" w:type="dxa"/>
            <w:tcMar>
              <w:top w:w="60" w:type="dxa"/>
              <w:left w:w="120" w:type="dxa"/>
              <w:bottom w:w="30" w:type="dxa"/>
              <w:right w:w="120" w:type="dxa"/>
            </w:tcMar>
            <w:vAlign w:val="center"/>
          </w:tcPr>
          <w:p w14:paraId="05E07B0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立即切换至备用组件/接口，停止使用存在问题的第三方服务；联系第三方服务商紧急排查修复，同步启动自研替代功能的开发，降低依赖风险</w:t>
            </w:r>
          </w:p>
        </w:tc>
      </w:tr>
      <w:tr w14:paraId="52BB0C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4FDE1D0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RISK-006</w:t>
            </w:r>
          </w:p>
        </w:tc>
        <w:tc>
          <w:tcPr>
            <w:tcW w:w="395" w:type="dxa"/>
            <w:tcMar>
              <w:top w:w="60" w:type="dxa"/>
              <w:left w:w="120" w:type="dxa"/>
              <w:bottom w:w="30" w:type="dxa"/>
              <w:right w:w="120" w:type="dxa"/>
            </w:tcMar>
            <w:vAlign w:val="center"/>
          </w:tcPr>
          <w:p w14:paraId="1172881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进度风险</w:t>
            </w:r>
          </w:p>
        </w:tc>
        <w:tc>
          <w:tcPr>
            <w:tcW w:w="1152" w:type="dxa"/>
            <w:tcMar>
              <w:top w:w="60" w:type="dxa"/>
              <w:left w:w="120" w:type="dxa"/>
              <w:bottom w:w="30" w:type="dxa"/>
              <w:right w:w="120" w:type="dxa"/>
            </w:tcMar>
            <w:vAlign w:val="center"/>
          </w:tcPr>
          <w:p w14:paraId="0629544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核心功能开发超时，导致整体进度滞后，影响上线时间</w:t>
            </w:r>
          </w:p>
        </w:tc>
        <w:tc>
          <w:tcPr>
            <w:tcW w:w="503" w:type="dxa"/>
            <w:tcMar>
              <w:top w:w="60" w:type="dxa"/>
              <w:left w:w="120" w:type="dxa"/>
              <w:bottom w:w="30" w:type="dxa"/>
              <w:right w:w="120" w:type="dxa"/>
            </w:tcMar>
            <w:vAlign w:val="center"/>
          </w:tcPr>
          <w:p w14:paraId="1F84187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5EBA87C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高（H）</w:t>
            </w:r>
          </w:p>
        </w:tc>
        <w:tc>
          <w:tcPr>
            <w:tcW w:w="790" w:type="dxa"/>
            <w:tcMar>
              <w:top w:w="60" w:type="dxa"/>
              <w:left w:w="120" w:type="dxa"/>
              <w:bottom w:w="30" w:type="dxa"/>
              <w:right w:w="120" w:type="dxa"/>
            </w:tcMar>
            <w:vAlign w:val="center"/>
          </w:tcPr>
          <w:p w14:paraId="2A7077C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7F10D34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任务拆分过粗，未细化子步骤与技术难点；2. 开发人员对技术难点预估不足；3. 卡点问题未及时升级处理</w:t>
            </w:r>
          </w:p>
        </w:tc>
        <w:tc>
          <w:tcPr>
            <w:tcW w:w="1990" w:type="dxa"/>
            <w:tcMar>
              <w:top w:w="60" w:type="dxa"/>
              <w:left w:w="120" w:type="dxa"/>
              <w:bottom w:w="30" w:type="dxa"/>
              <w:right w:w="120" w:type="dxa"/>
            </w:tcMar>
            <w:vAlign w:val="center"/>
          </w:tcPr>
          <w:p w14:paraId="5CAE51F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采用WBS任务拆分法，将功能拆分为≤2天的子任务，明确每个子任务的技术难点与交付物；2. 开发前组织技术交底会，评估难点并制定应对方案；3. 建立卡点问题升级机制，1小时内无法解决的问题上报技术负责人。缓解：1. 每个迭代预留2天缓冲时间；2. 核心功能采用双人开发模式，提高效率并降低风险</w:t>
            </w:r>
          </w:p>
        </w:tc>
        <w:tc>
          <w:tcPr>
            <w:tcW w:w="642" w:type="dxa"/>
            <w:tcMar>
              <w:top w:w="60" w:type="dxa"/>
              <w:left w:w="120" w:type="dxa"/>
              <w:bottom w:w="30" w:type="dxa"/>
              <w:right w:w="120" w:type="dxa"/>
            </w:tcMar>
            <w:vAlign w:val="center"/>
          </w:tcPr>
          <w:p w14:paraId="0C9B9B8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项目经理、开发组长</w:t>
            </w:r>
          </w:p>
        </w:tc>
        <w:tc>
          <w:tcPr>
            <w:tcW w:w="705" w:type="dxa"/>
            <w:tcMar>
              <w:top w:w="60" w:type="dxa"/>
              <w:left w:w="120" w:type="dxa"/>
              <w:bottom w:w="30" w:type="dxa"/>
              <w:right w:w="120" w:type="dxa"/>
            </w:tcMar>
            <w:vAlign w:val="center"/>
          </w:tcPr>
          <w:p w14:paraId="589A520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每日站会进度同步、燃尽图跟踪、子任务交付验收记录</w:t>
            </w:r>
          </w:p>
        </w:tc>
        <w:tc>
          <w:tcPr>
            <w:tcW w:w="418" w:type="dxa"/>
            <w:tcMar>
              <w:top w:w="60" w:type="dxa"/>
              <w:left w:w="120" w:type="dxa"/>
              <w:bottom w:w="30" w:type="dxa"/>
              <w:right w:w="120" w:type="dxa"/>
            </w:tcMar>
            <w:vAlign w:val="center"/>
          </w:tcPr>
          <w:p w14:paraId="3F8C6FA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每日1次，进度偏差超10%时实时分析</w:t>
            </w:r>
          </w:p>
        </w:tc>
        <w:tc>
          <w:tcPr>
            <w:tcW w:w="1105" w:type="dxa"/>
            <w:tcMar>
              <w:top w:w="60" w:type="dxa"/>
              <w:left w:w="120" w:type="dxa"/>
              <w:bottom w:w="30" w:type="dxa"/>
              <w:right w:w="120" w:type="dxa"/>
            </w:tcMar>
            <w:vAlign w:val="center"/>
          </w:tcPr>
          <w:p w14:paraId="7D11120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调整子任务优先级，优先完成核心流程相关子步骤，非核心细节简化实现；抽调备用开发人员支援，加班赶工（控制加班频率，避免效率下降）</w:t>
            </w:r>
          </w:p>
        </w:tc>
      </w:tr>
      <w:tr w14:paraId="423576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23939A7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RISK-007</w:t>
            </w:r>
          </w:p>
        </w:tc>
        <w:tc>
          <w:tcPr>
            <w:tcW w:w="395" w:type="dxa"/>
            <w:tcMar>
              <w:top w:w="60" w:type="dxa"/>
              <w:left w:w="120" w:type="dxa"/>
              <w:bottom w:w="30" w:type="dxa"/>
              <w:right w:w="120" w:type="dxa"/>
            </w:tcMar>
            <w:vAlign w:val="center"/>
          </w:tcPr>
          <w:p w14:paraId="11A05FB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进度风险</w:t>
            </w:r>
          </w:p>
        </w:tc>
        <w:tc>
          <w:tcPr>
            <w:tcW w:w="1152" w:type="dxa"/>
            <w:tcMar>
              <w:top w:w="60" w:type="dxa"/>
              <w:left w:w="120" w:type="dxa"/>
              <w:bottom w:w="30" w:type="dxa"/>
              <w:right w:w="120" w:type="dxa"/>
            </w:tcMar>
            <w:vAlign w:val="center"/>
          </w:tcPr>
          <w:p w14:paraId="67D5DCB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迭代间依赖延迟，导致后续迭代任务无法启动</w:t>
            </w:r>
          </w:p>
        </w:tc>
        <w:tc>
          <w:tcPr>
            <w:tcW w:w="503" w:type="dxa"/>
            <w:tcMar>
              <w:top w:w="60" w:type="dxa"/>
              <w:left w:w="120" w:type="dxa"/>
              <w:bottom w:w="30" w:type="dxa"/>
              <w:right w:w="120" w:type="dxa"/>
            </w:tcMar>
            <w:vAlign w:val="center"/>
          </w:tcPr>
          <w:p w14:paraId="7B7530F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6C0EFDE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3E54DDB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1E7B0EB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前置迭代核心依赖功能未设置里程碑节点；2. 未提前验证依赖功能的可用性；3. 依赖关系梳理不清晰</w:t>
            </w:r>
          </w:p>
        </w:tc>
        <w:tc>
          <w:tcPr>
            <w:tcW w:w="1990" w:type="dxa"/>
            <w:tcMar>
              <w:top w:w="60" w:type="dxa"/>
              <w:left w:w="120" w:type="dxa"/>
              <w:bottom w:w="30" w:type="dxa"/>
              <w:right w:w="120" w:type="dxa"/>
            </w:tcMar>
            <w:vAlign w:val="center"/>
          </w:tcPr>
          <w:p w14:paraId="0BE609A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梳理项目依赖关系，输出《依赖关系矩阵》，明确前置功能与后续功能的关联；2. 将核心依赖功能设为迭代里程碑，优先开发与验收；3. 前置迭代结束前3天，开展依赖功能验证，输出《依赖验证报告》。缓解：1. 为核心依赖功能预留1天缓冲时间；2. 制作模拟测试数据，供后续迭代功能开发调试</w:t>
            </w:r>
          </w:p>
        </w:tc>
        <w:tc>
          <w:tcPr>
            <w:tcW w:w="642" w:type="dxa"/>
            <w:tcMar>
              <w:top w:w="60" w:type="dxa"/>
              <w:left w:w="120" w:type="dxa"/>
              <w:bottom w:w="30" w:type="dxa"/>
              <w:right w:w="120" w:type="dxa"/>
            </w:tcMar>
            <w:vAlign w:val="center"/>
          </w:tcPr>
          <w:p w14:paraId="042E01A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w:t>
            </w:r>
          </w:p>
        </w:tc>
        <w:tc>
          <w:tcPr>
            <w:tcW w:w="705" w:type="dxa"/>
            <w:tcMar>
              <w:top w:w="60" w:type="dxa"/>
              <w:left w:w="120" w:type="dxa"/>
              <w:bottom w:w="30" w:type="dxa"/>
              <w:right w:w="120" w:type="dxa"/>
            </w:tcMar>
            <w:vAlign w:val="center"/>
          </w:tcPr>
          <w:p w14:paraId="27B96E3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依赖关系矩阵、里程碑验收记录、依赖验证报告</w:t>
            </w:r>
          </w:p>
        </w:tc>
        <w:tc>
          <w:tcPr>
            <w:tcW w:w="418" w:type="dxa"/>
            <w:tcMar>
              <w:top w:w="60" w:type="dxa"/>
              <w:left w:w="120" w:type="dxa"/>
              <w:bottom w:w="30" w:type="dxa"/>
              <w:right w:w="120" w:type="dxa"/>
            </w:tcMar>
            <w:vAlign w:val="center"/>
          </w:tcPr>
          <w:p w14:paraId="1D25C17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迭代交接前3天开始跟踪，每日1次</w:t>
            </w:r>
          </w:p>
        </w:tc>
        <w:tc>
          <w:tcPr>
            <w:tcW w:w="1105" w:type="dxa"/>
            <w:tcMar>
              <w:top w:w="60" w:type="dxa"/>
              <w:left w:w="120" w:type="dxa"/>
              <w:bottom w:w="30" w:type="dxa"/>
              <w:right w:w="120" w:type="dxa"/>
            </w:tcMar>
            <w:vAlign w:val="center"/>
          </w:tcPr>
          <w:p w14:paraId="57FD133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启用模拟测试数据，保障后续迭代功能开发不受阻；组织前置迭代开发人员加班整改，优先交付依赖功能核心部分；调整后续迭代计划，压缩非核心功能开发时间</w:t>
            </w:r>
          </w:p>
        </w:tc>
      </w:tr>
      <w:tr w14:paraId="56514B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1EEA6B2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RISK-008</w:t>
            </w:r>
          </w:p>
        </w:tc>
        <w:tc>
          <w:tcPr>
            <w:tcW w:w="395" w:type="dxa"/>
            <w:tcMar>
              <w:top w:w="60" w:type="dxa"/>
              <w:left w:w="120" w:type="dxa"/>
              <w:bottom w:w="30" w:type="dxa"/>
              <w:right w:w="120" w:type="dxa"/>
            </w:tcMar>
            <w:vAlign w:val="center"/>
          </w:tcPr>
          <w:p w14:paraId="29BC9F5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成本风险</w:t>
            </w:r>
          </w:p>
        </w:tc>
        <w:tc>
          <w:tcPr>
            <w:tcW w:w="1152" w:type="dxa"/>
            <w:tcMar>
              <w:top w:w="60" w:type="dxa"/>
              <w:left w:w="120" w:type="dxa"/>
              <w:bottom w:w="30" w:type="dxa"/>
              <w:right w:w="120" w:type="dxa"/>
            </w:tcMar>
            <w:vAlign w:val="center"/>
          </w:tcPr>
          <w:p w14:paraId="1BB0C59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项目预算超支，超出企业审批额度</w:t>
            </w:r>
          </w:p>
        </w:tc>
        <w:tc>
          <w:tcPr>
            <w:tcW w:w="503" w:type="dxa"/>
            <w:tcMar>
              <w:top w:w="60" w:type="dxa"/>
              <w:left w:w="120" w:type="dxa"/>
              <w:bottom w:w="30" w:type="dxa"/>
              <w:right w:w="120" w:type="dxa"/>
            </w:tcMar>
            <w:vAlign w:val="center"/>
          </w:tcPr>
          <w:p w14:paraId="1AFCEBA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4663D35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5AB59E7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6E33156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预算编制时未考虑市场价格波动；2. 未建立成本动态监控机制；3. 进度滞后导致加班费用增加</w:t>
            </w:r>
          </w:p>
        </w:tc>
        <w:tc>
          <w:tcPr>
            <w:tcW w:w="1990" w:type="dxa"/>
            <w:tcMar>
              <w:top w:w="60" w:type="dxa"/>
              <w:left w:w="120" w:type="dxa"/>
              <w:bottom w:w="30" w:type="dxa"/>
              <w:right w:w="120" w:type="dxa"/>
            </w:tcMar>
            <w:vAlign w:val="center"/>
          </w:tcPr>
          <w:p w14:paraId="2D3B01F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预算编制时预留10%的浮动额度，应对价格波动；2. 建立《成本动态监控台账》，每周统计实际支出与预算偏差；3. 严格控制加班，通过优化流程提高效率。缓解：1. 优先选用性价比更高的替代组件/硬件；2. 压缩非核心功能成本；3. 申请预算调整前，评估成本与收益</w:t>
            </w:r>
          </w:p>
        </w:tc>
        <w:tc>
          <w:tcPr>
            <w:tcW w:w="642" w:type="dxa"/>
            <w:tcMar>
              <w:top w:w="60" w:type="dxa"/>
              <w:left w:w="120" w:type="dxa"/>
              <w:bottom w:w="30" w:type="dxa"/>
              <w:right w:w="120" w:type="dxa"/>
            </w:tcMar>
            <w:vAlign w:val="center"/>
          </w:tcPr>
          <w:p w14:paraId="0682E29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项目经理、财务对接人</w:t>
            </w:r>
          </w:p>
        </w:tc>
        <w:tc>
          <w:tcPr>
            <w:tcW w:w="705" w:type="dxa"/>
            <w:tcMar>
              <w:top w:w="60" w:type="dxa"/>
              <w:left w:w="120" w:type="dxa"/>
              <w:bottom w:w="30" w:type="dxa"/>
              <w:right w:w="120" w:type="dxa"/>
            </w:tcMar>
            <w:vAlign w:val="center"/>
          </w:tcPr>
          <w:p w14:paraId="14EB71B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成本监控台账、每周预算偏差分析报告、采购合同评审记录</w:t>
            </w:r>
          </w:p>
        </w:tc>
        <w:tc>
          <w:tcPr>
            <w:tcW w:w="418" w:type="dxa"/>
            <w:tcMar>
              <w:top w:w="60" w:type="dxa"/>
              <w:left w:w="120" w:type="dxa"/>
              <w:bottom w:w="30" w:type="dxa"/>
              <w:right w:w="120" w:type="dxa"/>
            </w:tcMar>
            <w:vAlign w:val="center"/>
          </w:tcPr>
          <w:p w14:paraId="52D40AF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每周1次，成本偏差超5%时实时分析</w:t>
            </w:r>
          </w:p>
        </w:tc>
        <w:tc>
          <w:tcPr>
            <w:tcW w:w="1105" w:type="dxa"/>
            <w:tcMar>
              <w:top w:w="60" w:type="dxa"/>
              <w:left w:w="120" w:type="dxa"/>
              <w:bottom w:w="30" w:type="dxa"/>
              <w:right w:w="120" w:type="dxa"/>
            </w:tcMar>
            <w:vAlign w:val="center"/>
          </w:tcPr>
          <w:p w14:paraId="6A3622E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冻结非必要支出，优先保障核心功能开发成本；向企业提交预算调整申请，说明超支原因与应对措施；协商第三方服务商，争取价格优惠或分期支付</w:t>
            </w:r>
          </w:p>
        </w:tc>
      </w:tr>
      <w:tr w14:paraId="31576A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62711B7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RISK-009</w:t>
            </w:r>
          </w:p>
        </w:tc>
        <w:tc>
          <w:tcPr>
            <w:tcW w:w="395" w:type="dxa"/>
            <w:tcMar>
              <w:top w:w="60" w:type="dxa"/>
              <w:left w:w="120" w:type="dxa"/>
              <w:bottom w:w="30" w:type="dxa"/>
              <w:right w:w="120" w:type="dxa"/>
            </w:tcMar>
            <w:vAlign w:val="center"/>
          </w:tcPr>
          <w:p w14:paraId="7F866AB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资源风险</w:t>
            </w:r>
          </w:p>
        </w:tc>
        <w:tc>
          <w:tcPr>
            <w:tcW w:w="1152" w:type="dxa"/>
            <w:tcMar>
              <w:top w:w="60" w:type="dxa"/>
              <w:left w:w="120" w:type="dxa"/>
              <w:bottom w:w="30" w:type="dxa"/>
              <w:right w:w="120" w:type="dxa"/>
            </w:tcMar>
            <w:vAlign w:val="center"/>
          </w:tcPr>
          <w:p w14:paraId="651C0AD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核心开发人员流失，导致技术交接不顺畅，功能开发停滞，进度滞后</w:t>
            </w:r>
          </w:p>
        </w:tc>
        <w:tc>
          <w:tcPr>
            <w:tcW w:w="503" w:type="dxa"/>
            <w:tcMar>
              <w:top w:w="60" w:type="dxa"/>
              <w:left w:w="120" w:type="dxa"/>
              <w:bottom w:w="30" w:type="dxa"/>
              <w:right w:w="120" w:type="dxa"/>
            </w:tcMar>
            <w:vAlign w:val="center"/>
          </w:tcPr>
          <w:p w14:paraId="0AEB3E8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171D230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低（L）</w:t>
            </w:r>
          </w:p>
        </w:tc>
        <w:tc>
          <w:tcPr>
            <w:tcW w:w="790" w:type="dxa"/>
            <w:tcMar>
              <w:top w:w="60" w:type="dxa"/>
              <w:left w:w="120" w:type="dxa"/>
              <w:bottom w:w="30" w:type="dxa"/>
              <w:right w:w="120" w:type="dxa"/>
            </w:tcMar>
            <w:vAlign w:val="center"/>
          </w:tcPr>
          <w:p w14:paraId="7446FED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0B8885D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未建立人员备份机制；2. 核心代码无规范文档，交接困难；3. 人员激励不足</w:t>
            </w:r>
          </w:p>
        </w:tc>
        <w:tc>
          <w:tcPr>
            <w:tcW w:w="1990" w:type="dxa"/>
            <w:tcMar>
              <w:top w:w="60" w:type="dxa"/>
              <w:left w:w="120" w:type="dxa"/>
              <w:bottom w:w="30" w:type="dxa"/>
              <w:right w:w="120" w:type="dxa"/>
            </w:tcMar>
            <w:vAlign w:val="center"/>
          </w:tcPr>
          <w:p w14:paraId="6A9129A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核心功能采用“主备开发制”，确保每人负责的功能有备份人员熟悉；2. 要求开发人员同步编写《技术设计文档》《代码注释手册》，规范交接资料；3. 建立合理的激励机制，降低人员流失率。缓解：1. 与离职人员协商留任1-2周，完成工作交接；2. 组织备份人员快速熟悉核心代码与逻辑</w:t>
            </w:r>
          </w:p>
        </w:tc>
        <w:tc>
          <w:tcPr>
            <w:tcW w:w="642" w:type="dxa"/>
            <w:tcMar>
              <w:top w:w="60" w:type="dxa"/>
              <w:left w:w="120" w:type="dxa"/>
              <w:bottom w:w="30" w:type="dxa"/>
              <w:right w:w="120" w:type="dxa"/>
            </w:tcMar>
            <w:vAlign w:val="center"/>
          </w:tcPr>
          <w:p w14:paraId="5E84A8D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项目经理、人力资源对接人</w:t>
            </w:r>
          </w:p>
        </w:tc>
        <w:tc>
          <w:tcPr>
            <w:tcW w:w="705" w:type="dxa"/>
            <w:tcMar>
              <w:top w:w="60" w:type="dxa"/>
              <w:left w:w="120" w:type="dxa"/>
              <w:bottom w:w="30" w:type="dxa"/>
              <w:right w:w="120" w:type="dxa"/>
            </w:tcMar>
            <w:vAlign w:val="center"/>
          </w:tcPr>
          <w:p w14:paraId="05E2F6B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人员备份清单、技术文档评审记录、员工满意度调研</w:t>
            </w:r>
          </w:p>
        </w:tc>
        <w:tc>
          <w:tcPr>
            <w:tcW w:w="418" w:type="dxa"/>
            <w:tcMar>
              <w:top w:w="60" w:type="dxa"/>
              <w:left w:w="120" w:type="dxa"/>
              <w:bottom w:w="30" w:type="dxa"/>
              <w:right w:w="120" w:type="dxa"/>
            </w:tcMar>
            <w:vAlign w:val="center"/>
          </w:tcPr>
          <w:p w14:paraId="3D899E0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每月1次，人员异动时实时跟踪</w:t>
            </w:r>
          </w:p>
        </w:tc>
        <w:tc>
          <w:tcPr>
            <w:tcW w:w="1105" w:type="dxa"/>
            <w:tcMar>
              <w:top w:w="60" w:type="dxa"/>
              <w:left w:w="120" w:type="dxa"/>
              <w:bottom w:w="30" w:type="dxa"/>
              <w:right w:w="120" w:type="dxa"/>
            </w:tcMar>
            <w:vAlign w:val="center"/>
          </w:tcPr>
          <w:p w14:paraId="09F7738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紧急招聘替代人员，同时安排备份人员接手核心工作；邀请离职人员远程协助技术交接（支付合理报酬）；简化非核心功能开发，优先保障核心流程不受影响</w:t>
            </w:r>
          </w:p>
        </w:tc>
      </w:tr>
      <w:tr w14:paraId="1B662C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21E0C28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RISK-010</w:t>
            </w:r>
          </w:p>
        </w:tc>
        <w:tc>
          <w:tcPr>
            <w:tcW w:w="395" w:type="dxa"/>
            <w:tcMar>
              <w:top w:w="60" w:type="dxa"/>
              <w:left w:w="120" w:type="dxa"/>
              <w:bottom w:w="30" w:type="dxa"/>
              <w:right w:w="120" w:type="dxa"/>
            </w:tcMar>
            <w:vAlign w:val="center"/>
          </w:tcPr>
          <w:p w14:paraId="7EA0E58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资源风险</w:t>
            </w:r>
          </w:p>
        </w:tc>
        <w:tc>
          <w:tcPr>
            <w:tcW w:w="1152" w:type="dxa"/>
            <w:tcMar>
              <w:top w:w="60" w:type="dxa"/>
              <w:left w:w="120" w:type="dxa"/>
              <w:bottom w:w="30" w:type="dxa"/>
              <w:right w:w="120" w:type="dxa"/>
            </w:tcMar>
            <w:vAlign w:val="center"/>
          </w:tcPr>
          <w:p w14:paraId="3E887DE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硬件资源不足，导致系统部署失败、运行卡顿，无法支撑测试与上线运行</w:t>
            </w:r>
          </w:p>
        </w:tc>
        <w:tc>
          <w:tcPr>
            <w:tcW w:w="503" w:type="dxa"/>
            <w:tcMar>
              <w:top w:w="60" w:type="dxa"/>
              <w:left w:w="120" w:type="dxa"/>
              <w:bottom w:w="30" w:type="dxa"/>
              <w:right w:w="120" w:type="dxa"/>
            </w:tcMar>
            <w:vAlign w:val="center"/>
          </w:tcPr>
          <w:p w14:paraId="66DC47E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0EF431D9">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0CC3AB2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黄色（中）</w:t>
            </w:r>
          </w:p>
        </w:tc>
        <w:tc>
          <w:tcPr>
            <w:tcW w:w="1316" w:type="dxa"/>
            <w:tcMar>
              <w:top w:w="60" w:type="dxa"/>
              <w:left w:w="120" w:type="dxa"/>
              <w:bottom w:w="30" w:type="dxa"/>
              <w:right w:w="120" w:type="dxa"/>
            </w:tcMar>
            <w:vAlign w:val="center"/>
          </w:tcPr>
          <w:p w14:paraId="587BE1D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硬件资源规划未结合系统性能需求；2. 未提前测试硬件兼容性与承载能力；3. 数据存储量预估不足</w:t>
            </w:r>
          </w:p>
        </w:tc>
        <w:tc>
          <w:tcPr>
            <w:tcW w:w="1990" w:type="dxa"/>
            <w:tcMar>
              <w:top w:w="60" w:type="dxa"/>
              <w:left w:w="120" w:type="dxa"/>
              <w:bottom w:w="30" w:type="dxa"/>
              <w:right w:w="120" w:type="dxa"/>
            </w:tcMar>
            <w:vAlign w:val="center"/>
          </w:tcPr>
          <w:p w14:paraId="4C07C52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基于系统性能指标，明确硬件配置要求（CPU 16核、内存32G、存储1TB）；2. 部署前进行硬件压力测试，验证承载能力；3. 预留30%的存储扩展空间。缓解：1. 临时关闭非核心服务，释放硬件资源；2. 采用云服务器弹性扩展方案，按需增加配置</w:t>
            </w:r>
          </w:p>
        </w:tc>
        <w:tc>
          <w:tcPr>
            <w:tcW w:w="642" w:type="dxa"/>
            <w:tcMar>
              <w:top w:w="60" w:type="dxa"/>
              <w:left w:w="120" w:type="dxa"/>
              <w:bottom w:w="30" w:type="dxa"/>
              <w:right w:w="120" w:type="dxa"/>
            </w:tcMar>
            <w:vAlign w:val="center"/>
          </w:tcPr>
          <w:p w14:paraId="560A357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运维工程师、技术负责人</w:t>
            </w:r>
          </w:p>
        </w:tc>
        <w:tc>
          <w:tcPr>
            <w:tcW w:w="705" w:type="dxa"/>
            <w:tcMar>
              <w:top w:w="60" w:type="dxa"/>
              <w:left w:w="120" w:type="dxa"/>
              <w:bottom w:w="30" w:type="dxa"/>
              <w:right w:w="120" w:type="dxa"/>
            </w:tcMar>
            <w:vAlign w:val="center"/>
          </w:tcPr>
          <w:p w14:paraId="09246DF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硬件配置清单、压力测试报告、存储使用情况监控日志</w:t>
            </w:r>
          </w:p>
        </w:tc>
        <w:tc>
          <w:tcPr>
            <w:tcW w:w="418" w:type="dxa"/>
            <w:tcMar>
              <w:top w:w="60" w:type="dxa"/>
              <w:left w:w="120" w:type="dxa"/>
              <w:bottom w:w="30" w:type="dxa"/>
              <w:right w:w="120" w:type="dxa"/>
            </w:tcMar>
            <w:vAlign w:val="center"/>
          </w:tcPr>
          <w:p w14:paraId="2F8FB21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部署前1次/周，运行阶段每日监控</w:t>
            </w:r>
          </w:p>
        </w:tc>
        <w:tc>
          <w:tcPr>
            <w:tcW w:w="1105" w:type="dxa"/>
            <w:tcMar>
              <w:top w:w="60" w:type="dxa"/>
              <w:left w:w="120" w:type="dxa"/>
              <w:bottom w:w="30" w:type="dxa"/>
              <w:right w:w="120" w:type="dxa"/>
            </w:tcMar>
            <w:vAlign w:val="center"/>
          </w:tcPr>
          <w:p w14:paraId="37E09D8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紧急采购硬件升级组件，或临时租用云服务器部署核心服务；迁移非核心数据至备用存储设备，释放主服务器空间</w:t>
            </w:r>
          </w:p>
        </w:tc>
      </w:tr>
      <w:tr w14:paraId="60CCA4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1437F94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RISK-011</w:t>
            </w:r>
          </w:p>
        </w:tc>
        <w:tc>
          <w:tcPr>
            <w:tcW w:w="395" w:type="dxa"/>
            <w:tcMar>
              <w:top w:w="60" w:type="dxa"/>
              <w:left w:w="120" w:type="dxa"/>
              <w:bottom w:w="30" w:type="dxa"/>
              <w:right w:w="120" w:type="dxa"/>
            </w:tcMar>
            <w:vAlign w:val="center"/>
          </w:tcPr>
          <w:p w14:paraId="26FC902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质量风险</w:t>
            </w:r>
          </w:p>
        </w:tc>
        <w:tc>
          <w:tcPr>
            <w:tcW w:w="1152" w:type="dxa"/>
            <w:tcMar>
              <w:top w:w="60" w:type="dxa"/>
              <w:left w:w="120" w:type="dxa"/>
              <w:bottom w:w="30" w:type="dxa"/>
              <w:right w:w="120" w:type="dxa"/>
            </w:tcMar>
            <w:vAlign w:val="center"/>
          </w:tcPr>
          <w:p w14:paraId="1FB3494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测试覆盖不足，导致系统上线后出现重大功能缺陷，影响生产业务正常运行</w:t>
            </w:r>
          </w:p>
        </w:tc>
        <w:tc>
          <w:tcPr>
            <w:tcW w:w="503" w:type="dxa"/>
            <w:tcMar>
              <w:top w:w="60" w:type="dxa"/>
              <w:left w:w="120" w:type="dxa"/>
              <w:bottom w:w="30" w:type="dxa"/>
              <w:right w:w="120" w:type="dxa"/>
            </w:tcMar>
            <w:vAlign w:val="center"/>
          </w:tcPr>
          <w:p w14:paraId="41C24BA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62E7103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高（H）</w:t>
            </w:r>
          </w:p>
        </w:tc>
        <w:tc>
          <w:tcPr>
            <w:tcW w:w="790" w:type="dxa"/>
            <w:tcMar>
              <w:top w:w="60" w:type="dxa"/>
              <w:left w:w="120" w:type="dxa"/>
              <w:bottom w:w="30" w:type="dxa"/>
              <w:right w:w="120" w:type="dxa"/>
            </w:tcMar>
            <w:vAlign w:val="center"/>
          </w:tcPr>
          <w:p w14:paraId="47CF96F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487FA12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测试用例设计不完整，遗漏异常场景；2. 测试时间不足，为赶进度简化测试流程；3. 未开展回归测试与压力测试</w:t>
            </w:r>
          </w:p>
        </w:tc>
        <w:tc>
          <w:tcPr>
            <w:tcW w:w="1990" w:type="dxa"/>
            <w:tcMar>
              <w:top w:w="60" w:type="dxa"/>
              <w:left w:w="120" w:type="dxa"/>
              <w:bottom w:w="30" w:type="dxa"/>
              <w:right w:w="120" w:type="dxa"/>
            </w:tcMar>
            <w:vAlign w:val="center"/>
          </w:tcPr>
          <w:p w14:paraId="73D48B6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基于需求规格说明书，编写《测试用例集》，覆盖正常场景、异常场景、边界条件，通过率需达100%；2. 合理规划测试时间，确保测试周期不低于开发周期的30%；3. 制定测试计划，明确单元测试、集成测试、系统测试、回归测试的范围与标准。缓解：1. 采用自动化测试工具，提高测试效率与覆盖率；2. 组织交叉测试，补充遗漏问题</w:t>
            </w:r>
          </w:p>
        </w:tc>
        <w:tc>
          <w:tcPr>
            <w:tcW w:w="642" w:type="dxa"/>
            <w:tcMar>
              <w:top w:w="60" w:type="dxa"/>
              <w:left w:w="120" w:type="dxa"/>
              <w:bottom w:w="30" w:type="dxa"/>
              <w:right w:w="120" w:type="dxa"/>
            </w:tcMar>
            <w:vAlign w:val="center"/>
          </w:tcPr>
          <w:p w14:paraId="48234BD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测试负责人</w:t>
            </w:r>
          </w:p>
        </w:tc>
        <w:tc>
          <w:tcPr>
            <w:tcW w:w="705" w:type="dxa"/>
            <w:tcMar>
              <w:top w:w="60" w:type="dxa"/>
              <w:left w:w="120" w:type="dxa"/>
              <w:bottom w:w="30" w:type="dxa"/>
              <w:right w:w="120" w:type="dxa"/>
            </w:tcMar>
            <w:vAlign w:val="center"/>
          </w:tcPr>
          <w:p w14:paraId="6057770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测试用例评审记录、测试报告、缺陷台账、回归测试记录</w:t>
            </w:r>
          </w:p>
        </w:tc>
        <w:tc>
          <w:tcPr>
            <w:tcW w:w="418" w:type="dxa"/>
            <w:tcMar>
              <w:top w:w="60" w:type="dxa"/>
              <w:left w:w="120" w:type="dxa"/>
              <w:bottom w:w="30" w:type="dxa"/>
              <w:right w:w="120" w:type="dxa"/>
            </w:tcMar>
            <w:vAlign w:val="center"/>
          </w:tcPr>
          <w:p w14:paraId="7A0894C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测试阶段每日跟进，上线前全面复盘</w:t>
            </w:r>
          </w:p>
        </w:tc>
        <w:tc>
          <w:tcPr>
            <w:tcW w:w="1105" w:type="dxa"/>
            <w:tcMar>
              <w:top w:w="60" w:type="dxa"/>
              <w:left w:w="120" w:type="dxa"/>
              <w:bottom w:w="30" w:type="dxa"/>
              <w:right w:w="120" w:type="dxa"/>
            </w:tcMar>
            <w:vAlign w:val="center"/>
          </w:tcPr>
          <w:p w14:paraId="7E2CA2A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延迟上线时间，组织测试人员加班开展全量回归测试，优先修复核心缺陷；上线后启用灰度发布策略，仅开放部分业务场景，监控缺陷反馈，逐步全量上线</w:t>
            </w:r>
          </w:p>
        </w:tc>
      </w:tr>
      <w:tr w14:paraId="7ECC35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2CCF702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RISK-012</w:t>
            </w:r>
          </w:p>
        </w:tc>
        <w:tc>
          <w:tcPr>
            <w:tcW w:w="395" w:type="dxa"/>
            <w:tcMar>
              <w:top w:w="60" w:type="dxa"/>
              <w:left w:w="120" w:type="dxa"/>
              <w:bottom w:w="30" w:type="dxa"/>
              <w:right w:w="120" w:type="dxa"/>
            </w:tcMar>
            <w:vAlign w:val="center"/>
          </w:tcPr>
          <w:p w14:paraId="002751C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安全风险</w:t>
            </w:r>
          </w:p>
        </w:tc>
        <w:tc>
          <w:tcPr>
            <w:tcW w:w="1152" w:type="dxa"/>
            <w:tcMar>
              <w:top w:w="60" w:type="dxa"/>
              <w:left w:w="120" w:type="dxa"/>
              <w:bottom w:w="30" w:type="dxa"/>
              <w:right w:w="120" w:type="dxa"/>
            </w:tcMar>
            <w:vAlign w:val="center"/>
          </w:tcPr>
          <w:p w14:paraId="0E6A734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数据安全漏洞，导致生产数据、客户信息泄露、篡改或丢失，违反数据安全法规</w:t>
            </w:r>
          </w:p>
        </w:tc>
        <w:tc>
          <w:tcPr>
            <w:tcW w:w="503" w:type="dxa"/>
            <w:tcMar>
              <w:top w:w="60" w:type="dxa"/>
              <w:left w:w="120" w:type="dxa"/>
              <w:bottom w:w="30" w:type="dxa"/>
              <w:right w:w="120" w:type="dxa"/>
            </w:tcMar>
            <w:vAlign w:val="center"/>
          </w:tcPr>
          <w:p w14:paraId="1810B07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34E807A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中（M）</w:t>
            </w:r>
          </w:p>
        </w:tc>
        <w:tc>
          <w:tcPr>
            <w:tcW w:w="790" w:type="dxa"/>
            <w:tcMar>
              <w:top w:w="60" w:type="dxa"/>
              <w:left w:w="120" w:type="dxa"/>
              <w:bottom w:w="30" w:type="dxa"/>
              <w:right w:w="120" w:type="dxa"/>
            </w:tcMar>
            <w:vAlign w:val="center"/>
          </w:tcPr>
          <w:p w14:paraId="40A59A8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红色（极高）</w:t>
            </w:r>
          </w:p>
        </w:tc>
        <w:tc>
          <w:tcPr>
            <w:tcW w:w="1316" w:type="dxa"/>
            <w:tcMar>
              <w:top w:w="60" w:type="dxa"/>
              <w:left w:w="120" w:type="dxa"/>
              <w:bottom w:w="30" w:type="dxa"/>
              <w:right w:w="120" w:type="dxa"/>
            </w:tcMar>
            <w:vAlign w:val="center"/>
          </w:tcPr>
          <w:p w14:paraId="7EB2BE7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开发时未遵循安全编码规范；2. 未开展安全渗透测试；3. 权限管理设计存在漏洞</w:t>
            </w:r>
          </w:p>
        </w:tc>
        <w:tc>
          <w:tcPr>
            <w:tcW w:w="1990" w:type="dxa"/>
            <w:tcMar>
              <w:top w:w="60" w:type="dxa"/>
              <w:left w:w="120" w:type="dxa"/>
              <w:bottom w:w="30" w:type="dxa"/>
              <w:right w:w="120" w:type="dxa"/>
            </w:tcMar>
            <w:vAlign w:val="center"/>
          </w:tcPr>
          <w:p w14:paraId="1B3E9ED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组织开发人员开展安全编码培训，制定《安全编码规范》；2. 开发完成后，邀请第三方安全机构开展渗透测试与漏洞扫描；3. 建立精细化权限管控体系，基于角色分配权限，定期审计权限使用情况。缓解：1. 数据传输采用HTTPS加密协议，敏感数据存储加密；2. 建立数据备份与恢复机制，每日全量备份</w:t>
            </w:r>
          </w:p>
        </w:tc>
        <w:tc>
          <w:tcPr>
            <w:tcW w:w="642" w:type="dxa"/>
            <w:tcMar>
              <w:top w:w="60" w:type="dxa"/>
              <w:left w:w="120" w:type="dxa"/>
              <w:bottom w:w="30" w:type="dxa"/>
              <w:right w:w="120" w:type="dxa"/>
            </w:tcMar>
            <w:vAlign w:val="center"/>
          </w:tcPr>
          <w:p w14:paraId="71DB808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安全工程师、技术负责人</w:t>
            </w:r>
          </w:p>
        </w:tc>
        <w:tc>
          <w:tcPr>
            <w:tcW w:w="705" w:type="dxa"/>
            <w:tcMar>
              <w:top w:w="60" w:type="dxa"/>
              <w:left w:w="120" w:type="dxa"/>
              <w:bottom w:w="30" w:type="dxa"/>
              <w:right w:w="120" w:type="dxa"/>
            </w:tcMar>
            <w:vAlign w:val="center"/>
          </w:tcPr>
          <w:p w14:paraId="32C8729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安全测试报告、漏洞整改记录、权限审计日志、数据备份记录</w:t>
            </w:r>
          </w:p>
        </w:tc>
        <w:tc>
          <w:tcPr>
            <w:tcW w:w="418" w:type="dxa"/>
            <w:tcMar>
              <w:top w:w="60" w:type="dxa"/>
              <w:left w:w="120" w:type="dxa"/>
              <w:bottom w:w="30" w:type="dxa"/>
              <w:right w:w="120" w:type="dxa"/>
            </w:tcMar>
            <w:vAlign w:val="center"/>
          </w:tcPr>
          <w:p w14:paraId="2196501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每周1次安全扫描，每月1次权限审计</w:t>
            </w:r>
          </w:p>
        </w:tc>
        <w:tc>
          <w:tcPr>
            <w:tcW w:w="1105" w:type="dxa"/>
            <w:tcMar>
              <w:top w:w="60" w:type="dxa"/>
              <w:left w:w="120" w:type="dxa"/>
              <w:bottom w:w="30" w:type="dxa"/>
              <w:right w:w="120" w:type="dxa"/>
            </w:tcMar>
            <w:vAlign w:val="center"/>
          </w:tcPr>
          <w:p w14:paraId="05D709C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立即暂停受影响的服务，修复安全漏洞；开展数据安全排查，确认是否存在数据泄露/篡改；向合规部门报备，若涉及用户数据泄露，按法规要求通知相关方并采取补救措施</w:t>
            </w:r>
          </w:p>
        </w:tc>
      </w:tr>
      <w:tr w14:paraId="0F4EA3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0C0ECDF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RISK-013</w:t>
            </w:r>
          </w:p>
        </w:tc>
        <w:tc>
          <w:tcPr>
            <w:tcW w:w="395" w:type="dxa"/>
            <w:tcMar>
              <w:top w:w="60" w:type="dxa"/>
              <w:left w:w="120" w:type="dxa"/>
              <w:bottom w:w="30" w:type="dxa"/>
              <w:right w:w="120" w:type="dxa"/>
            </w:tcMar>
            <w:vAlign w:val="center"/>
          </w:tcPr>
          <w:p w14:paraId="7464268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合规风险</w:t>
            </w:r>
          </w:p>
        </w:tc>
        <w:tc>
          <w:tcPr>
            <w:tcW w:w="1152" w:type="dxa"/>
            <w:tcMar>
              <w:top w:w="60" w:type="dxa"/>
              <w:left w:w="120" w:type="dxa"/>
              <w:bottom w:w="30" w:type="dxa"/>
              <w:right w:w="120" w:type="dxa"/>
            </w:tcMar>
            <w:vAlign w:val="center"/>
          </w:tcPr>
          <w:p w14:paraId="3AA4D93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系统开发与运行违反相关法律法规，或未满足行业监管要求，面临处罚</w:t>
            </w:r>
          </w:p>
        </w:tc>
        <w:tc>
          <w:tcPr>
            <w:tcW w:w="503" w:type="dxa"/>
            <w:tcMar>
              <w:top w:w="60" w:type="dxa"/>
              <w:left w:w="120" w:type="dxa"/>
              <w:bottom w:w="30" w:type="dxa"/>
              <w:right w:w="120" w:type="dxa"/>
            </w:tcMar>
            <w:vAlign w:val="center"/>
          </w:tcPr>
          <w:p w14:paraId="72272E1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严重（S）</w:t>
            </w:r>
          </w:p>
        </w:tc>
        <w:tc>
          <w:tcPr>
            <w:tcW w:w="743" w:type="dxa"/>
            <w:tcMar>
              <w:top w:w="60" w:type="dxa"/>
              <w:left w:w="120" w:type="dxa"/>
              <w:bottom w:w="30" w:type="dxa"/>
              <w:right w:w="120" w:type="dxa"/>
            </w:tcMar>
            <w:vAlign w:val="center"/>
          </w:tcPr>
          <w:p w14:paraId="65D16EF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低（L）</w:t>
            </w:r>
          </w:p>
        </w:tc>
        <w:tc>
          <w:tcPr>
            <w:tcW w:w="790" w:type="dxa"/>
            <w:tcMar>
              <w:top w:w="60" w:type="dxa"/>
              <w:left w:w="120" w:type="dxa"/>
              <w:bottom w:w="30" w:type="dxa"/>
              <w:right w:w="120" w:type="dxa"/>
            </w:tcMar>
            <w:vAlign w:val="center"/>
          </w:tcPr>
          <w:p w14:paraId="660900F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橙色（高）</w:t>
            </w:r>
          </w:p>
        </w:tc>
        <w:tc>
          <w:tcPr>
            <w:tcW w:w="1316" w:type="dxa"/>
            <w:tcMar>
              <w:top w:w="60" w:type="dxa"/>
              <w:left w:w="120" w:type="dxa"/>
              <w:bottom w:w="30" w:type="dxa"/>
              <w:right w:w="120" w:type="dxa"/>
            </w:tcMar>
            <w:vAlign w:val="center"/>
          </w:tcPr>
          <w:p w14:paraId="301CC55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开发前未开展合规调研；2. 未纳入合规需求设计；3. 未经过合规部门评审</w:t>
            </w:r>
          </w:p>
        </w:tc>
        <w:tc>
          <w:tcPr>
            <w:tcW w:w="1990" w:type="dxa"/>
            <w:tcMar>
              <w:top w:w="60" w:type="dxa"/>
              <w:left w:w="120" w:type="dxa"/>
              <w:bottom w:w="30" w:type="dxa"/>
              <w:right w:w="120" w:type="dxa"/>
            </w:tcMar>
            <w:vAlign w:val="center"/>
          </w:tcPr>
          <w:p w14:paraId="30C12CA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项目启动时联合合规部门，梳理适用的法律法规与行业标准，输出《合规需求清单》；2. 将合规要求融入需求设计与测试用例；3. 系统上线前开展合规评审，输出《合规验收报告》。缓解：1. 预留合规优化接口，便于快速调整以满足新监管要求；2. 定期开展合规培训，提升团队合规意识</w:t>
            </w:r>
          </w:p>
        </w:tc>
        <w:tc>
          <w:tcPr>
            <w:tcW w:w="642" w:type="dxa"/>
            <w:tcMar>
              <w:top w:w="60" w:type="dxa"/>
              <w:left w:w="120" w:type="dxa"/>
              <w:bottom w:w="30" w:type="dxa"/>
              <w:right w:w="120" w:type="dxa"/>
            </w:tcMar>
            <w:vAlign w:val="center"/>
          </w:tcPr>
          <w:p w14:paraId="3946E59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合规专员、产品负责人</w:t>
            </w:r>
          </w:p>
        </w:tc>
        <w:tc>
          <w:tcPr>
            <w:tcW w:w="705" w:type="dxa"/>
            <w:tcMar>
              <w:top w:w="60" w:type="dxa"/>
              <w:left w:w="120" w:type="dxa"/>
              <w:bottom w:w="30" w:type="dxa"/>
              <w:right w:w="120" w:type="dxa"/>
            </w:tcMar>
            <w:vAlign w:val="center"/>
          </w:tcPr>
          <w:p w14:paraId="60ED672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合规需求清单、合规评审报告、法规更新跟踪记录</w:t>
            </w:r>
          </w:p>
        </w:tc>
        <w:tc>
          <w:tcPr>
            <w:tcW w:w="418" w:type="dxa"/>
            <w:tcMar>
              <w:top w:w="60" w:type="dxa"/>
              <w:left w:w="120" w:type="dxa"/>
              <w:bottom w:w="30" w:type="dxa"/>
              <w:right w:w="120" w:type="dxa"/>
            </w:tcMar>
            <w:vAlign w:val="center"/>
          </w:tcPr>
          <w:p w14:paraId="339AF33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每月1次，法规更新时实时调整</w:t>
            </w:r>
          </w:p>
        </w:tc>
        <w:tc>
          <w:tcPr>
            <w:tcW w:w="1105" w:type="dxa"/>
            <w:tcMar>
              <w:top w:w="60" w:type="dxa"/>
              <w:left w:w="120" w:type="dxa"/>
              <w:bottom w:w="30" w:type="dxa"/>
              <w:right w:w="120" w:type="dxa"/>
            </w:tcMar>
            <w:vAlign w:val="center"/>
          </w:tcPr>
          <w:p w14:paraId="55AC586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立即整改不合规项；暂停涉及不合规的业务模块运行；向监管部门说明情况，申请整改缓冲期，避免处罚</w:t>
            </w:r>
          </w:p>
        </w:tc>
      </w:tr>
      <w:tr w14:paraId="7FA70B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32DD09D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RISK-014</w:t>
            </w:r>
          </w:p>
        </w:tc>
        <w:tc>
          <w:tcPr>
            <w:tcW w:w="395" w:type="dxa"/>
            <w:tcMar>
              <w:top w:w="60" w:type="dxa"/>
              <w:left w:w="120" w:type="dxa"/>
              <w:bottom w:w="30" w:type="dxa"/>
              <w:right w:w="120" w:type="dxa"/>
            </w:tcMar>
            <w:vAlign w:val="center"/>
          </w:tcPr>
          <w:p w14:paraId="7AAB31F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外部环境风险</w:t>
            </w:r>
          </w:p>
        </w:tc>
        <w:tc>
          <w:tcPr>
            <w:tcW w:w="1152" w:type="dxa"/>
            <w:tcMar>
              <w:top w:w="60" w:type="dxa"/>
              <w:left w:w="120" w:type="dxa"/>
              <w:bottom w:w="30" w:type="dxa"/>
              <w:right w:w="120" w:type="dxa"/>
            </w:tcMar>
            <w:vAlign w:val="center"/>
          </w:tcPr>
          <w:p w14:paraId="569D74F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外部环境变化，导致项目停滞</w:t>
            </w:r>
          </w:p>
        </w:tc>
        <w:tc>
          <w:tcPr>
            <w:tcW w:w="503" w:type="dxa"/>
            <w:tcMar>
              <w:top w:w="60" w:type="dxa"/>
              <w:left w:w="120" w:type="dxa"/>
              <w:bottom w:w="30" w:type="dxa"/>
              <w:right w:w="120" w:type="dxa"/>
            </w:tcMar>
            <w:vAlign w:val="center"/>
          </w:tcPr>
          <w:p w14:paraId="210C05A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较大（M）</w:t>
            </w:r>
          </w:p>
        </w:tc>
        <w:tc>
          <w:tcPr>
            <w:tcW w:w="743" w:type="dxa"/>
            <w:tcMar>
              <w:top w:w="60" w:type="dxa"/>
              <w:left w:w="120" w:type="dxa"/>
              <w:bottom w:w="30" w:type="dxa"/>
              <w:right w:w="120" w:type="dxa"/>
            </w:tcMar>
            <w:vAlign w:val="center"/>
          </w:tcPr>
          <w:p w14:paraId="4628BC9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低（L）</w:t>
            </w:r>
          </w:p>
        </w:tc>
        <w:tc>
          <w:tcPr>
            <w:tcW w:w="790" w:type="dxa"/>
            <w:tcMar>
              <w:top w:w="60" w:type="dxa"/>
              <w:left w:w="120" w:type="dxa"/>
              <w:bottom w:w="30" w:type="dxa"/>
              <w:right w:w="120" w:type="dxa"/>
            </w:tcMar>
            <w:vAlign w:val="center"/>
          </w:tcPr>
          <w:p w14:paraId="7336492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黄色（中）</w:t>
            </w:r>
          </w:p>
        </w:tc>
        <w:tc>
          <w:tcPr>
            <w:tcW w:w="1316" w:type="dxa"/>
            <w:tcMar>
              <w:top w:w="60" w:type="dxa"/>
              <w:left w:w="120" w:type="dxa"/>
              <w:bottom w:w="30" w:type="dxa"/>
              <w:right w:w="120" w:type="dxa"/>
            </w:tcMar>
            <w:vAlign w:val="center"/>
          </w:tcPr>
          <w:p w14:paraId="6A0483F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未制定远程办公预案；2. 系统部署环境无冗余备份；3. 未建立灾害应急机制</w:t>
            </w:r>
          </w:p>
        </w:tc>
        <w:tc>
          <w:tcPr>
            <w:tcW w:w="1990" w:type="dxa"/>
            <w:tcMar>
              <w:top w:w="60" w:type="dxa"/>
              <w:left w:w="120" w:type="dxa"/>
              <w:bottom w:w="30" w:type="dxa"/>
              <w:right w:w="120" w:type="dxa"/>
            </w:tcMar>
            <w:vAlign w:val="center"/>
          </w:tcPr>
          <w:p w14:paraId="45756C7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制定远程办公预案，配置协同工具，确保团队可异地协作；2. 生产服务器采用双机热备、多区域部署，电力供应配备UPS应急电源；3. 建立网络安全应急响应机制，应对网络攻击。缓解：1. 预留3天应急缓冲时间，应对短期外部环境影响；2. 定期开展应急演练，验证预案可行性</w:t>
            </w:r>
          </w:p>
        </w:tc>
        <w:tc>
          <w:tcPr>
            <w:tcW w:w="642" w:type="dxa"/>
            <w:tcMar>
              <w:top w:w="60" w:type="dxa"/>
              <w:left w:w="120" w:type="dxa"/>
              <w:bottom w:w="30" w:type="dxa"/>
              <w:right w:w="120" w:type="dxa"/>
            </w:tcMar>
            <w:vAlign w:val="center"/>
          </w:tcPr>
          <w:p w14:paraId="0BEDB3A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项目经理、运维负责人</w:t>
            </w:r>
          </w:p>
        </w:tc>
        <w:tc>
          <w:tcPr>
            <w:tcW w:w="705" w:type="dxa"/>
            <w:tcMar>
              <w:top w:w="60" w:type="dxa"/>
              <w:left w:w="120" w:type="dxa"/>
              <w:bottom w:w="30" w:type="dxa"/>
              <w:right w:w="120" w:type="dxa"/>
            </w:tcMar>
            <w:vAlign w:val="center"/>
          </w:tcPr>
          <w:p w14:paraId="65A3FDA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远程办公预案、应急演练记录、服务器运行监控日志</w:t>
            </w:r>
          </w:p>
        </w:tc>
        <w:tc>
          <w:tcPr>
            <w:tcW w:w="418" w:type="dxa"/>
            <w:tcMar>
              <w:top w:w="60" w:type="dxa"/>
              <w:left w:w="120" w:type="dxa"/>
              <w:bottom w:w="30" w:type="dxa"/>
              <w:right w:w="120" w:type="dxa"/>
            </w:tcMar>
            <w:vAlign w:val="center"/>
          </w:tcPr>
          <w:p w14:paraId="56CBCD0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每月1次应急演练，每日监控运行环境</w:t>
            </w:r>
          </w:p>
        </w:tc>
        <w:tc>
          <w:tcPr>
            <w:tcW w:w="1105" w:type="dxa"/>
            <w:tcMar>
              <w:top w:w="60" w:type="dxa"/>
              <w:left w:w="120" w:type="dxa"/>
              <w:bottom w:w="30" w:type="dxa"/>
              <w:right w:w="120" w:type="dxa"/>
            </w:tcMar>
            <w:vAlign w:val="center"/>
          </w:tcPr>
          <w:p w14:paraId="24AA5460">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启动远程办公预案，协调团队异地开展工作；切换至备用服务器与电源，恢复系统运行；若影响时间较长，调整项目计划，压缩后续迭代非核心功能时间</w:t>
            </w:r>
          </w:p>
        </w:tc>
      </w:tr>
      <w:tr w14:paraId="7287CD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53" w:type="dxa"/>
            <w:tcMar>
              <w:top w:w="60" w:type="dxa"/>
              <w:left w:w="120" w:type="dxa"/>
              <w:bottom w:w="30" w:type="dxa"/>
              <w:right w:w="120" w:type="dxa"/>
            </w:tcMar>
            <w:vAlign w:val="center"/>
          </w:tcPr>
          <w:p w14:paraId="6AB69F52">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RISK-015</w:t>
            </w:r>
          </w:p>
        </w:tc>
        <w:tc>
          <w:tcPr>
            <w:tcW w:w="395" w:type="dxa"/>
            <w:tcMar>
              <w:top w:w="60" w:type="dxa"/>
              <w:left w:w="120" w:type="dxa"/>
              <w:bottom w:w="30" w:type="dxa"/>
              <w:right w:w="120" w:type="dxa"/>
            </w:tcMar>
            <w:vAlign w:val="center"/>
          </w:tcPr>
          <w:p w14:paraId="730C50D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团队协作风险</w:t>
            </w:r>
          </w:p>
        </w:tc>
        <w:tc>
          <w:tcPr>
            <w:tcW w:w="1152" w:type="dxa"/>
            <w:tcMar>
              <w:top w:w="60" w:type="dxa"/>
              <w:left w:w="120" w:type="dxa"/>
              <w:bottom w:w="30" w:type="dxa"/>
              <w:right w:w="120" w:type="dxa"/>
            </w:tcMar>
            <w:vAlign w:val="center"/>
          </w:tcPr>
          <w:p w14:paraId="139CF30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团队沟通不畅、分工不明确，导致重复开发、任务遗漏、效率低下</w:t>
            </w:r>
          </w:p>
        </w:tc>
        <w:tc>
          <w:tcPr>
            <w:tcW w:w="503" w:type="dxa"/>
            <w:tcMar>
              <w:top w:w="60" w:type="dxa"/>
              <w:left w:w="120" w:type="dxa"/>
              <w:bottom w:w="30" w:type="dxa"/>
              <w:right w:w="120" w:type="dxa"/>
            </w:tcMar>
            <w:vAlign w:val="center"/>
          </w:tcPr>
          <w:p w14:paraId="55270AF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一般（L）</w:t>
            </w:r>
          </w:p>
        </w:tc>
        <w:tc>
          <w:tcPr>
            <w:tcW w:w="743" w:type="dxa"/>
            <w:tcMar>
              <w:top w:w="60" w:type="dxa"/>
              <w:left w:w="120" w:type="dxa"/>
              <w:bottom w:w="30" w:type="dxa"/>
              <w:right w:w="120" w:type="dxa"/>
            </w:tcMar>
            <w:vAlign w:val="center"/>
          </w:tcPr>
          <w:p w14:paraId="1EEFF3E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高（H）</w:t>
            </w:r>
          </w:p>
        </w:tc>
        <w:tc>
          <w:tcPr>
            <w:tcW w:w="790" w:type="dxa"/>
            <w:tcMar>
              <w:top w:w="60" w:type="dxa"/>
              <w:left w:w="120" w:type="dxa"/>
              <w:bottom w:w="30" w:type="dxa"/>
              <w:right w:w="120" w:type="dxa"/>
            </w:tcMar>
            <w:vAlign w:val="center"/>
          </w:tcPr>
          <w:p w14:paraId="396E83C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黄色（中）</w:t>
            </w:r>
          </w:p>
        </w:tc>
        <w:tc>
          <w:tcPr>
            <w:tcW w:w="1316" w:type="dxa"/>
            <w:tcMar>
              <w:top w:w="60" w:type="dxa"/>
              <w:left w:w="120" w:type="dxa"/>
              <w:bottom w:w="30" w:type="dxa"/>
              <w:right w:w="120" w:type="dxa"/>
            </w:tcMar>
            <w:vAlign w:val="center"/>
          </w:tcPr>
          <w:p w14:paraId="576F67D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1. 未建立标准化沟通机制；2. 分工不清晰，责任未到人；3. 跨部门对接无明确接口人</w:t>
            </w:r>
          </w:p>
        </w:tc>
        <w:tc>
          <w:tcPr>
            <w:tcW w:w="1990" w:type="dxa"/>
            <w:tcMar>
              <w:top w:w="60" w:type="dxa"/>
              <w:left w:w="120" w:type="dxa"/>
              <w:bottom w:w="30" w:type="dxa"/>
              <w:right w:w="120" w:type="dxa"/>
            </w:tcMar>
            <w:vAlign w:val="center"/>
          </w:tcPr>
          <w:p w14:paraId="5F3C671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预防：1. 建立每日站会、每周评审会制度，同步进度、问题与计划；2. 输出《分工责任矩阵》，明确每个任务的责任人、交付物与时间节点；3. 跨部门对接指定专属接口人，确保沟通高效。缓解：1. 建立项目共享文档库，统一接口规范、需求文档等资料；2. 每周开展1次协作问题复盘，优化沟通流程</w:t>
            </w:r>
          </w:p>
        </w:tc>
        <w:tc>
          <w:tcPr>
            <w:tcW w:w="642" w:type="dxa"/>
            <w:tcMar>
              <w:top w:w="60" w:type="dxa"/>
              <w:left w:w="120" w:type="dxa"/>
              <w:bottom w:w="30" w:type="dxa"/>
              <w:right w:w="120" w:type="dxa"/>
            </w:tcMar>
            <w:vAlign w:val="center"/>
          </w:tcPr>
          <w:p w14:paraId="0DAF0AC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w:t>
            </w:r>
          </w:p>
        </w:tc>
        <w:tc>
          <w:tcPr>
            <w:tcW w:w="705" w:type="dxa"/>
            <w:tcMar>
              <w:top w:w="60" w:type="dxa"/>
              <w:left w:w="120" w:type="dxa"/>
              <w:bottom w:w="30" w:type="dxa"/>
              <w:right w:w="120" w:type="dxa"/>
            </w:tcMar>
            <w:vAlign w:val="center"/>
          </w:tcPr>
          <w:p w14:paraId="6DF9943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会议纪要、分工责任矩阵、协作问题台账</w:t>
            </w:r>
          </w:p>
        </w:tc>
        <w:tc>
          <w:tcPr>
            <w:tcW w:w="418" w:type="dxa"/>
            <w:tcMar>
              <w:top w:w="60" w:type="dxa"/>
              <w:left w:w="120" w:type="dxa"/>
              <w:bottom w:w="30" w:type="dxa"/>
              <w:right w:w="120" w:type="dxa"/>
            </w:tcMar>
            <w:vAlign w:val="center"/>
          </w:tcPr>
          <w:p w14:paraId="1515955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每日站会同步，每周复盘优化</w:t>
            </w:r>
          </w:p>
        </w:tc>
        <w:tc>
          <w:tcPr>
            <w:tcW w:w="1105" w:type="dxa"/>
            <w:tcMar>
              <w:top w:w="60" w:type="dxa"/>
              <w:left w:w="120" w:type="dxa"/>
              <w:bottom w:w="30" w:type="dxa"/>
              <w:right w:w="120" w:type="dxa"/>
            </w:tcMar>
            <w:vAlign w:val="center"/>
          </w:tcPr>
          <w:p w14:paraId="1D834CA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组织临时协调会，澄清分歧与需求；重新梳理任务分工，明确责任；更换沟通效率低的对接人，确保跨部门协作顺畅</w:t>
            </w:r>
          </w:p>
        </w:tc>
      </w:tr>
    </w:tbl>
    <w:p w14:paraId="696073B7">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29" w:name="heading_10"/>
      <w:bookmarkStart w:id="30" w:name="_Toc31753"/>
      <w:r>
        <w:rPr>
          <w:rFonts w:hint="eastAsia" w:ascii="Arial" w:hAnsi="Arial" w:eastAsia="黑体" w:cs="Times New Roman"/>
          <w:spacing w:val="20"/>
          <w:sz w:val="36"/>
          <w:szCs w:val="44"/>
          <w:lang w:bidi="ar-SA"/>
        </w:rPr>
        <w:t>风险应对策略总览</w:t>
      </w:r>
      <w:bookmarkEnd w:id="29"/>
      <w:bookmarkEnd w:id="30"/>
    </w:p>
    <w:p w14:paraId="3B41B3E7">
      <w:pPr>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针对不同等级风险，采取差异化管控策略，确保风险可防、可控、可追溯：</w:t>
      </w:r>
    </w:p>
    <w:p w14:paraId="519AD636">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红色风险（极高）：成立专项管控小组，由项目经理牵头，技术总监/业务负责人参与，制定专项应对方案，实时监控风险状态，每日上报风险进展，确保风险快速闭环；</w:t>
      </w:r>
    </w:p>
    <w:p w14:paraId="37BA6AFD">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橙色风险（高）：由对应责任人制定详细应对计划，明确整改时限与资源需求，每周上报风险状态，必要时启动应急预案；</w:t>
      </w:r>
    </w:p>
    <w:p w14:paraId="5EBB478C">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黄色风险（中）：由责任人落实预防与缓解措施，定期监控风险变化，纳入每周项目评审会同步，风险升级时及时上报；</w:t>
      </w:r>
    </w:p>
    <w:p w14:paraId="0B1E166A">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蓝色风险（低）：由责任人自行管控，做好风险记录，定期复盘优化，无需专项上报，仅在风险等级上升时启动对应管控流程。</w:t>
      </w:r>
    </w:p>
    <w:p w14:paraId="4D97B50C">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31" w:name="heading_11"/>
      <w:bookmarkStart w:id="32" w:name="_Toc23288"/>
      <w:r>
        <w:rPr>
          <w:rFonts w:hint="eastAsia" w:ascii="Arial" w:hAnsi="Arial" w:eastAsia="黑体" w:cs="Times New Roman"/>
          <w:spacing w:val="20"/>
          <w:sz w:val="36"/>
          <w:szCs w:val="44"/>
          <w:lang w:bidi="ar-SA"/>
        </w:rPr>
        <w:t>风险监控与闭环管理</w:t>
      </w:r>
      <w:bookmarkEnd w:id="31"/>
      <w:bookmarkEnd w:id="32"/>
    </w:p>
    <w:p w14:paraId="1423DD40">
      <w:pPr>
        <w:pStyle w:val="4"/>
        <w:numPr>
          <w:ilvl w:val="1"/>
          <w:numId w:val="2"/>
        </w:numPr>
        <w:spacing w:after="156"/>
        <w:ind w:left="567" w:leftChars="0" w:hanging="567" w:firstLineChars="0"/>
        <w:jc w:val="left"/>
        <w:rPr>
          <w:rFonts w:hint="eastAsia"/>
          <w:lang w:val="en-US" w:eastAsia="zh-CN"/>
        </w:rPr>
      </w:pPr>
      <w:bookmarkStart w:id="33" w:name="heading_12"/>
      <w:bookmarkStart w:id="34" w:name="_Toc20758"/>
      <w:r>
        <w:rPr>
          <w:rFonts w:hint="eastAsia"/>
          <w:lang w:val="en-US" w:eastAsia="zh-CN"/>
        </w:rPr>
        <w:t>监控主体与职责</w:t>
      </w:r>
      <w:bookmarkEnd w:id="33"/>
      <w:bookmarkEnd w:id="34"/>
    </w:p>
    <w:tbl>
      <w:tblPr>
        <w:tblStyle w:val="11"/>
        <w:tblW w:w="8335"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87"/>
        <w:gridCol w:w="6848"/>
      </w:tblGrid>
      <w:tr w14:paraId="440925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87" w:type="dxa"/>
            <w:tcMar>
              <w:top w:w="60" w:type="dxa"/>
              <w:left w:w="120" w:type="dxa"/>
              <w:bottom w:w="30" w:type="dxa"/>
              <w:right w:w="120" w:type="dxa"/>
            </w:tcMar>
          </w:tcPr>
          <w:p w14:paraId="7E360EAB">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监控主体</w:t>
            </w:r>
          </w:p>
        </w:tc>
        <w:tc>
          <w:tcPr>
            <w:tcW w:w="6848" w:type="dxa"/>
            <w:tcMar>
              <w:top w:w="60" w:type="dxa"/>
              <w:left w:w="120" w:type="dxa"/>
              <w:bottom w:w="30" w:type="dxa"/>
              <w:right w:w="120" w:type="dxa"/>
            </w:tcMar>
          </w:tcPr>
          <w:p w14:paraId="5E51479B">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核心职责</w:t>
            </w:r>
          </w:p>
        </w:tc>
      </w:tr>
      <w:tr w14:paraId="2D2C36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87" w:type="dxa"/>
            <w:tcMar>
              <w:top w:w="60" w:type="dxa"/>
              <w:left w:w="120" w:type="dxa"/>
              <w:bottom w:w="30" w:type="dxa"/>
              <w:right w:w="120" w:type="dxa"/>
            </w:tcMar>
          </w:tcPr>
          <w:p w14:paraId="506BE62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项目经理</w:t>
            </w:r>
          </w:p>
        </w:tc>
        <w:tc>
          <w:tcPr>
            <w:tcW w:w="6848" w:type="dxa"/>
            <w:tcMar>
              <w:top w:w="60" w:type="dxa"/>
              <w:left w:w="120" w:type="dxa"/>
              <w:bottom w:w="30" w:type="dxa"/>
              <w:right w:w="120" w:type="dxa"/>
            </w:tcMar>
          </w:tcPr>
          <w:p w14:paraId="547B025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统筹风险管控工作，组织风险识别与评审，跟踪风险整改进度，协调资源解决重大风险，定期向项目负责人汇报风险状态</w:t>
            </w:r>
          </w:p>
        </w:tc>
      </w:tr>
      <w:tr w14:paraId="6EFF0A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87" w:type="dxa"/>
            <w:tcMar>
              <w:top w:w="60" w:type="dxa"/>
              <w:left w:w="120" w:type="dxa"/>
              <w:bottom w:w="30" w:type="dxa"/>
              <w:right w:w="120" w:type="dxa"/>
            </w:tcMar>
          </w:tcPr>
          <w:p w14:paraId="5D6005D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风险责任人</w:t>
            </w:r>
          </w:p>
        </w:tc>
        <w:tc>
          <w:tcPr>
            <w:tcW w:w="6848" w:type="dxa"/>
            <w:tcMar>
              <w:top w:w="60" w:type="dxa"/>
              <w:left w:w="120" w:type="dxa"/>
              <w:bottom w:w="30" w:type="dxa"/>
              <w:right w:w="120" w:type="dxa"/>
            </w:tcMar>
          </w:tcPr>
          <w:p w14:paraId="777BCEC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落实具体风险的预防、缓解措施，每日监控风险状态，及时上报风险变化与问题，确保风险闭环</w:t>
            </w:r>
          </w:p>
        </w:tc>
      </w:tr>
      <w:tr w14:paraId="3FBA80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87" w:type="dxa"/>
            <w:tcMar>
              <w:top w:w="60" w:type="dxa"/>
              <w:left w:w="120" w:type="dxa"/>
              <w:bottom w:w="30" w:type="dxa"/>
              <w:right w:w="120" w:type="dxa"/>
            </w:tcMar>
          </w:tcPr>
          <w:p w14:paraId="09B815AD">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项目组</w:t>
            </w:r>
          </w:p>
        </w:tc>
        <w:tc>
          <w:tcPr>
            <w:tcW w:w="6848" w:type="dxa"/>
            <w:tcMar>
              <w:top w:w="60" w:type="dxa"/>
              <w:left w:w="120" w:type="dxa"/>
              <w:bottom w:w="30" w:type="dxa"/>
              <w:right w:w="120" w:type="dxa"/>
            </w:tcMar>
          </w:tcPr>
          <w:p w14:paraId="0A69E45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参与风险识别、头脑风暴与评审，执行风险应对措施，主动上报新增风险与潜在隐患</w:t>
            </w:r>
          </w:p>
        </w:tc>
      </w:tr>
      <w:tr w14:paraId="4B859B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87" w:type="dxa"/>
            <w:tcMar>
              <w:top w:w="60" w:type="dxa"/>
              <w:left w:w="120" w:type="dxa"/>
              <w:bottom w:w="30" w:type="dxa"/>
              <w:right w:w="120" w:type="dxa"/>
            </w:tcMar>
          </w:tcPr>
          <w:p w14:paraId="684C5F1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项目负责人/技术总监</w:t>
            </w:r>
          </w:p>
        </w:tc>
        <w:tc>
          <w:tcPr>
            <w:tcW w:w="6848" w:type="dxa"/>
            <w:tcMar>
              <w:top w:w="60" w:type="dxa"/>
              <w:left w:w="120" w:type="dxa"/>
              <w:bottom w:w="30" w:type="dxa"/>
              <w:right w:w="120" w:type="dxa"/>
            </w:tcMar>
          </w:tcPr>
          <w:p w14:paraId="064644B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审批重大风险应对方案，协调企业级资源，决策风险升级与项目计划调整</w:t>
            </w:r>
          </w:p>
        </w:tc>
      </w:tr>
    </w:tbl>
    <w:p w14:paraId="5BD25801">
      <w:pPr>
        <w:pStyle w:val="4"/>
        <w:numPr>
          <w:ilvl w:val="1"/>
          <w:numId w:val="2"/>
        </w:numPr>
        <w:spacing w:after="156"/>
        <w:ind w:left="567" w:leftChars="0" w:hanging="567" w:firstLineChars="0"/>
        <w:jc w:val="left"/>
        <w:rPr>
          <w:rFonts w:hint="eastAsia"/>
          <w:lang w:val="en-US" w:eastAsia="zh-CN"/>
        </w:rPr>
      </w:pPr>
      <w:bookmarkStart w:id="35" w:name="heading_13"/>
      <w:bookmarkStart w:id="36" w:name="_Toc8041"/>
      <w:r>
        <w:rPr>
          <w:rFonts w:hint="eastAsia"/>
          <w:lang w:val="en-US" w:eastAsia="zh-CN"/>
        </w:rPr>
        <w:t>闭环管理流程</w:t>
      </w:r>
      <w:bookmarkEnd w:id="35"/>
      <w:bookmarkEnd w:id="36"/>
    </w:p>
    <w:p w14:paraId="49F072D5">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风险识别：通过多种方法梳理潜在风险，录入《风险识别清单》；</w:t>
      </w:r>
    </w:p>
    <w:p w14:paraId="18B9524B">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风险评估：组织评审确定风险等级、影响程度与发生概率；</w:t>
      </w:r>
    </w:p>
    <w:p w14:paraId="3438C2E2">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方案制定：责任人制定预防、缓解措施与应急方案，明确时限与资源；</w:t>
      </w:r>
    </w:p>
    <w:p w14:paraId="1CFD3095">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措施执行：按方案落实应对措施，做好执行记录；</w:t>
      </w:r>
    </w:p>
    <w:p w14:paraId="4648C9D0">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风险监控：按周期跟踪风险状态，评估措施有效性；</w:t>
      </w:r>
    </w:p>
    <w:p w14:paraId="6B057782">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风险闭环：风险消除或降至可接受范围后，填写《风险闭环确认单》，完成闭环；若风险升级，重复步骤3-5。</w:t>
      </w:r>
    </w:p>
    <w:p w14:paraId="45135A29">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37" w:name="heading_14"/>
      <w:bookmarkStart w:id="38" w:name="_Toc9753"/>
      <w:r>
        <w:rPr>
          <w:rFonts w:hint="eastAsia" w:ascii="Arial" w:hAnsi="Arial" w:eastAsia="黑体" w:cs="Times New Roman"/>
          <w:spacing w:val="20"/>
          <w:sz w:val="36"/>
          <w:szCs w:val="44"/>
          <w:lang w:bidi="ar-SA"/>
        </w:rPr>
        <w:t>附则</w:t>
      </w:r>
      <w:bookmarkEnd w:id="37"/>
      <w:bookmarkEnd w:id="38"/>
    </w:p>
    <w:p w14:paraId="0AABF4C4">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本文档由项目管理部负责维护，每迭代更新1次，新增风险需及时补充至清单，确保风险管控全覆盖；</w:t>
      </w:r>
    </w:p>
    <w:p w14:paraId="486C5F7B">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风险责任人需严格落实管控措施，未按要求执行导致风险升级的，按企业项目管理制度追责；</w:t>
      </w:r>
    </w:p>
    <w:p w14:paraId="52AF93E1">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本文档经项目负责人/技术总监审批后生效，修订需履行同样审批流程；</w:t>
      </w:r>
    </w:p>
    <w:p w14:paraId="0B703E13">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eastAsia" w:eastAsia="宋体" w:asciiTheme="minorEastAsia" w:hAnsiTheme="minorEastAsia" w:cstheme="minorEastAsia"/>
          <w:kern w:val="2"/>
          <w:sz w:val="24"/>
          <w:szCs w:val="24"/>
          <w:lang w:val="en-US" w:eastAsia="zh-CN" w:bidi="ar-SA"/>
        </w:rPr>
        <w:t>项目收尾后，组织风险复盘，总结经验教训，形成《风险复盘报告》，为后续项目提供参考。</w:t>
      </w:r>
    </w:p>
    <w:p w14:paraId="2914D8B9">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39" w:name="_Toc29185"/>
      <w:bookmarkStart w:id="40" w:name="heading_15"/>
      <w:r>
        <w:rPr>
          <w:rFonts w:hint="eastAsia" w:ascii="Arial" w:hAnsi="Arial" w:eastAsia="黑体" w:cs="Times New Roman"/>
          <w:spacing w:val="20"/>
          <w:sz w:val="36"/>
          <w:szCs w:val="44"/>
          <w:lang w:bidi="ar-SA"/>
        </w:rPr>
        <w:t>审批意见</w:t>
      </w:r>
      <w:bookmarkEnd w:id="39"/>
      <w:bookmarkEnd w:id="40"/>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DE6AB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A24E8B6">
            <w:pPr>
              <w:spacing w:line="360" w:lineRule="auto"/>
              <w:jc w:val="center"/>
              <w:rPr>
                <w:rFonts w:hint="eastAsia" w:ascii="Times New Roman" w:hAnsi="Times New Roman" w:eastAsia="宋体" w:cs="Times New Roman"/>
                <w:b/>
                <w:color w:val="000000"/>
                <w:kern w:val="2"/>
                <w:szCs w:val="21"/>
                <w:lang w:val="en-US" w:eastAsia="zh-CN" w:bidi="ar-SA"/>
              </w:rPr>
            </w:pPr>
            <w:r>
              <w:rPr>
                <w:rFonts w:hint="eastAsia" w:ascii="Times New Roman" w:hAnsi="Times New Roman" w:eastAsia="宋体" w:cs="Times New Roman"/>
                <w:b/>
                <w:color w:val="000000"/>
                <w:kern w:val="2"/>
                <w:szCs w:val="21"/>
                <w:lang w:val="en-US" w:eastAsia="zh-CN" w:bidi="ar-SA"/>
              </w:rPr>
              <w:t>审批角色</w:t>
            </w:r>
          </w:p>
        </w:tc>
        <w:tc>
          <w:tcPr>
            <w:tcW w:w="2070" w:type="dxa"/>
            <w:tcMar>
              <w:top w:w="60" w:type="dxa"/>
              <w:left w:w="120" w:type="dxa"/>
              <w:bottom w:w="30" w:type="dxa"/>
              <w:right w:w="120" w:type="dxa"/>
            </w:tcMar>
          </w:tcPr>
          <w:p w14:paraId="682377F2">
            <w:pPr>
              <w:spacing w:line="360" w:lineRule="auto"/>
              <w:jc w:val="center"/>
              <w:rPr>
                <w:rFonts w:hint="eastAsia" w:ascii="Times New Roman" w:hAnsi="Times New Roman" w:eastAsia="宋体" w:cs="Times New Roman"/>
                <w:b/>
                <w:color w:val="000000"/>
                <w:kern w:val="2"/>
                <w:szCs w:val="21"/>
                <w:lang w:val="en-US" w:eastAsia="zh-CN" w:bidi="ar-SA"/>
              </w:rPr>
            </w:pPr>
            <w:r>
              <w:rPr>
                <w:rFonts w:hint="eastAsia" w:ascii="Times New Roman" w:hAnsi="Times New Roman" w:eastAsia="宋体" w:cs="Times New Roman"/>
                <w:b/>
                <w:color w:val="000000"/>
                <w:kern w:val="2"/>
                <w:szCs w:val="21"/>
                <w:lang w:val="en-US" w:eastAsia="zh-CN" w:bidi="ar-SA"/>
              </w:rPr>
              <w:t>审批意见</w:t>
            </w:r>
          </w:p>
        </w:tc>
        <w:tc>
          <w:tcPr>
            <w:tcW w:w="2070" w:type="dxa"/>
            <w:tcMar>
              <w:top w:w="60" w:type="dxa"/>
              <w:left w:w="120" w:type="dxa"/>
              <w:bottom w:w="30" w:type="dxa"/>
              <w:right w:w="120" w:type="dxa"/>
            </w:tcMar>
          </w:tcPr>
          <w:p w14:paraId="3B312940">
            <w:pPr>
              <w:spacing w:line="360" w:lineRule="auto"/>
              <w:jc w:val="center"/>
              <w:rPr>
                <w:rFonts w:hint="eastAsia" w:ascii="Times New Roman" w:hAnsi="Times New Roman" w:eastAsia="宋体" w:cs="Times New Roman"/>
                <w:b/>
                <w:color w:val="000000"/>
                <w:kern w:val="2"/>
                <w:szCs w:val="21"/>
                <w:lang w:val="en-US" w:eastAsia="zh-CN" w:bidi="ar-SA"/>
              </w:rPr>
            </w:pPr>
            <w:r>
              <w:rPr>
                <w:rFonts w:hint="eastAsia" w:ascii="Times New Roman" w:hAnsi="Times New Roman" w:eastAsia="宋体" w:cs="Times New Roman"/>
                <w:b/>
                <w:color w:val="000000"/>
                <w:kern w:val="2"/>
                <w:szCs w:val="21"/>
                <w:lang w:val="en-US" w:eastAsia="zh-CN" w:bidi="ar-SA"/>
              </w:rPr>
              <w:t>签字</w:t>
            </w:r>
          </w:p>
        </w:tc>
        <w:tc>
          <w:tcPr>
            <w:tcW w:w="2070" w:type="dxa"/>
            <w:tcMar>
              <w:top w:w="60" w:type="dxa"/>
              <w:left w:w="120" w:type="dxa"/>
              <w:bottom w:w="30" w:type="dxa"/>
              <w:right w:w="120" w:type="dxa"/>
            </w:tcMar>
          </w:tcPr>
          <w:p w14:paraId="4B8488EF">
            <w:pPr>
              <w:spacing w:line="360" w:lineRule="auto"/>
              <w:jc w:val="center"/>
              <w:rPr>
                <w:rFonts w:hint="eastAsia" w:ascii="Times New Roman" w:hAnsi="Times New Roman" w:eastAsia="宋体" w:cs="Times New Roman"/>
                <w:b/>
                <w:color w:val="000000"/>
                <w:kern w:val="2"/>
                <w:szCs w:val="21"/>
                <w:lang w:val="en-US" w:eastAsia="zh-CN" w:bidi="ar-SA"/>
              </w:rPr>
            </w:pPr>
            <w:r>
              <w:rPr>
                <w:rFonts w:hint="eastAsia" w:ascii="Times New Roman" w:hAnsi="Times New Roman" w:eastAsia="宋体" w:cs="Times New Roman"/>
                <w:b/>
                <w:color w:val="000000"/>
                <w:kern w:val="2"/>
                <w:szCs w:val="21"/>
                <w:lang w:val="en-US" w:eastAsia="zh-CN" w:bidi="ar-SA"/>
              </w:rPr>
              <w:t>日期</w:t>
            </w:r>
          </w:p>
        </w:tc>
      </w:tr>
      <w:tr w14:paraId="558A50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A7E21F7">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技术总监</w:t>
            </w:r>
          </w:p>
        </w:tc>
        <w:tc>
          <w:tcPr>
            <w:tcW w:w="2070" w:type="dxa"/>
            <w:tcMar>
              <w:top w:w="60" w:type="dxa"/>
              <w:left w:w="120" w:type="dxa"/>
              <w:bottom w:w="30" w:type="dxa"/>
              <w:right w:w="120" w:type="dxa"/>
            </w:tcMar>
          </w:tcPr>
          <w:p w14:paraId="4C450FE0">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0F951E49">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05EFEBC4">
            <w:pPr>
              <w:spacing w:line="360" w:lineRule="auto"/>
              <w:jc w:val="center"/>
              <w:rPr>
                <w:rFonts w:hint="eastAsia" w:ascii="Times New Roman" w:hAnsi="Times New Roman" w:eastAsia="宋体" w:cs="Times New Roman"/>
                <w:b w:val="0"/>
                <w:bCs/>
                <w:color w:val="000000"/>
                <w:szCs w:val="21"/>
                <w:lang w:val="en-US" w:eastAsia="zh-CN"/>
              </w:rPr>
            </w:pPr>
          </w:p>
        </w:tc>
      </w:tr>
      <w:tr w14:paraId="3394FF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3FB32C1">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项目负责人</w:t>
            </w:r>
          </w:p>
        </w:tc>
        <w:tc>
          <w:tcPr>
            <w:tcW w:w="2070" w:type="dxa"/>
            <w:tcMar>
              <w:top w:w="60" w:type="dxa"/>
              <w:left w:w="120" w:type="dxa"/>
              <w:bottom w:w="30" w:type="dxa"/>
              <w:right w:w="120" w:type="dxa"/>
            </w:tcMar>
          </w:tcPr>
          <w:p w14:paraId="5CCDBBBD">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15EB437D">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38971C2D">
            <w:pPr>
              <w:spacing w:line="360" w:lineRule="auto"/>
              <w:jc w:val="center"/>
              <w:rPr>
                <w:rFonts w:hint="eastAsia" w:ascii="Times New Roman" w:hAnsi="Times New Roman" w:eastAsia="宋体" w:cs="Times New Roman"/>
                <w:b w:val="0"/>
                <w:bCs/>
                <w:color w:val="000000"/>
                <w:szCs w:val="21"/>
                <w:lang w:val="en-US" w:eastAsia="zh-CN"/>
              </w:rPr>
            </w:pPr>
          </w:p>
        </w:tc>
      </w:tr>
      <w:tr w14:paraId="6678B3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D43F516">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合规部门负责人</w:t>
            </w:r>
          </w:p>
        </w:tc>
        <w:tc>
          <w:tcPr>
            <w:tcW w:w="2070" w:type="dxa"/>
            <w:tcMar>
              <w:top w:w="60" w:type="dxa"/>
              <w:left w:w="120" w:type="dxa"/>
              <w:bottom w:w="30" w:type="dxa"/>
              <w:right w:w="120" w:type="dxa"/>
            </w:tcMar>
          </w:tcPr>
          <w:p w14:paraId="507C7103">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752C4980">
            <w:pPr>
              <w:spacing w:line="360" w:lineRule="auto"/>
              <w:jc w:val="center"/>
              <w:rPr>
                <w:rFonts w:hint="eastAsia" w:ascii="Times New Roman" w:hAnsi="Times New Roman" w:eastAsia="宋体" w:cs="Times New Roman"/>
                <w:b w:val="0"/>
                <w:bCs/>
                <w:color w:val="000000"/>
                <w:szCs w:val="21"/>
                <w:lang w:val="en-US" w:eastAsia="zh-CN"/>
              </w:rPr>
            </w:pPr>
          </w:p>
        </w:tc>
        <w:tc>
          <w:tcPr>
            <w:tcW w:w="2070" w:type="dxa"/>
            <w:tcMar>
              <w:top w:w="60" w:type="dxa"/>
              <w:left w:w="120" w:type="dxa"/>
              <w:bottom w:w="30" w:type="dxa"/>
              <w:right w:w="120" w:type="dxa"/>
            </w:tcMar>
          </w:tcPr>
          <w:p w14:paraId="77705E2C">
            <w:pPr>
              <w:spacing w:line="360" w:lineRule="auto"/>
              <w:jc w:val="center"/>
              <w:rPr>
                <w:rFonts w:hint="eastAsia" w:ascii="Times New Roman" w:hAnsi="Times New Roman" w:eastAsia="宋体" w:cs="Times New Roman"/>
                <w:b w:val="0"/>
                <w:bCs/>
                <w:color w:val="000000"/>
                <w:szCs w:val="21"/>
                <w:lang w:val="en-US" w:eastAsia="zh-CN"/>
              </w:rPr>
            </w:pPr>
          </w:p>
        </w:tc>
      </w:tr>
    </w:tbl>
    <w:p w14:paraId="706420D5">
      <w:pPr>
        <w:spacing w:before="120" w:after="120" w:line="288" w:lineRule="auto"/>
        <w:ind w:left="0"/>
        <w:jc w:val="left"/>
      </w:pPr>
    </w:p>
    <w:sectPr>
      <w:headerReference r:id="rId9" w:type="default"/>
      <w:footerReference r:id="rId10"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7"/>
      <w:spacing w:before="120" w:after="120"/>
    </w:pPr>
    <w:r>
      <w:rPr>
        <w:sz w:val="21"/>
      </w:rPr>
      <w:pict>
        <v:shape id="文本框 3" o:spid="_x0000_s4097"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73F0B000">
                <w:pPr>
                  <w:pStyle w:val="7"/>
                  <w:spacing w:before="120"/>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7"/>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BDE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8"/>
      <w:tabs>
        <w:tab w:val="clear" w:pos="4153"/>
      </w:tabs>
      <w:spacing w:after="120"/>
      <w:jc w:val="both"/>
      <w:rPr>
        <w:rFonts w:hint="eastAsia"/>
      </w:rPr>
    </w:pPr>
    <w:r>
      <w:rPr>
        <w:rFonts w:hint="eastAsia"/>
        <w:lang w:val="en-US" w:eastAsia="zh-CN"/>
      </w:rPr>
      <w:t>制造执行系统（MES）</w:t>
    </w:r>
    <w:r>
      <w:rPr>
        <w:lang w:eastAsia="zh-Hans"/>
      </w:rPr>
      <w:t>_</w:t>
    </w:r>
    <w:r>
      <w:rPr>
        <w:rFonts w:hint="eastAsia"/>
        <w:lang w:val="en-US" w:eastAsia="zh-CN"/>
      </w:rPr>
      <w:t>1</w:t>
    </w:r>
    <w:r>
      <w:rPr>
        <w:rFonts w:hint="eastAsia"/>
        <w:lang w:eastAsia="zh-Hans"/>
      </w:rPr>
      <w:t>.</w:t>
    </w:r>
    <w:r>
      <w:rPr>
        <w:lang w:eastAsia="zh-Hans"/>
      </w:rPr>
      <w:t>1</w:t>
    </w:r>
    <w:r>
      <w:rPr>
        <w:rFonts w:hint="eastAsia"/>
        <w:lang w:eastAsia="zh-Hans"/>
      </w:rPr>
      <w:t>.</w:t>
    </w:r>
    <w:r>
      <w:rPr>
        <w:lang w:eastAsia="zh-Hans"/>
      </w:rPr>
      <w:t>0</w:t>
    </w:r>
    <w:r>
      <w:rPr>
        <w:rFonts w:hint="eastAsia"/>
        <w:lang w:val="en-US" w:eastAsia="zh-CN"/>
      </w:rPr>
      <w:t>风险识别表</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8"/>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82F78">
    <w:pPr>
      <w:pBdr>
        <w:bottom w:val="single" w:color="auto" w:sz="4" w:space="0"/>
      </w:pBd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制造执行系统（MES）</w:t>
    </w:r>
    <w:r>
      <w:rPr>
        <w:rFonts w:hint="eastAsia" w:ascii="Times New Roman" w:hAnsi="Times New Roman" w:eastAsia="宋体" w:cs="Times New Roman"/>
        <w:sz w:val="18"/>
        <w:szCs w:val="18"/>
        <w:lang w:val="en-US" w:eastAsia="zh-Hans"/>
      </w:rPr>
      <w:t>_</w:t>
    </w:r>
    <w:r>
      <w:rPr>
        <w:rFonts w:hint="eastAsia"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Hans"/>
      </w:rPr>
      <w:t>.1.0</w:t>
    </w:r>
    <w:r>
      <w:rPr>
        <w:rFonts w:hint="eastAsia" w:ascii="Times New Roman" w:hAnsi="Times New Roman" w:eastAsia="宋体" w:cs="Times New Roman"/>
        <w:sz w:val="18"/>
        <w:szCs w:val="18"/>
        <w:lang w:val="en-US" w:eastAsia="zh-CN"/>
      </w:rPr>
      <w:t>风险识别表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3E6A1"/>
    <w:multiLevelType w:val="multilevel"/>
    <w:tmpl w:val="E993E6A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2B279ED4"/>
    <w:multiLevelType w:val="multilevel"/>
    <w:tmpl w:val="2B279ED4"/>
    <w:lvl w:ilvl="0" w:tentative="0">
      <w:start w:val="1"/>
      <w:numFmt w:val="bullet"/>
      <w:suff w:val="space"/>
      <w:lvlText w:val=""/>
      <w:lvlJc w:val="left"/>
      <w:pPr>
        <w:ind w:left="0" w:leftChars="0" w:firstLine="0" w:firstLineChars="0"/>
      </w:pPr>
      <w:rPr>
        <w:rFonts w:hint="default" w:ascii="Wingdings" w:hAnsi="Wingdings"/>
        <w:sz w:val="15"/>
        <w:szCs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F260321"/>
    <w:multiLevelType w:val="multilevel"/>
    <w:tmpl w:val="2F260321"/>
    <w:lvl w:ilvl="0" w:tentative="0">
      <w:start w:val="1"/>
      <w:numFmt w:val="decimal"/>
      <w:pStyle w:val="16"/>
      <w:lvlText w:val="表格%1."/>
      <w:lvlJc w:val="righ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23563407"/>
    <w:rsid w:val="3BB91E58"/>
    <w:rsid w:val="4B197907"/>
    <w:rsid w:val="525A4965"/>
    <w:rsid w:val="756D5019"/>
    <w:rsid w:val="77962E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3"/>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6">
    <w:name w:val="toc 3"/>
    <w:basedOn w:val="1"/>
    <w:next w:val="1"/>
    <w:qFormat/>
    <w:uiPriority w:val="0"/>
    <w:pPr>
      <w:ind w:left="840" w:leftChars="400"/>
    </w:pPr>
  </w:style>
  <w:style w:type="paragraph" w:styleId="7">
    <w:name w:val="footer"/>
    <w:basedOn w:val="1"/>
    <w:qFormat/>
    <w:uiPriority w:val="0"/>
    <w:pPr>
      <w:pBdr>
        <w:top w:val="single" w:color="auto" w:sz="4" w:space="1"/>
      </w:pBdr>
      <w:tabs>
        <w:tab w:val="center" w:pos="4153"/>
        <w:tab w:val="right" w:pos="8306"/>
      </w:tabs>
      <w:snapToGrid w:val="0"/>
      <w:spacing w:before="50" w:beforeLines="50" w:after="0" w:afterLines="0" w:line="240" w:lineRule="auto"/>
      <w:jc w:val="center"/>
    </w:pPr>
    <w:rPr>
      <w:sz w:val="18"/>
      <w:szCs w:val="18"/>
    </w:rPr>
  </w:style>
  <w:style w:type="paragraph" w:styleId="8">
    <w:name w:val="header"/>
    <w:basedOn w:val="1"/>
    <w:qFormat/>
    <w:uiPriority w:val="0"/>
    <w:pPr>
      <w:pBdr>
        <w:bottom w:val="single" w:color="auto" w:sz="6" w:space="1"/>
      </w:pBdr>
      <w:tabs>
        <w:tab w:val="center" w:pos="4153"/>
        <w:tab w:val="right" w:pos="8306"/>
      </w:tabs>
      <w:snapToGrid w:val="0"/>
      <w:spacing w:line="240" w:lineRule="auto"/>
      <w:jc w:val="center"/>
      <w:textAlignment w:val="center"/>
    </w:pPr>
    <w:rPr>
      <w:sz w:val="18"/>
      <w:szCs w:val="18"/>
    </w:rPr>
  </w:style>
  <w:style w:type="paragraph" w:styleId="9">
    <w:name w:val="toc 1"/>
    <w:basedOn w:val="1"/>
    <w:next w:val="1"/>
    <w:qFormat/>
    <w:uiPriority w:val="39"/>
    <w:pPr>
      <w:tabs>
        <w:tab w:val="left" w:pos="420"/>
        <w:tab w:val="right" w:leader="dot" w:pos="8222"/>
      </w:tabs>
      <w:spacing w:after="156" w:line="240" w:lineRule="auto"/>
    </w:pPr>
  </w:style>
  <w:style w:type="paragraph" w:styleId="10">
    <w:name w:val="toc 2"/>
    <w:basedOn w:val="1"/>
    <w:next w:val="1"/>
    <w:qFormat/>
    <w:uiPriority w:val="0"/>
    <w:pPr>
      <w:ind w:left="420" w:leftChars="200"/>
    </w:pPr>
  </w:style>
  <w:style w:type="paragraph" w:customStyle="1" w:styleId="13">
    <w:name w:val="封面落款"/>
    <w:basedOn w:val="14"/>
    <w:qFormat/>
    <w:uiPriority w:val="0"/>
    <w:pPr>
      <w:shd w:val="clear" w:color="auto" w:fill="auto"/>
      <w:spacing w:after="0"/>
    </w:pPr>
    <w:rPr>
      <w:b w:val="0"/>
      <w:sz w:val="32"/>
    </w:rPr>
  </w:style>
  <w:style w:type="paragraph" w:customStyle="1" w:styleId="14">
    <w:name w:val="封面标题"/>
    <w:basedOn w:val="1"/>
    <w:next w:val="13"/>
    <w:qFormat/>
    <w:uiPriority w:val="0"/>
    <w:pPr>
      <w:spacing w:after="6000" w:afterLines="0"/>
      <w:jc w:val="center"/>
    </w:pPr>
    <w:rPr>
      <w:rFonts w:ascii="Arial" w:hAnsi="Arial" w:eastAsia="黑体"/>
      <w:b/>
      <w:sz w:val="52"/>
    </w:rPr>
  </w:style>
  <w:style w:type="paragraph" w:customStyle="1" w:styleId="15">
    <w:name w:val="目录"/>
    <w:basedOn w:val="1"/>
    <w:next w:val="3"/>
    <w:qFormat/>
    <w:uiPriority w:val="0"/>
    <w:pPr>
      <w:spacing w:after="50" w:afterLines="50" w:line="360" w:lineRule="auto"/>
      <w:jc w:val="center"/>
    </w:pPr>
    <w:rPr>
      <w:rFonts w:ascii="Arial" w:hAnsi="Arial" w:eastAsia="黑体"/>
      <w:b/>
      <w:sz w:val="32"/>
    </w:rPr>
  </w:style>
  <w:style w:type="paragraph" w:customStyle="1" w:styleId="16">
    <w:name w:val="表格表头"/>
    <w:basedOn w:val="1"/>
    <w:next w:val="3"/>
    <w:qFormat/>
    <w:uiPriority w:val="0"/>
    <w:pPr>
      <w:numPr>
        <w:ilvl w:val="0"/>
        <w:numId w:val="1"/>
      </w:numPr>
      <w:spacing w:after="0" w:afterLines="0" w:line="240" w:lineRule="auto"/>
      <w:jc w:val="center"/>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7063</Words>
  <Characters>7490</Characters>
  <TotalTime>0</TotalTime>
  <ScaleCrop>false</ScaleCrop>
  <LinksUpToDate>false</LinksUpToDate>
  <CharactersWithSpaces>7690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2025-12-25T06:20:00Z</dcterms:created>
  <dc:creator>Apache POI</dc:creator>
  <cp:lastModifiedBy>..</cp:lastModifiedBy>
  <dcterms:modified xsi:type="dcterms:W3CDTF">2026-03-17T09:51:34Z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eyJoZGlkIjoiZWFiZTg0ZGRkMjE3NjA4ZGM4NDZlZWQwZWRlNjQ2OTciLCJ1c2VySWQiOiIxMDEyMDU2MjQ2In0=</vt:lpwstr>
  </property>
  <property fmtid="{D5CDD505-2E9C-101B-9397-08002B2CF9AE}" pid="3" name="KSOProductBuildVer">
    <vt:lpwstr>2052-12.1.0.25225</vt:lpwstr>
  </property>
  <property fmtid="{D5CDD505-2E9C-101B-9397-08002B2CF9AE}" pid="4" name="ICV">
    <vt:lpwstr>8B31FA664C33490E8B98ABE3513BAA9D_12</vt:lpwstr>
  </property>
</Properties>
</file>