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DBA06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制造执行系统（MES）迭代2</w:t>
      </w:r>
    </w:p>
    <w:p w14:paraId="5BBA0A5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0"/>
          <w:szCs w:val="18"/>
        </w:rPr>
      </w:pPr>
      <w:r>
        <w:rPr>
          <w:rFonts w:ascii="Arial" w:hAnsi="Arial" w:eastAsia="等线" w:cs="Arial"/>
          <w:b/>
          <w:sz w:val="40"/>
          <w:szCs w:val="18"/>
        </w:rPr>
        <w:t>用户变更记录表</w:t>
      </w:r>
    </w:p>
    <w:p w14:paraId="777326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文档版本：V1.0.0</w:t>
      </w:r>
    </w:p>
    <w:p w14:paraId="5E43FF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编制部门：西安优加青软数字技术有限公司MES项目组</w:t>
      </w:r>
    </w:p>
    <w:p w14:paraId="4C7674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编制日期：2026年1月20日</w:t>
      </w:r>
    </w:p>
    <w:p w14:paraId="68C6611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4"/>
        <w:gridCol w:w="2228"/>
        <w:gridCol w:w="1200"/>
        <w:gridCol w:w="3520"/>
      </w:tblGrid>
      <w:tr w14:paraId="0AB1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6840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3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96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93B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所属迭代</w:t>
            </w:r>
          </w:p>
        </w:tc>
        <w:tc>
          <w:tcPr>
            <w:tcW w:w="2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7E08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</w:t>
            </w:r>
          </w:p>
        </w:tc>
      </w:tr>
      <w:tr w14:paraId="71AA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CAA5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变更管理负责人</w:t>
            </w:r>
          </w:p>
        </w:tc>
        <w:tc>
          <w:tcPr>
            <w:tcW w:w="13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11D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李静（敏捷教练）</w:t>
            </w:r>
          </w:p>
        </w:tc>
        <w:tc>
          <w:tcPr>
            <w:tcW w:w="70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9381A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管理周期</w:t>
            </w:r>
          </w:p>
        </w:tc>
        <w:tc>
          <w:tcPr>
            <w:tcW w:w="206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D886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2026年1月6日-2026年1月20日</w:t>
            </w:r>
          </w:p>
        </w:tc>
      </w:tr>
      <w:tr w14:paraId="4C7F9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BE8D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变更定义范围</w:t>
            </w:r>
          </w:p>
        </w:tc>
        <w:tc>
          <w:tcPr>
            <w:tcW w:w="4066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94B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迭代2开发、测试、验收全流程中，用户（含客户方、内部产品负责人）提出的功能需求变更、交互优化变更、文档补充变更等各类变更事项</w:t>
            </w:r>
          </w:p>
        </w:tc>
      </w:tr>
      <w:tr w14:paraId="7E47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4F95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整体变更结论</w:t>
            </w:r>
          </w:p>
        </w:tc>
        <w:tc>
          <w:tcPr>
            <w:tcW w:w="4066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5E64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迭代2共接收用户变更需求3项（功能需求变更1项、交互优化变更2项），均完成审批与实施，变更完成率100%，无未审批或遗留变更；变更均未影响迭代2核心交付进度，变更管控规范有效</w:t>
            </w:r>
          </w:p>
        </w:tc>
      </w:tr>
    </w:tbl>
    <w:p w14:paraId="7DAE462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二、变更总体统计</w:t>
      </w:r>
      <w:bookmarkEnd w:id="1"/>
    </w:p>
    <w:tbl>
      <w:tblPr>
        <w:tblStyle w:val="2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1220"/>
        <w:gridCol w:w="1220"/>
        <w:gridCol w:w="1220"/>
        <w:gridCol w:w="1220"/>
        <w:gridCol w:w="1220"/>
        <w:gridCol w:w="1220"/>
      </w:tblGrid>
      <w:tr w14:paraId="1540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187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变更类型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71C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变更级别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653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数量（条）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9E2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审批通过数（条）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C18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实施完成数（条）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399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完成率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D11D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平均处理时长</w:t>
            </w:r>
          </w:p>
        </w:tc>
      </w:tr>
      <w:tr w14:paraId="4694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4A2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功能需求变更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848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重要变更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82B5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EC2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566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BE1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352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3个工作日</w:t>
            </w:r>
          </w:p>
        </w:tc>
      </w:tr>
      <w:tr w14:paraId="71FE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4FC1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交互优化变更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1D5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一般变更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B8FD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38A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7F12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6A4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4C7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1个工作日</w:t>
            </w:r>
          </w:p>
        </w:tc>
      </w:tr>
      <w:tr w14:paraId="04E49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F64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D37D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轻微变更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8F80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E08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8C09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CC1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1EB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0.5个工作日</w:t>
            </w:r>
          </w:p>
        </w:tc>
      </w:tr>
      <w:tr w14:paraId="388D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28" w:type="pct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DA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F24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835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3A35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6F74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71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43F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1.5个工作日</w:t>
            </w:r>
          </w:p>
        </w:tc>
      </w:tr>
    </w:tbl>
    <w:p w14:paraId="4C194FD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三、变更明细清单</w:t>
      </w:r>
      <w:bookmarkEnd w:id="2"/>
    </w:p>
    <w:tbl>
      <w:tblPr>
        <w:tblStyle w:val="2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7"/>
        <w:gridCol w:w="591"/>
        <w:gridCol w:w="827"/>
        <w:gridCol w:w="1754"/>
        <w:gridCol w:w="455"/>
        <w:gridCol w:w="936"/>
        <w:gridCol w:w="764"/>
        <w:gridCol w:w="673"/>
        <w:gridCol w:w="672"/>
        <w:gridCol w:w="682"/>
        <w:gridCol w:w="504"/>
      </w:tblGrid>
      <w:tr w14:paraId="32C51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C56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变更编号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59A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变更类型</w:t>
            </w:r>
          </w:p>
        </w:tc>
        <w:tc>
          <w:tcPr>
            <w:tcW w:w="4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5D1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关联功能/交付物</w:t>
            </w:r>
          </w:p>
        </w:tc>
        <w:tc>
          <w:tcPr>
            <w:tcW w:w="10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4B4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变更描述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1AC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级别</w:t>
            </w:r>
          </w:p>
        </w:tc>
        <w:tc>
          <w:tcPr>
            <w:tcW w:w="5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5883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提出人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6C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提出时间</w:t>
            </w:r>
          </w:p>
        </w:tc>
        <w:tc>
          <w:tcPr>
            <w:tcW w:w="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00FE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审批流程</w:t>
            </w: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1D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实施责任人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DD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完成时间</w:t>
            </w:r>
          </w:p>
        </w:tc>
        <w:tc>
          <w:tcPr>
            <w:tcW w:w="2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62C1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状态</w:t>
            </w:r>
          </w:p>
        </w:tc>
      </w:tr>
      <w:tr w14:paraId="50C6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C3A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CHG-ITER2-001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D591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交互优化变更</w:t>
            </w:r>
          </w:p>
        </w:tc>
        <w:tc>
          <w:tcPr>
            <w:tcW w:w="4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B1D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系统参数修改（D-F-052）</w:t>
            </w:r>
          </w:p>
        </w:tc>
        <w:tc>
          <w:tcPr>
            <w:tcW w:w="10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15DF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修改参数后无“保存成功”提示，需新增操作结果提示弹窗，并实现参数生效自动刷新，无需手动刷新页面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9CF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一般变更</w:t>
            </w:r>
          </w:p>
        </w:tc>
        <w:tc>
          <w:tcPr>
            <w:tcW w:w="5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7482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赵燕（代用户反馈）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DC0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C7A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张伟审批→李静审批</w:t>
            </w: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F0A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BEC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2026-01-08</w:t>
            </w:r>
          </w:p>
        </w:tc>
        <w:tc>
          <w:tcPr>
            <w:tcW w:w="2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463E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</w:t>
            </w:r>
          </w:p>
        </w:tc>
      </w:tr>
      <w:tr w14:paraId="759EB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4A5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CHG-ITER2-002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2C4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交互优化变更</w:t>
            </w:r>
          </w:p>
        </w:tc>
        <w:tc>
          <w:tcPr>
            <w:tcW w:w="4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8D6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系统参数删除（D-F-053）</w:t>
            </w:r>
          </w:p>
        </w:tc>
        <w:tc>
          <w:tcPr>
            <w:tcW w:w="10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2704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删除确认弹窗文字“确定要删除该已禁用的系统参数吗？”表述冗长，需简化为“确定删除该参数？”，提升操作便捷性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A584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轻微变更</w:t>
            </w:r>
          </w:p>
        </w:tc>
        <w:tc>
          <w:tcPr>
            <w:tcW w:w="5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41F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张伟（客户反馈）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8A6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2026-01-10</w:t>
            </w:r>
          </w:p>
        </w:tc>
        <w:tc>
          <w:tcPr>
            <w:tcW w:w="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CA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李静审批</w:t>
            </w: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735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刘婷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94E1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2026-01-13</w:t>
            </w:r>
          </w:p>
        </w:tc>
        <w:tc>
          <w:tcPr>
            <w:tcW w:w="2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918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</w:t>
            </w:r>
          </w:p>
        </w:tc>
      </w:tr>
      <w:tr w14:paraId="5275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117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CHG-ITER2-003</w:t>
            </w:r>
          </w:p>
        </w:tc>
        <w:tc>
          <w:tcPr>
            <w:tcW w:w="3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C7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功能需求变更</w:t>
            </w:r>
          </w:p>
        </w:tc>
        <w:tc>
          <w:tcPr>
            <w:tcW w:w="48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024E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基础数据管理模块</w:t>
            </w:r>
          </w:p>
        </w:tc>
        <w:tc>
          <w:tcPr>
            <w:tcW w:w="10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E18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现有基础数据（供应商、车间、工位等）需手动逐条录入，效率较低，建议后续迭代新增批量导入功能，支持Excel文件导入</w:t>
            </w:r>
          </w:p>
        </w:tc>
        <w:tc>
          <w:tcPr>
            <w:tcW w:w="26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1F80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重要变更</w:t>
            </w:r>
          </w:p>
        </w:tc>
        <w:tc>
          <w:tcPr>
            <w:tcW w:w="54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A5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XXX（客户代表）</w:t>
            </w:r>
          </w:p>
        </w:tc>
        <w:tc>
          <w:tcPr>
            <w:tcW w:w="4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4A6F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2026-01-17</w:t>
            </w:r>
          </w:p>
        </w:tc>
        <w:tc>
          <w:tcPr>
            <w:tcW w:w="39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68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张伟审批→李静审批→王强评估</w:t>
            </w:r>
          </w:p>
        </w:tc>
        <w:tc>
          <w:tcPr>
            <w:tcW w:w="3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E7B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张伟（需求梳理）</w:t>
            </w:r>
          </w:p>
        </w:tc>
        <w:tc>
          <w:tcPr>
            <w:tcW w:w="3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26E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2026-01-20</w:t>
            </w:r>
          </w:p>
        </w:tc>
        <w:tc>
          <w:tcPr>
            <w:tcW w:w="29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73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已完成</w:t>
            </w:r>
          </w:p>
        </w:tc>
      </w:tr>
    </w:tbl>
    <w:p w14:paraId="5D6494C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四、变更分析与改进建议</w:t>
      </w:r>
      <w:bookmarkEnd w:id="3"/>
    </w:p>
    <w:p w14:paraId="42A0E7E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变更分布分析</w:t>
      </w:r>
      <w:bookmarkEnd w:id="4"/>
    </w:p>
    <w:p w14:paraId="4EB62F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类型分布：交互优化变更2项（占比66.7%），主要聚焦功能操作反馈与文案简化；功能需求变更1项（占比33.3%），源于用户实际业务效率提升需求；无文档补充类变更，文档交付符合用户预期；</w:t>
      </w:r>
    </w:p>
    <w:p w14:paraId="148015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级别分布：重要变更1项（占比33.3%）、一般变更1项（占比33.3%）、轻微变更1项（占比33.3%），无紧急变更，变更整体风险可控；</w:t>
      </w:r>
    </w:p>
    <w:p w14:paraId="55521A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提出阶段分布：测试阶段1项（占比33.3%）、验收阶段2项（占比66.7%），前期需求梳理阶段无变更，说明需求调研基础扎实，变更均为迭代过程中细节优化与新增业务需求。</w:t>
      </w:r>
    </w:p>
    <w:p w14:paraId="6D21253E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核心变更原因</w:t>
      </w:r>
      <w:bookmarkEnd w:id="5"/>
    </w:p>
    <w:p w14:paraId="7A6FF1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交互优化变更原因：前期需求交底重点聚焦核心功能实现，对用户操作体验细节（提示弹窗、文案表述）梳理不够充分，导致测试与验收阶段用户提出优化建议；</w:t>
      </w:r>
    </w:p>
    <w:p w14:paraId="40C9FF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功能需求变更原因：用户在实际验收使用过程中，发现基础数据录入效率问题，提出新增批量导入功能，属于迭代阶段新增的合理业务需求；</w:t>
      </w:r>
    </w:p>
    <w:p w14:paraId="051EDAE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管理层面原因：无前置的用户体验调研环节，对用户日常操作习惯预判不足，导致部分交互优化类变更后置。</w:t>
      </w:r>
    </w:p>
    <w:p w14:paraId="142DCBB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改进建议</w:t>
      </w:r>
      <w:bookmarkEnd w:id="6"/>
    </w:p>
    <w:p w14:paraId="683FC3D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前置调研：后续迭代启动前，组织用户体验专项调研，梳理核心操作的交互场景与习惯，形成交互标准，提前规避优化类变更；</w:t>
      </w:r>
    </w:p>
    <w:p w14:paraId="7AB0CDB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变更管控：优化变更审批流程，轻微变更简化审批环节，重要变更提前开展技术可行性评估，确保变更实施不影响核心进度；</w:t>
      </w:r>
    </w:p>
    <w:p w14:paraId="6F618B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需求沉淀：将本次迭代的用户变更需求（尤其是批量导入功能）纳入迭代3需求清单，同步完善需求规格说明书，确保变更需求落地；</w:t>
      </w:r>
    </w:p>
    <w:p w14:paraId="63D4AB0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进度同步：用户提出变更后，及时同步变更实施进度与影响评估，确保用户清晰知晓变更推进情况；</w:t>
      </w:r>
    </w:p>
    <w:p w14:paraId="63FF67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88" w:lineRule="auto"/>
        <w:ind w:left="312" w:leftChars="0" w:hanging="312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经验复用：将交互优化类变更案例整理归档，作为后续迭代需求梳理与开发的参考依据，提升前期需求完整性。</w:t>
      </w:r>
    </w:p>
    <w:p w14:paraId="4B4D6BA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五、签字确认</w:t>
      </w:r>
      <w:bookmarkEnd w:id="7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1"/>
        <w:gridCol w:w="2884"/>
        <w:gridCol w:w="1089"/>
        <w:gridCol w:w="1738"/>
      </w:tblGrid>
      <w:tr w14:paraId="5ED5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C3A2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变更管理负责人签字</w:t>
            </w:r>
          </w:p>
        </w:tc>
        <w:tc>
          <w:tcPr>
            <w:tcW w:w="1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A596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（李静）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86C7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0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03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</w:tr>
      <w:tr w14:paraId="755D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D3C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89F9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（张伟）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14D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0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F13D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4B8E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FD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4D48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（王强）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48B4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0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E4E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CF89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05E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测试负责人签字</w:t>
            </w:r>
          </w:p>
        </w:tc>
        <w:tc>
          <w:tcPr>
            <w:tcW w:w="1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612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 （赵燕）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F55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0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A44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E17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9F72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客户方代表签字</w:t>
            </w:r>
          </w:p>
        </w:tc>
        <w:tc>
          <w:tcPr>
            <w:tcW w:w="168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3C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__________</w:t>
            </w:r>
          </w:p>
        </w:tc>
        <w:tc>
          <w:tcPr>
            <w:tcW w:w="63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D0C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0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4D9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304873AF">
      <w:p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备注：</w:t>
      </w:r>
    </w:p>
    <w:p w14:paraId="39DFA39A">
      <w:pPr>
        <w:numPr>
          <w:ilvl w:val="0"/>
          <w:numId w:val="4"/>
        </w:num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本记录表同步归档至项目文件夹，作为迭代2验收及迭代3需求梳理的核心依据之一；</w:t>
      </w:r>
    </w:p>
    <w:p w14:paraId="0EE79356">
      <w:pPr>
        <w:numPr>
          <w:ilvl w:val="0"/>
          <w:numId w:val="4"/>
        </w:num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所有变更均已完成实施与验证，相关成果已纳入迭代2最终交付物；</w:t>
      </w:r>
    </w:p>
    <w:p w14:paraId="11C94F3D">
      <w:pPr>
        <w:numPr>
          <w:ilvl w:val="0"/>
          <w:numId w:val="4"/>
        </w:numPr>
        <w:spacing w:before="120" w:after="120" w:line="288" w:lineRule="auto"/>
        <w:ind w:left="0"/>
        <w:jc w:val="both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本记录表自签字确认之日起生效，如有异议需</w:t>
      </w:r>
      <w:bookmarkStart w:id="8" w:name="_GoBack"/>
      <w:bookmarkEnd w:id="8"/>
      <w:r>
        <w:rPr>
          <w:rFonts w:hint="eastAsia" w:asciiTheme="minorEastAsia" w:hAnsiTheme="minorEastAsia" w:eastAsiaTheme="minorEastAsia" w:cstheme="minorEastAsia"/>
          <w:sz w:val="21"/>
          <w:szCs w:val="21"/>
        </w:rPr>
        <w:t>在2026年1月2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日前反馈至李静处。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4822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14F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414EC9"/>
    <w:multiLevelType w:val="singleLevel"/>
    <w:tmpl w:val="BA414EC9"/>
    <w:lvl w:ilvl="0" w:tentative="0">
      <w:start w:val="1"/>
      <w:numFmt w:val="decimal"/>
      <w:suff w:val="space"/>
      <w:lvlText w:val="%1."/>
      <w:lvlJc w:val="left"/>
      <w:pPr>
        <w:ind w:left="312" w:leftChars="0" w:hanging="312" w:firstLineChars="0"/>
      </w:pPr>
      <w:rPr>
        <w:rFonts w:hint="default"/>
      </w:rPr>
    </w:lvl>
  </w:abstractNum>
  <w:abstractNum w:abstractNumId="1">
    <w:nsid w:val="E0AB7AE2"/>
    <w:multiLevelType w:val="singleLevel"/>
    <w:tmpl w:val="E0AB7AE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5CC36EB"/>
    <w:multiLevelType w:val="singleLevel"/>
    <w:tmpl w:val="25CC36EB"/>
    <w:lvl w:ilvl="0" w:tentative="0">
      <w:start w:val="1"/>
      <w:numFmt w:val="decimal"/>
      <w:suff w:val="space"/>
      <w:lvlText w:val="%1."/>
      <w:lvlJc w:val="left"/>
      <w:pPr>
        <w:ind w:left="312" w:leftChars="0" w:hanging="312" w:firstLineChars="0"/>
      </w:pPr>
      <w:rPr>
        <w:rFonts w:hint="default"/>
      </w:rPr>
    </w:lvl>
  </w:abstractNum>
  <w:abstractNum w:abstractNumId="3">
    <w:nsid w:val="3F585190"/>
    <w:multiLevelType w:val="singleLevel"/>
    <w:tmpl w:val="3F585190"/>
    <w:lvl w:ilvl="0" w:tentative="0">
      <w:start w:val="1"/>
      <w:numFmt w:val="decimal"/>
      <w:suff w:val="space"/>
      <w:lvlText w:val="%1."/>
      <w:lvlJc w:val="left"/>
      <w:pPr>
        <w:ind w:left="312" w:leftChars="0" w:hanging="312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D7F006D"/>
    <w:rsid w:val="3A4550C0"/>
    <w:rsid w:val="6BA37E39"/>
    <w:rsid w:val="6C8A64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1723</Words>
  <Characters>2069</Characters>
  <TotalTime>4</TotalTime>
  <ScaleCrop>false</ScaleCrop>
  <LinksUpToDate>false</LinksUpToDate>
  <CharactersWithSpaces>2096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2026-01-23T03:48:00Z</dcterms:created>
  <dc:creator>Apache POI</dc:creator>
  <cp:lastModifiedBy>..</cp:lastModifiedBy>
  <dcterms:modified xsi:type="dcterms:W3CDTF">2026-01-23T08:48:21Z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51B4DAA78BF249B99EBEF78624585E32_12</vt:lpwstr>
  </property>
</Properties>
</file>