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310AF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kern w:val="0"/>
          <w:sz w:val="40"/>
          <w:szCs w:val="18"/>
          <w:lang w:eastAsia="zh-CN"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制造执行系统（MES）迭代1</w:t>
      </w:r>
    </w:p>
    <w:p w14:paraId="30C43591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测试报告</w:t>
      </w:r>
    </w:p>
    <w:p w14:paraId="480268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文档版本：V1.0.0</w:t>
      </w:r>
    </w:p>
    <w:p w14:paraId="2600D9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编制部门：西安优加青软数字技术有限公司 MES项目组</w:t>
      </w:r>
    </w:p>
    <w:p w14:paraId="0E867E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编制日期：2026年1月4日</w:t>
      </w:r>
    </w:p>
    <w:p w14:paraId="066670F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  <w:bdr w:val="none" w:color="auto" w:sz="0" w:space="0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  <w:bdr w:val="none" w:color="auto" w:sz="0" w:space="0"/>
        </w:rPr>
        <w:t>测试基本信息</w:t>
      </w:r>
    </w:p>
    <w:p w14:paraId="7DBC4C03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461"/>
        <w:gridCol w:w="1333"/>
        <w:gridCol w:w="2275"/>
      </w:tblGrid>
      <w:tr w14:paraId="2FC6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tblHeader/>
          <w:jc w:val="center"/>
        </w:trPr>
        <w:tc>
          <w:tcPr>
            <w:tcW w:w="851" w:type="pct"/>
            <w:shd w:val="clear"/>
            <w:vAlign w:val="center"/>
          </w:tcPr>
          <w:p w14:paraId="74C905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2031" w:type="pct"/>
            <w:shd w:val="clear"/>
            <w:vAlign w:val="center"/>
          </w:tcPr>
          <w:p w14:paraId="76A9D5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制造执行系统（MES）</w:t>
            </w:r>
          </w:p>
        </w:tc>
        <w:tc>
          <w:tcPr>
            <w:tcW w:w="782" w:type="pct"/>
            <w:shd w:val="clear"/>
            <w:vAlign w:val="center"/>
          </w:tcPr>
          <w:p w14:paraId="0F0098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迭代版本</w:t>
            </w:r>
          </w:p>
        </w:tc>
        <w:tc>
          <w:tcPr>
            <w:tcW w:w="1333" w:type="pct"/>
            <w:shd w:val="clear"/>
            <w:vAlign w:val="center"/>
          </w:tcPr>
          <w:p w14:paraId="2E7C53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</w:t>
            </w:r>
          </w:p>
        </w:tc>
      </w:tr>
      <w:tr w14:paraId="0633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1" w:type="pct"/>
            <w:shd w:val="clear"/>
            <w:vAlign w:val="center"/>
          </w:tcPr>
          <w:p w14:paraId="733DD1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测试周期</w:t>
            </w:r>
          </w:p>
        </w:tc>
        <w:tc>
          <w:tcPr>
            <w:tcW w:w="2031" w:type="pct"/>
            <w:shd w:val="clear"/>
            <w:vAlign w:val="center"/>
          </w:tcPr>
          <w:p w14:paraId="3860FF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2025年12月22日-2026年1月4日</w:t>
            </w:r>
          </w:p>
        </w:tc>
        <w:tc>
          <w:tcPr>
            <w:tcW w:w="782" w:type="pct"/>
            <w:shd w:val="clear"/>
            <w:vAlign w:val="center"/>
          </w:tcPr>
          <w:p w14:paraId="4A8CABB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1333" w:type="pct"/>
            <w:shd w:val="clear"/>
            <w:vAlign w:val="center"/>
          </w:tcPr>
          <w:p w14:paraId="05EBAE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功能测试、兼容性测试（轻量）、文档测试</w:t>
            </w:r>
          </w:p>
        </w:tc>
      </w:tr>
      <w:tr w14:paraId="5DED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1" w:type="pct"/>
            <w:shd w:val="clear"/>
            <w:vAlign w:val="center"/>
          </w:tcPr>
          <w:p w14:paraId="1AC08C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测试环境</w:t>
            </w:r>
          </w:p>
        </w:tc>
        <w:tc>
          <w:tcPr>
            <w:tcW w:w="2031" w:type="pct"/>
            <w:shd w:val="clear"/>
            <w:vAlign w:val="center"/>
          </w:tcPr>
          <w:p w14:paraId="7CD79F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操作系统：Windows10/11；浏览器：Chrome120.0、Edge119.0；数据库：MySQL8.0</w:t>
            </w:r>
          </w:p>
        </w:tc>
        <w:tc>
          <w:tcPr>
            <w:tcW w:w="782" w:type="pct"/>
            <w:shd w:val="clear"/>
            <w:vAlign w:val="center"/>
          </w:tcPr>
          <w:p w14:paraId="2D9C47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测试依据</w:t>
            </w:r>
          </w:p>
        </w:tc>
        <w:tc>
          <w:tcPr>
            <w:tcW w:w="1333" w:type="pct"/>
            <w:shd w:val="clear"/>
            <w:vAlign w:val="center"/>
          </w:tcPr>
          <w:p w14:paraId="371E0AF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迭代1轻量测试用例集；</w:t>
            </w:r>
          </w:p>
          <w:p w14:paraId="5CE4C0E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冲刺待办列表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；</w:t>
            </w:r>
          </w:p>
          <w:p w14:paraId="1DAF8B4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迭代1核心功能验收标准</w:t>
            </w:r>
          </w:p>
        </w:tc>
      </w:tr>
      <w:tr w14:paraId="2DA3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1" w:type="pct"/>
            <w:shd w:val="clear"/>
            <w:vAlign w:val="center"/>
          </w:tcPr>
          <w:p w14:paraId="4152AB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测试负责人</w:t>
            </w:r>
          </w:p>
        </w:tc>
        <w:tc>
          <w:tcPr>
            <w:tcW w:w="2031" w:type="pct"/>
            <w:shd w:val="clear"/>
            <w:vAlign w:val="center"/>
          </w:tcPr>
          <w:p w14:paraId="11337D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赵燕</w:t>
            </w:r>
          </w:p>
        </w:tc>
        <w:tc>
          <w:tcPr>
            <w:tcW w:w="782" w:type="pct"/>
            <w:shd w:val="clear"/>
            <w:vAlign w:val="center"/>
          </w:tcPr>
          <w:p w14:paraId="5A49727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测试人员</w:t>
            </w:r>
          </w:p>
        </w:tc>
        <w:tc>
          <w:tcPr>
            <w:tcW w:w="1333" w:type="pct"/>
            <w:shd w:val="clear"/>
            <w:vAlign w:val="center"/>
          </w:tcPr>
          <w:p w14:paraId="13D74F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赵燕</w:t>
            </w:r>
          </w:p>
        </w:tc>
      </w:tr>
      <w:tr w14:paraId="384F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1" w:type="pct"/>
            <w:shd w:val="clear"/>
            <w:vAlign w:val="center"/>
          </w:tcPr>
          <w:p w14:paraId="64B829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整体测试结论</w:t>
            </w:r>
          </w:p>
        </w:tc>
        <w:tc>
          <w:tcPr>
            <w:tcW w:w="4148" w:type="pct"/>
            <w:gridSpan w:val="3"/>
            <w:shd w:val="clear"/>
            <w:vAlign w:val="center"/>
          </w:tcPr>
          <w:p w14:paraId="7040899F">
            <w:pPr>
              <w:snapToGrid w:val="0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迭代1核心已完成功能均通过轻量测试，缺陷全部修复并验证通过；</w:t>
            </w:r>
          </w:p>
          <w:p w14:paraId="57885D6E">
            <w:pPr>
              <w:snapToGrid w:val="0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2项未完成功能（系统参数修改/删除）暂不纳入本次测试范围，整体测试合格，支持迭代1验收交付</w:t>
            </w:r>
          </w:p>
        </w:tc>
      </w:tr>
    </w:tbl>
    <w:p w14:paraId="377159DD">
      <w:pPr>
        <w:widowControl w:val="0"/>
        <w:numPr>
          <w:numId w:val="0"/>
        </w:numPr>
        <w:jc w:val="both"/>
      </w:pPr>
    </w:p>
    <w:p w14:paraId="082C8AD7">
      <w:pPr>
        <w:widowControl w:val="0"/>
        <w:numPr>
          <w:numId w:val="0"/>
        </w:numPr>
        <w:jc w:val="both"/>
      </w:pPr>
    </w:p>
    <w:p w14:paraId="19BEEE5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测试范围与测试用例执行情况</w:t>
      </w:r>
    </w:p>
    <w:p w14:paraId="2C254D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ajorEastAsia" w:hAnsiTheme="majorEastAsia" w:eastAsiaTheme="majorEastAsia" w:cstheme="majorEastAsia"/>
          <w:color w:val="1F2329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8"/>
          <w:szCs w:val="28"/>
          <w:bdr w:val="none" w:color="auto" w:sz="0" w:space="0"/>
        </w:rPr>
        <w:t>（一）测试范围</w:t>
      </w:r>
    </w:p>
    <w:p w14:paraId="60478566">
      <w:pPr>
        <w:snapToGrid w:val="0"/>
        <w:spacing w:line="360" w:lineRule="auto"/>
        <w:rPr>
          <w:rFonts w:hint="eastAsia" w:asciiTheme="minorEastAsia" w:hAnsiTheme="minorEastAsia" w:eastAsiaTheme="minorEastAsia" w:cstheme="minorEastAsia"/>
          <w:i w:val="0"/>
          <w:iCs w:val="0"/>
          <w:color w:val="1F2329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1F2329"/>
          <w:kern w:val="0"/>
          <w:sz w:val="21"/>
          <w:szCs w:val="21"/>
          <w:u w:val="none"/>
          <w:lang w:val="en-US" w:eastAsia="zh-CN" w:bidi="ar"/>
        </w:rPr>
        <w:t>本次测试聚焦迭代1已完成交付的核心功能及文档，未完成功能（系统参数修改/删除）因转迭代2推进，暂不开展测试，具体范围如下：</w:t>
      </w:r>
    </w:p>
    <w:p w14:paraId="104418E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功能测试：部门管理、角色权限分配、系统参数新增、物料分类基础配置、工位信息维护；</w:t>
      </w:r>
    </w:p>
    <w:p w14:paraId="19A9420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兼容性测试：核心功能在指定浏览器（Chrome、Edge）下的正常运行验证；</w:t>
      </w:r>
    </w:p>
    <w:p w14:paraId="5368D4C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文档测试：测试报告、操作手册（初稿）、待办列表跟踪表等交付文档的完整性、准确性。</w:t>
      </w:r>
    </w:p>
    <w:p w14:paraId="74A85F9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28"/>
          <w:szCs w:val="28"/>
          <w:bdr w:val="none" w:color="auto" w:sz="0" w:space="0"/>
        </w:rPr>
      </w:pPr>
      <w:r>
        <w:rPr>
          <w:color w:val="1F2329"/>
          <w:sz w:val="28"/>
          <w:szCs w:val="28"/>
          <w:bdr w:val="none" w:color="auto" w:sz="0" w:space="0"/>
        </w:rPr>
        <w:t>测试用例执行明细</w:t>
      </w:r>
    </w:p>
    <w:p w14:paraId="6814F8E7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435"/>
        <w:gridCol w:w="880"/>
        <w:gridCol w:w="880"/>
        <w:gridCol w:w="880"/>
        <w:gridCol w:w="880"/>
        <w:gridCol w:w="1972"/>
      </w:tblGrid>
      <w:tr w14:paraId="1B8E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4" w:type="pct"/>
            <w:shd w:val="clear"/>
            <w:vAlign w:val="center"/>
          </w:tcPr>
          <w:p w14:paraId="217C2C0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842" w:type="pct"/>
            <w:shd w:val="clear"/>
            <w:vAlign w:val="center"/>
          </w:tcPr>
          <w:p w14:paraId="6DBE1AC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测试用例总数（条）</w:t>
            </w:r>
          </w:p>
        </w:tc>
        <w:tc>
          <w:tcPr>
            <w:tcW w:w="516" w:type="pct"/>
            <w:shd w:val="clear"/>
            <w:vAlign w:val="center"/>
          </w:tcPr>
          <w:p w14:paraId="09A461B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执行数</w:t>
            </w:r>
          </w:p>
          <w:p w14:paraId="5E4E9AA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（条）</w:t>
            </w:r>
          </w:p>
        </w:tc>
        <w:tc>
          <w:tcPr>
            <w:tcW w:w="516" w:type="pct"/>
            <w:shd w:val="clear"/>
            <w:vAlign w:val="center"/>
          </w:tcPr>
          <w:p w14:paraId="6A0C51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通过数</w:t>
            </w:r>
          </w:p>
          <w:p w14:paraId="13E80B8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（条）</w:t>
            </w:r>
          </w:p>
        </w:tc>
        <w:tc>
          <w:tcPr>
            <w:tcW w:w="516" w:type="pct"/>
            <w:shd w:val="clear"/>
            <w:vAlign w:val="center"/>
          </w:tcPr>
          <w:p w14:paraId="5F467F2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失败数</w:t>
            </w:r>
          </w:p>
          <w:p w14:paraId="47A205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（条）</w:t>
            </w:r>
          </w:p>
        </w:tc>
        <w:tc>
          <w:tcPr>
            <w:tcW w:w="516" w:type="pct"/>
            <w:shd w:val="clear"/>
            <w:vAlign w:val="center"/>
          </w:tcPr>
          <w:p w14:paraId="767DD6B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通过率</w:t>
            </w:r>
          </w:p>
        </w:tc>
        <w:tc>
          <w:tcPr>
            <w:tcW w:w="1157" w:type="pct"/>
            <w:shd w:val="clear"/>
            <w:vAlign w:val="center"/>
          </w:tcPr>
          <w:p w14:paraId="233385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未执行说明</w:t>
            </w:r>
          </w:p>
        </w:tc>
      </w:tr>
      <w:tr w14:paraId="4D67C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0E872F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系统管理（SM）-部门管理</w:t>
            </w:r>
          </w:p>
        </w:tc>
        <w:tc>
          <w:tcPr>
            <w:tcW w:w="842" w:type="pct"/>
            <w:shd w:val="clear"/>
            <w:vAlign w:val="center"/>
          </w:tcPr>
          <w:p w14:paraId="233F15F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6" w:type="pct"/>
            <w:shd w:val="clear"/>
            <w:vAlign w:val="center"/>
          </w:tcPr>
          <w:p w14:paraId="3F833D4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6" w:type="pct"/>
            <w:shd w:val="clear"/>
            <w:vAlign w:val="center"/>
          </w:tcPr>
          <w:p w14:paraId="2D68D4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6" w:type="pct"/>
            <w:shd w:val="clear"/>
            <w:vAlign w:val="center"/>
          </w:tcPr>
          <w:p w14:paraId="19985E5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0C707B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25CA75F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覆盖新增、编辑、禁用、查询核心场景</w:t>
            </w:r>
          </w:p>
        </w:tc>
      </w:tr>
      <w:tr w14:paraId="6943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6D00E63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系统管理（SM）-角色权限分配</w:t>
            </w:r>
          </w:p>
        </w:tc>
        <w:tc>
          <w:tcPr>
            <w:tcW w:w="842" w:type="pct"/>
            <w:shd w:val="clear"/>
            <w:vAlign w:val="center"/>
          </w:tcPr>
          <w:p w14:paraId="69DEE0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16" w:type="pct"/>
            <w:shd w:val="clear"/>
            <w:vAlign w:val="center"/>
          </w:tcPr>
          <w:p w14:paraId="34830E2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16" w:type="pct"/>
            <w:shd w:val="clear"/>
            <w:vAlign w:val="center"/>
          </w:tcPr>
          <w:p w14:paraId="223670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16" w:type="pct"/>
            <w:shd w:val="clear"/>
            <w:vAlign w:val="center"/>
          </w:tcPr>
          <w:p w14:paraId="1A83944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1B2F05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009E5A0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覆盖角色创建、权限配置、权限校验等场景</w:t>
            </w:r>
          </w:p>
        </w:tc>
      </w:tr>
      <w:tr w14:paraId="28BE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0659B52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系统管理（SM）-系统参数新增</w:t>
            </w:r>
          </w:p>
        </w:tc>
        <w:tc>
          <w:tcPr>
            <w:tcW w:w="842" w:type="pct"/>
            <w:shd w:val="clear"/>
            <w:vAlign w:val="center"/>
          </w:tcPr>
          <w:p w14:paraId="24ABD9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121867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69AEFAD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716F86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1C807C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490AF8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覆盖参数新增、合法性校验、保存生效场景</w:t>
            </w:r>
          </w:p>
        </w:tc>
      </w:tr>
      <w:tr w14:paraId="7260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331613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基础数据（BD）-物料分类基础配置</w:t>
            </w:r>
          </w:p>
        </w:tc>
        <w:tc>
          <w:tcPr>
            <w:tcW w:w="842" w:type="pct"/>
            <w:shd w:val="clear"/>
            <w:vAlign w:val="center"/>
          </w:tcPr>
          <w:p w14:paraId="4F61579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37C7120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6EE013C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11C8C4A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4CB8F44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043450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覆盖分类新增、规则校验、查询场景</w:t>
            </w:r>
          </w:p>
        </w:tc>
      </w:tr>
      <w:tr w14:paraId="5715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3BC82BE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基础数据（BD）-工位信息维护</w:t>
            </w:r>
          </w:p>
        </w:tc>
        <w:tc>
          <w:tcPr>
            <w:tcW w:w="842" w:type="pct"/>
            <w:shd w:val="clear"/>
            <w:vAlign w:val="center"/>
          </w:tcPr>
          <w:p w14:paraId="5E11C2D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527B610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56CADE7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6" w:type="pct"/>
            <w:shd w:val="clear"/>
            <w:vAlign w:val="center"/>
          </w:tcPr>
          <w:p w14:paraId="3E5804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33B385E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79400CD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覆盖工位新增、编辑、查询场景</w:t>
            </w:r>
          </w:p>
        </w:tc>
      </w:tr>
      <w:tr w14:paraId="131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2275EFA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842" w:type="pct"/>
            <w:shd w:val="clear"/>
            <w:vAlign w:val="center"/>
          </w:tcPr>
          <w:p w14:paraId="5CF579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6" w:type="pct"/>
            <w:shd w:val="clear"/>
            <w:vAlign w:val="center"/>
          </w:tcPr>
          <w:p w14:paraId="72D050A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6" w:type="pct"/>
            <w:shd w:val="clear"/>
            <w:vAlign w:val="center"/>
          </w:tcPr>
          <w:p w14:paraId="0F3D792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6" w:type="pct"/>
            <w:shd w:val="clear"/>
            <w:vAlign w:val="center"/>
          </w:tcPr>
          <w:p w14:paraId="557905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3479335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5C8F8A9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覆盖Chrome、Edge浏览器核心功能运行验证</w:t>
            </w:r>
          </w:p>
        </w:tc>
      </w:tr>
      <w:tr w14:paraId="2D1E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4159CC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文档测试</w:t>
            </w:r>
          </w:p>
        </w:tc>
        <w:tc>
          <w:tcPr>
            <w:tcW w:w="842" w:type="pct"/>
            <w:shd w:val="clear"/>
            <w:vAlign w:val="center"/>
          </w:tcPr>
          <w:p w14:paraId="00317FC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6" w:type="pct"/>
            <w:shd w:val="clear"/>
            <w:vAlign w:val="center"/>
          </w:tcPr>
          <w:p w14:paraId="2BE394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6" w:type="pct"/>
            <w:shd w:val="clear"/>
            <w:vAlign w:val="center"/>
          </w:tcPr>
          <w:p w14:paraId="39AE3B7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6" w:type="pct"/>
            <w:shd w:val="clear"/>
            <w:vAlign w:val="center"/>
          </w:tcPr>
          <w:p w14:paraId="582BF31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503320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19EBE46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覆盖测试报告、操作手册等文档完整性校验</w:t>
            </w:r>
          </w:p>
        </w:tc>
      </w:tr>
      <w:tr w14:paraId="48FEB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4" w:type="pct"/>
            <w:shd w:val="clear"/>
            <w:vAlign w:val="center"/>
          </w:tcPr>
          <w:p w14:paraId="63792B7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842" w:type="pct"/>
            <w:shd w:val="clear"/>
            <w:vAlign w:val="center"/>
          </w:tcPr>
          <w:p w14:paraId="5A078B1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16" w:type="pct"/>
            <w:shd w:val="clear"/>
            <w:vAlign w:val="center"/>
          </w:tcPr>
          <w:p w14:paraId="49A2A08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16" w:type="pct"/>
            <w:shd w:val="clear"/>
            <w:vAlign w:val="center"/>
          </w:tcPr>
          <w:p w14:paraId="0C4A60D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16" w:type="pct"/>
            <w:shd w:val="clear"/>
            <w:vAlign w:val="center"/>
          </w:tcPr>
          <w:p w14:paraId="31AA2AC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16" w:type="pct"/>
            <w:shd w:val="clear"/>
            <w:vAlign w:val="center"/>
          </w:tcPr>
          <w:p w14:paraId="043ECB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57" w:type="pct"/>
            <w:shd w:val="clear"/>
            <w:vAlign w:val="center"/>
          </w:tcPr>
          <w:p w14:paraId="69B9D9D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2A44BE2B">
      <w:pPr>
        <w:widowControl w:val="0"/>
        <w:numPr>
          <w:numId w:val="0"/>
        </w:numPr>
        <w:jc w:val="both"/>
      </w:pPr>
    </w:p>
    <w:p w14:paraId="371149B9">
      <w:pPr>
        <w:widowControl w:val="0"/>
        <w:numPr>
          <w:numId w:val="0"/>
        </w:numPr>
        <w:jc w:val="both"/>
      </w:pPr>
    </w:p>
    <w:p w14:paraId="0EFBD42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缺陷统计与分析</w:t>
      </w:r>
    </w:p>
    <w:p w14:paraId="422C3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28"/>
          <w:szCs w:val="28"/>
          <w:bdr w:val="none" w:color="auto" w:sz="0" w:space="0"/>
        </w:rPr>
      </w:pPr>
      <w:r>
        <w:rPr>
          <w:color w:val="1F2329"/>
          <w:sz w:val="28"/>
          <w:szCs w:val="28"/>
          <w:bdr w:val="none" w:color="auto" w:sz="0" w:space="0"/>
        </w:rPr>
        <w:t>（一）缺陷总体统计</w:t>
      </w:r>
    </w:p>
    <w:p w14:paraId="79E249A8">
      <w:pPr>
        <w:rPr>
          <w:color w:val="1F2329"/>
          <w:sz w:val="19"/>
          <w:szCs w:val="19"/>
          <w:bdr w:val="none" w:color="auto" w:sz="0" w:space="0"/>
        </w:rPr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619"/>
        <w:gridCol w:w="1619"/>
        <w:gridCol w:w="809"/>
        <w:gridCol w:w="2972"/>
      </w:tblGrid>
      <w:tr w14:paraId="7099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0" w:type="pct"/>
            <w:shd w:val="clear"/>
            <w:vAlign w:val="center"/>
          </w:tcPr>
          <w:p w14:paraId="02EAE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缺陷级别</w:t>
            </w:r>
          </w:p>
        </w:tc>
        <w:tc>
          <w:tcPr>
            <w:tcW w:w="950" w:type="pct"/>
            <w:shd w:val="clear"/>
            <w:vAlign w:val="center"/>
          </w:tcPr>
          <w:p w14:paraId="2AB68B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发现数量（条）</w:t>
            </w:r>
          </w:p>
        </w:tc>
        <w:tc>
          <w:tcPr>
            <w:tcW w:w="950" w:type="pct"/>
            <w:shd w:val="clear"/>
            <w:vAlign w:val="center"/>
          </w:tcPr>
          <w:p w14:paraId="70B28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修复数量（条）</w:t>
            </w:r>
          </w:p>
        </w:tc>
        <w:tc>
          <w:tcPr>
            <w:tcW w:w="475" w:type="pct"/>
            <w:shd w:val="clear"/>
            <w:vAlign w:val="center"/>
          </w:tcPr>
          <w:p w14:paraId="5AAE03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修复率</w:t>
            </w:r>
          </w:p>
        </w:tc>
        <w:tc>
          <w:tcPr>
            <w:tcW w:w="1744" w:type="pct"/>
            <w:shd w:val="clear"/>
            <w:vAlign w:val="center"/>
          </w:tcPr>
          <w:p w14:paraId="04CED4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未修复说明</w:t>
            </w:r>
          </w:p>
        </w:tc>
      </w:tr>
      <w:tr w14:paraId="7796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pct"/>
            <w:shd w:val="clear"/>
            <w:vAlign w:val="center"/>
          </w:tcPr>
          <w:p w14:paraId="300B21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高优先级（P0）</w:t>
            </w:r>
          </w:p>
        </w:tc>
        <w:tc>
          <w:tcPr>
            <w:tcW w:w="950" w:type="pct"/>
            <w:shd w:val="clear"/>
            <w:vAlign w:val="center"/>
          </w:tcPr>
          <w:p w14:paraId="5EEED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950" w:type="pct"/>
            <w:shd w:val="clear"/>
            <w:vAlign w:val="center"/>
          </w:tcPr>
          <w:p w14:paraId="7B09F3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75" w:type="pct"/>
            <w:shd w:val="clear"/>
            <w:vAlign w:val="center"/>
          </w:tcPr>
          <w:p w14:paraId="0CBE0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744" w:type="pct"/>
            <w:shd w:val="clear"/>
            <w:vAlign w:val="center"/>
          </w:tcPr>
          <w:p w14:paraId="6B6896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均已修复并验证通过，无遗留缺陷</w:t>
            </w:r>
          </w:p>
        </w:tc>
      </w:tr>
      <w:tr w14:paraId="21D3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pct"/>
            <w:shd w:val="clear"/>
            <w:vAlign w:val="center"/>
          </w:tcPr>
          <w:p w14:paraId="126256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中优先级（P1）</w:t>
            </w:r>
          </w:p>
        </w:tc>
        <w:tc>
          <w:tcPr>
            <w:tcW w:w="950" w:type="pct"/>
            <w:shd w:val="clear"/>
            <w:vAlign w:val="center"/>
          </w:tcPr>
          <w:p w14:paraId="318EC0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950" w:type="pct"/>
            <w:shd w:val="clear"/>
            <w:vAlign w:val="center"/>
          </w:tcPr>
          <w:p w14:paraId="02AE60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75" w:type="pct"/>
            <w:shd w:val="clear"/>
            <w:vAlign w:val="center"/>
          </w:tcPr>
          <w:p w14:paraId="29A0DE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744" w:type="pct"/>
            <w:shd w:val="clear"/>
            <w:vAlign w:val="center"/>
          </w:tcPr>
          <w:p w14:paraId="022D89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均已修复并验证通过，无遗留缺陷</w:t>
            </w:r>
          </w:p>
        </w:tc>
      </w:tr>
      <w:tr w14:paraId="0FD7A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pct"/>
            <w:shd w:val="clear"/>
            <w:vAlign w:val="center"/>
          </w:tcPr>
          <w:p w14:paraId="37230D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低优先级（P2）</w:t>
            </w:r>
          </w:p>
        </w:tc>
        <w:tc>
          <w:tcPr>
            <w:tcW w:w="950" w:type="pct"/>
            <w:shd w:val="clear"/>
            <w:vAlign w:val="center"/>
          </w:tcPr>
          <w:p w14:paraId="3541E0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50" w:type="pct"/>
            <w:shd w:val="clear"/>
            <w:vAlign w:val="center"/>
          </w:tcPr>
          <w:p w14:paraId="5EB367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75" w:type="pct"/>
            <w:shd w:val="clear"/>
            <w:vAlign w:val="center"/>
          </w:tcPr>
          <w:p w14:paraId="4569CC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744" w:type="pct"/>
            <w:shd w:val="clear"/>
            <w:vAlign w:val="center"/>
          </w:tcPr>
          <w:p w14:paraId="69ED15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均已修复并验证通过，无遗留缺陷</w:t>
            </w:r>
          </w:p>
        </w:tc>
      </w:tr>
      <w:tr w14:paraId="15D1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pct"/>
            <w:shd w:val="clear"/>
            <w:vAlign w:val="center"/>
          </w:tcPr>
          <w:p w14:paraId="370D2C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950" w:type="pct"/>
            <w:shd w:val="clear"/>
            <w:vAlign w:val="center"/>
          </w:tcPr>
          <w:p w14:paraId="2F1B02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950" w:type="pct"/>
            <w:shd w:val="clear"/>
            <w:vAlign w:val="center"/>
          </w:tcPr>
          <w:p w14:paraId="4B872C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75" w:type="pct"/>
            <w:shd w:val="clear"/>
            <w:vAlign w:val="center"/>
          </w:tcPr>
          <w:p w14:paraId="670348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744" w:type="pct"/>
            <w:shd w:val="clear"/>
            <w:vAlign w:val="center"/>
          </w:tcPr>
          <w:p w14:paraId="064003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1C092759">
      <w:pPr>
        <w:rPr>
          <w:color w:val="1F2329"/>
          <w:sz w:val="19"/>
          <w:szCs w:val="19"/>
          <w:bdr w:val="none" w:color="auto" w:sz="0" w:space="0"/>
        </w:rPr>
      </w:pPr>
    </w:p>
    <w:p w14:paraId="48B1895B">
      <w:pPr>
        <w:rPr>
          <w:color w:val="1F2329"/>
          <w:sz w:val="19"/>
          <w:szCs w:val="19"/>
          <w:bdr w:val="none" w:color="auto" w:sz="0" w:space="0"/>
        </w:rPr>
      </w:pPr>
    </w:p>
    <w:p w14:paraId="766932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  <w:bdr w:val="none" w:color="auto" w:sz="0" w:space="0"/>
        </w:rPr>
        <w:t>（二）缺陷分布与分析</w:t>
      </w:r>
    </w:p>
    <w:p w14:paraId="01254A9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缺陷模块分布：系统管理模块6条（占比66.7%），基础数据模块2条（占比22.2%），文档类1条（占比11.1%）；</w:t>
      </w:r>
    </w:p>
    <w:p w14:paraId="4525EAE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核心缺陷原因：系统管理模块部分字段合法性校验不完整（3条）、角色权限分配逻辑优化（2条）、操作手册表述不清晰（1条）；</w:t>
      </w:r>
    </w:p>
    <w:p w14:paraId="346E2D4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修复验证情况：所有缺陷均由开发团队在测试周期内完成修复，测试人员回归验证通过，无复现情况。</w:t>
      </w:r>
    </w:p>
    <w:p w14:paraId="719A049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测试结论</w:t>
      </w:r>
    </w:p>
    <w:p w14:paraId="32D7DED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功能测试结论：迭代1已完成核心功能（部门管理、角色权限分配、系统参数新增、物料分类基础配置、工位信息维护），均通过轻量测试用例验证，功能运行正常，符合需求规格及验收标准；</w:t>
      </w:r>
    </w:p>
    <w:p w14:paraId="7A5D05D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兼容性测试结论：核心功能在指定浏览器（Chrome120.0、Edge119.0）下运行稳定，无兼容性问题；</w:t>
      </w:r>
    </w:p>
    <w:p w14:paraId="36EDD39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文档测试结论：迭代1交付的测试报告、操作手册等文档，内容完整、准确，符合轻量测试及交付要求；</w:t>
      </w:r>
    </w:p>
    <w:p w14:paraId="556BDE5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整体结论：迭代1核心交付物测试合格，缺陷全部修复闭环，2项未完成功能（系统参数修改/删除）已明确转迭代2推进，不影响本次迭代测试及验收结论，同意通过测试。</w:t>
      </w:r>
    </w:p>
    <w:p w14:paraId="4E9A8F8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后续测试建议</w:t>
      </w:r>
    </w:p>
    <w:p w14:paraId="564D8FB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迭代2测试阶段，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针对“系统参数修改/删除”2项遗留功能开展专项测试，覆盖兼容性、业务适配性场景；</w:t>
      </w:r>
    </w:p>
    <w:p w14:paraId="7F9C0EE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后续迭代建议补充核心功能的边界值测试用例，进一步提升测试覆盖率；</w:t>
      </w:r>
    </w:p>
    <w:p w14:paraId="5B7507A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操作手册等交付文档需在测试阶段同步校验，确保文档与功能实际运行情况一致；</w:t>
      </w:r>
    </w:p>
    <w:p w14:paraId="448AC8A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建议定期开展回归测试，避免后续功能开发影响已上线核心功能稳定性。</w:t>
      </w:r>
    </w:p>
    <w:p w14:paraId="18A16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  <w:bdr w:val="none" w:color="auto" w:sz="0" w:space="0"/>
        </w:rPr>
        <w:t>签字确认</w:t>
      </w:r>
    </w:p>
    <w:p w14:paraId="6DB2A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测试负责人签字__________（赵燕）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</w: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日期__________</w:t>
      </w:r>
    </w:p>
    <w:p w14:paraId="68C614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开发负责人签字__________（王强）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</w: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日期__________</w:t>
      </w:r>
    </w:p>
    <w:p w14:paraId="352FC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产品负责人签字__________（张伟）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</w: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日期__________</w:t>
      </w:r>
    </w:p>
    <w:p w14:paraId="1DD29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客户方确认签字__________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ab/>
      </w: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日期__________</w:t>
      </w:r>
    </w:p>
    <w:p w14:paraId="2209D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66AE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备注：</w:t>
      </w:r>
    </w:p>
    <w:p w14:paraId="257A5E2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本报告为迭代1轻量测试的正式结论依据；</w:t>
      </w:r>
    </w:p>
    <w:p w14:paraId="50DE9E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后续迭代</w:t>
      </w: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测试将基于本报告及迭代需求，编制专项测试用例及测试报告。</w:t>
      </w:r>
    </w:p>
    <w:p w14:paraId="754A9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92F3B"/>
    <w:multiLevelType w:val="singleLevel"/>
    <w:tmpl w:val="DDD92F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DB5C9A"/>
    <w:multiLevelType w:val="multilevel"/>
    <w:tmpl w:val="F1DB5C9A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482DCC"/>
    <w:multiLevelType w:val="multilevel"/>
    <w:tmpl w:val="FF482DCC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EBAD26C"/>
    <w:multiLevelType w:val="singleLevel"/>
    <w:tmpl w:val="1EBAD26C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364020FD"/>
    <w:multiLevelType w:val="singleLevel"/>
    <w:tmpl w:val="364020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8AEE11A"/>
    <w:multiLevelType w:val="multilevel"/>
    <w:tmpl w:val="68AEE11A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22DFEBE"/>
    <w:multiLevelType w:val="singleLevel"/>
    <w:tmpl w:val="722DFE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96F357C"/>
    <w:multiLevelType w:val="multilevel"/>
    <w:tmpl w:val="796F357C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3EF717DC"/>
    <w:rsid w:val="457B57F9"/>
    <w:rsid w:val="4CC2487B"/>
    <w:rsid w:val="7BD2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2026-01-23T02:31:52Z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