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642DEA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kern w:val="0"/>
          <w:sz w:val="40"/>
          <w:szCs w:val="18"/>
        </w:rPr>
      </w:pPr>
      <w:r>
        <w:rPr>
          <w:rFonts w:ascii="Arial" w:hAnsi="Arial" w:eastAsia="等线" w:cs="Arial"/>
          <w:b/>
          <w:kern w:val="0"/>
          <w:sz w:val="40"/>
          <w:szCs w:val="18"/>
        </w:rPr>
        <w:t xml:space="preserve">制造执行系统（MES）迭代 1 </w:t>
      </w:r>
    </w:p>
    <w:p w14:paraId="56A0ED1F">
      <w:pPr>
        <w:spacing w:before="480" w:after="480" w:line="288" w:lineRule="auto"/>
        <w:ind w:left="0"/>
        <w:jc w:val="center"/>
        <w:rPr>
          <w:rFonts w:ascii="Arial" w:hAnsi="Arial" w:eastAsia="等线" w:cs="Arial"/>
          <w:b/>
          <w:kern w:val="0"/>
          <w:sz w:val="40"/>
          <w:szCs w:val="18"/>
        </w:rPr>
      </w:pPr>
      <w:bookmarkStart w:id="0" w:name="_GoBack"/>
      <w:bookmarkEnd w:id="0"/>
      <w:r>
        <w:rPr>
          <w:rFonts w:ascii="Arial" w:hAnsi="Arial" w:eastAsia="等线" w:cs="Arial"/>
          <w:b/>
          <w:kern w:val="0"/>
          <w:sz w:val="40"/>
          <w:szCs w:val="18"/>
        </w:rPr>
        <w:t>障碍清单</w:t>
      </w:r>
    </w:p>
    <w:p w14:paraId="305C1BCB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  <w:t>文档版本：V1.0.0</w:t>
      </w:r>
    </w:p>
    <w:p w14:paraId="3BBD77E4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  <w:t>编制部门：西安优加青软数字技术有限公司 MES 项目组</w:t>
      </w:r>
    </w:p>
    <w:p w14:paraId="55938AC0">
      <w:pPr>
        <w:spacing w:before="120" w:after="120" w:line="288" w:lineRule="auto"/>
        <w:ind w:left="0"/>
        <w:jc w:val="left"/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kern w:val="0"/>
          <w:sz w:val="24"/>
          <w:szCs w:val="24"/>
          <w:lang w:val="en-US" w:eastAsia="zh-CN"/>
        </w:rPr>
        <w:t>编制日期：2026 年 1 月 5 日</w:t>
      </w:r>
    </w:p>
    <w:p w14:paraId="78DECCD6">
      <w:pPr>
        <w:numPr>
          <w:ilvl w:val="0"/>
          <w:numId w:val="1"/>
        </w:num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kern w:val="0"/>
          <w:sz w:val="32"/>
          <w:szCs w:val="22"/>
        </w:rPr>
      </w:pPr>
      <w:r>
        <w:rPr>
          <w:rFonts w:ascii="Arial" w:hAnsi="Arial" w:eastAsia="等线" w:cs="Arial"/>
          <w:b/>
          <w:kern w:val="0"/>
          <w:sz w:val="32"/>
          <w:szCs w:val="22"/>
        </w:rPr>
        <w:t>清单基础信息</w:t>
      </w:r>
    </w:p>
    <w:tbl>
      <w:tblPr>
        <w:tblStyle w:val="4"/>
        <w:tblW w:w="83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4"/>
        <w:gridCol w:w="2837"/>
        <w:gridCol w:w="1572"/>
        <w:gridCol w:w="2283"/>
      </w:tblGrid>
      <w:tr w14:paraId="64173B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2" w:hRule="atLeast"/>
          <w:tblHeader/>
          <w:jc w:val="center"/>
        </w:trPr>
        <w:tc>
          <w:tcPr>
            <w:tcW w:w="1674" w:type="dxa"/>
            <w:shd w:val="clear" w:color="auto" w:fill="auto"/>
            <w:vAlign w:val="center"/>
          </w:tcPr>
          <w:p w14:paraId="0A56573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所属迭代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290B28A7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迭代 1</w:t>
            </w:r>
          </w:p>
        </w:tc>
        <w:tc>
          <w:tcPr>
            <w:tcW w:w="1572" w:type="dxa"/>
            <w:shd w:val="clear" w:color="auto" w:fill="auto"/>
            <w:vAlign w:val="center"/>
          </w:tcPr>
          <w:p w14:paraId="29C7FDAC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清单负责人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3CDA21A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李静（敏捷教练 / SM）</w:t>
            </w:r>
          </w:p>
        </w:tc>
      </w:tr>
      <w:tr w14:paraId="12B37F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74" w:type="dxa"/>
            <w:shd w:val="clear" w:color="auto" w:fill="auto"/>
            <w:vAlign w:val="center"/>
          </w:tcPr>
          <w:p w14:paraId="6733EABA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障碍梳理范围</w:t>
            </w:r>
          </w:p>
        </w:tc>
        <w:tc>
          <w:tcPr>
            <w:tcW w:w="2837" w:type="dxa"/>
            <w:shd w:val="clear" w:color="auto" w:fill="auto"/>
            <w:vAlign w:val="center"/>
          </w:tcPr>
          <w:p w14:paraId="3541773E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需求调研、开发实施、质量管控、团队协作、客户沟通、交付验收全流程</w:t>
            </w:r>
          </w:p>
        </w:tc>
        <w:tc>
          <w:tcPr>
            <w:tcW w:w="1572" w:type="dxa"/>
            <w:shd w:val="clear" w:color="auto" w:fill="auto"/>
            <w:vAlign w:val="center"/>
          </w:tcPr>
          <w:p w14:paraId="3A41EFB5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梳理核心依据</w:t>
            </w:r>
          </w:p>
        </w:tc>
        <w:tc>
          <w:tcPr>
            <w:tcW w:w="2283" w:type="dxa"/>
            <w:shd w:val="clear" w:color="auto" w:fill="auto"/>
            <w:vAlign w:val="center"/>
          </w:tcPr>
          <w:p w14:paraId="232AE00B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迭代 1 复盘问题记录、客户验收反馈意见、测试缺陷台账、变更需求处理记录</w:t>
            </w:r>
          </w:p>
        </w:tc>
      </w:tr>
      <w:tr w14:paraId="22EC8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674" w:type="dxa"/>
            <w:shd w:val="clear" w:color="auto" w:fill="auto"/>
            <w:vAlign w:val="center"/>
          </w:tcPr>
          <w:p w14:paraId="44087367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清单核心目的</w:t>
            </w:r>
          </w:p>
        </w:tc>
        <w:tc>
          <w:tcPr>
            <w:tcW w:w="6692" w:type="dxa"/>
            <w:gridSpan w:val="3"/>
            <w:shd w:val="clear" w:color="auto" w:fill="auto"/>
            <w:vAlign w:val="center"/>
          </w:tcPr>
          <w:p w14:paraId="36B43638">
            <w:pPr>
              <w:snapToGrid w:val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全面梳理迭代 1 冲刺过程中出现的各类障碍，明确核心根因与影响范围，制定可落地的应对措施及长效规避方案，保障迭代 2 高效推进，杜绝同类问题重复发生</w:t>
            </w:r>
          </w:p>
        </w:tc>
      </w:tr>
    </w:tbl>
    <w:p w14:paraId="2DAB7E32">
      <w:pPr>
        <w:numPr>
          <w:ilvl w:val="0"/>
          <w:numId w:val="1"/>
        </w:numPr>
        <w:spacing w:before="320" w:after="120" w:line="288" w:lineRule="auto"/>
        <w:ind w:left="0" w:leftChars="0" w:firstLine="0" w:firstLineChars="0"/>
        <w:jc w:val="left"/>
        <w:outlineLvl w:val="1"/>
        <w:rPr>
          <w:rFonts w:ascii="Arial" w:hAnsi="Arial" w:eastAsia="等线" w:cs="Arial"/>
          <w:b/>
          <w:kern w:val="0"/>
          <w:sz w:val="32"/>
          <w:szCs w:val="22"/>
        </w:rPr>
      </w:pPr>
      <w:r>
        <w:rPr>
          <w:rFonts w:ascii="Arial" w:hAnsi="Arial" w:eastAsia="等线" w:cs="Arial"/>
          <w:b/>
          <w:kern w:val="0"/>
          <w:sz w:val="32"/>
          <w:szCs w:val="22"/>
        </w:rPr>
        <w:t>核心障碍明细</w:t>
      </w:r>
    </w:p>
    <w:tbl>
      <w:tblPr>
        <w:tblStyle w:val="4"/>
        <w:tblW w:w="4997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6"/>
        <w:gridCol w:w="917"/>
        <w:gridCol w:w="2212"/>
        <w:gridCol w:w="1565"/>
        <w:gridCol w:w="1026"/>
        <w:gridCol w:w="1364"/>
        <w:gridCol w:w="857"/>
      </w:tblGrid>
      <w:tr w14:paraId="5409E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338" w:type="pct"/>
            <w:shd w:val="clear" w:color="auto" w:fill="auto"/>
            <w:vAlign w:val="center"/>
          </w:tcPr>
          <w:p w14:paraId="47F924A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序号</w:t>
            </w:r>
          </w:p>
        </w:tc>
        <w:tc>
          <w:tcPr>
            <w:tcW w:w="538" w:type="pct"/>
            <w:shd w:val="clear" w:color="auto" w:fill="auto"/>
            <w:vAlign w:val="center"/>
          </w:tcPr>
          <w:p w14:paraId="78ECDE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障碍类别</w:t>
            </w:r>
          </w:p>
        </w:tc>
        <w:tc>
          <w:tcPr>
            <w:tcW w:w="1298" w:type="pct"/>
            <w:shd w:val="clear" w:color="auto" w:fill="auto"/>
            <w:vAlign w:val="center"/>
          </w:tcPr>
          <w:p w14:paraId="209A06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障碍具体描述</w:t>
            </w:r>
          </w:p>
        </w:tc>
        <w:tc>
          <w:tcPr>
            <w:tcW w:w="918" w:type="pct"/>
            <w:shd w:val="clear" w:color="auto" w:fill="auto"/>
            <w:vAlign w:val="center"/>
          </w:tcPr>
          <w:p w14:paraId="01D82D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核心根因分析</w:t>
            </w:r>
          </w:p>
        </w:tc>
        <w:tc>
          <w:tcPr>
            <w:tcW w:w="602" w:type="pct"/>
            <w:shd w:val="clear" w:color="auto" w:fill="auto"/>
            <w:vAlign w:val="center"/>
          </w:tcPr>
          <w:p w14:paraId="17AFA2A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影响范围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6DE39B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应对与规避措施</w:t>
            </w:r>
          </w:p>
        </w:tc>
        <w:tc>
          <w:tcPr>
            <w:tcW w:w="503" w:type="pct"/>
            <w:shd w:val="clear" w:color="auto" w:fill="auto"/>
            <w:vAlign w:val="center"/>
          </w:tcPr>
          <w:p w14:paraId="6D9226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关联文件</w:t>
            </w:r>
          </w:p>
        </w:tc>
      </w:tr>
      <w:tr w14:paraId="00E8D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8" w:type="pct"/>
            <w:shd w:val="clear" w:color="auto" w:fill="auto"/>
            <w:vAlign w:val="center"/>
          </w:tcPr>
          <w:p w14:paraId="22FEA5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538" w:type="pct"/>
            <w:shd w:val="clear" w:color="auto" w:fill="auto"/>
            <w:vAlign w:val="center"/>
          </w:tcPr>
          <w:p w14:paraId="3A237B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需求调研与评估</w:t>
            </w:r>
          </w:p>
        </w:tc>
        <w:tc>
          <w:tcPr>
            <w:tcW w:w="1298" w:type="pct"/>
            <w:shd w:val="clear" w:color="auto" w:fill="auto"/>
            <w:vAlign w:val="center"/>
          </w:tcPr>
          <w:p w14:paraId="0C4222A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需求调研未充分覆盖用户实际操作场景，侧重核心功能可用性，忽略易用性需求；复杂模块（系统参数设置）开发难度与业务适配复杂度评估不足，导致 2 项功能（系统参数修改、系统参数删除）未按时完成交付。</w:t>
            </w:r>
          </w:p>
        </w:tc>
        <w:tc>
          <w:tcPr>
            <w:tcW w:w="918" w:type="pct"/>
            <w:shd w:val="clear" w:color="auto" w:fill="auto"/>
            <w:vAlign w:val="center"/>
          </w:tcPr>
          <w:p w14:paraId="5F3F67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未建立标准化用户场景访谈流程，需求文档未同步客户进行细节确认；技术评审前置不足，未组织开发、测试、客户三方联合评估复杂模块难度。</w:t>
            </w:r>
          </w:p>
        </w:tc>
        <w:tc>
          <w:tcPr>
            <w:tcW w:w="602" w:type="pct"/>
            <w:shd w:val="clear" w:color="auto" w:fill="auto"/>
            <w:vAlign w:val="center"/>
          </w:tcPr>
          <w:p w14:paraId="5FAEBC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交付进度、用户体验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0CFBBF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新增用户场景专项访谈；复杂模块提前开展三方技术评审；需求文档需客户签字确认后方可启动开发。</w:t>
            </w:r>
          </w:p>
        </w:tc>
        <w:tc>
          <w:tcPr>
            <w:tcW w:w="503" w:type="pct"/>
            <w:shd w:val="clear" w:color="auto" w:fill="auto"/>
            <w:vAlign w:val="center"/>
          </w:tcPr>
          <w:p w14:paraId="5D00C1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回顾纪要、评审反馈表</w:t>
            </w:r>
          </w:p>
        </w:tc>
      </w:tr>
      <w:tr w14:paraId="28B87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8" w:type="pct"/>
            <w:shd w:val="clear" w:color="auto" w:fill="auto"/>
            <w:vAlign w:val="center"/>
          </w:tcPr>
          <w:p w14:paraId="4498DD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2</w:t>
            </w:r>
          </w:p>
        </w:tc>
        <w:tc>
          <w:tcPr>
            <w:tcW w:w="538" w:type="pct"/>
            <w:shd w:val="clear" w:color="auto" w:fill="auto"/>
            <w:vAlign w:val="center"/>
          </w:tcPr>
          <w:p w14:paraId="71FBF8C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团队协作衔接</w:t>
            </w:r>
          </w:p>
        </w:tc>
        <w:tc>
          <w:tcPr>
            <w:tcW w:w="1298" w:type="pct"/>
            <w:shd w:val="clear" w:color="auto" w:fill="auto"/>
            <w:vAlign w:val="center"/>
          </w:tcPr>
          <w:p w14:paraId="0AD7B6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开发与测试团队进度同步不及时，部分功能开发完成后未按时提测，导致测试验证周期被压缩；测试团队未提前介入需求评审，提测后需临时梳理测试要点，影响测试效率。</w:t>
            </w:r>
          </w:p>
        </w:tc>
        <w:tc>
          <w:tcPr>
            <w:tcW w:w="918" w:type="pct"/>
            <w:shd w:val="clear" w:color="auto" w:fill="auto"/>
            <w:vAlign w:val="center"/>
          </w:tcPr>
          <w:p w14:paraId="1967D5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缺乏常态化进度同步机制，开发提测时限未明确；测试团队介入需求评审的流程未固化，前期准备不足。</w:t>
            </w:r>
          </w:p>
        </w:tc>
        <w:tc>
          <w:tcPr>
            <w:tcW w:w="602" w:type="pct"/>
            <w:shd w:val="clear" w:color="auto" w:fill="auto"/>
            <w:vAlign w:val="center"/>
          </w:tcPr>
          <w:p w14:paraId="3C2440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测试效率、交付质量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299DE7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执行每日 15 分钟站会同步进度；明确开发完成后 2 小时内提测标准；测试团队全程参与需求评审并输出测试要点。</w:t>
            </w:r>
          </w:p>
        </w:tc>
        <w:tc>
          <w:tcPr>
            <w:tcW w:w="503" w:type="pct"/>
            <w:shd w:val="clear" w:color="auto" w:fill="auto"/>
            <w:vAlign w:val="center"/>
          </w:tcPr>
          <w:p w14:paraId="7DD5BF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回顾纪要、测试报告</w:t>
            </w:r>
          </w:p>
        </w:tc>
      </w:tr>
      <w:tr w14:paraId="74D83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8" w:type="pct"/>
            <w:shd w:val="clear" w:color="auto" w:fill="auto"/>
            <w:vAlign w:val="center"/>
          </w:tcPr>
          <w:p w14:paraId="676E830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3</w:t>
            </w:r>
          </w:p>
        </w:tc>
        <w:tc>
          <w:tcPr>
            <w:tcW w:w="538" w:type="pct"/>
            <w:shd w:val="clear" w:color="auto" w:fill="auto"/>
            <w:vAlign w:val="center"/>
          </w:tcPr>
          <w:p w14:paraId="3DDAB9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产品质量管控</w:t>
            </w:r>
          </w:p>
        </w:tc>
        <w:tc>
          <w:tcPr>
            <w:tcW w:w="1298" w:type="pct"/>
            <w:shd w:val="clear" w:color="auto" w:fill="auto"/>
            <w:vAlign w:val="center"/>
          </w:tcPr>
          <w:p w14:paraId="4AC0820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迭代 1 共发现缺陷 9 项（高 3 项、中 4 项、低 2 项），缺陷预防效果不佳；兼容性测试未前置，仅在交付前开展，部分功能需返工调整适配，增加开发成本。</w:t>
            </w:r>
          </w:p>
        </w:tc>
        <w:tc>
          <w:tcPr>
            <w:tcW w:w="918" w:type="pct"/>
            <w:shd w:val="clear" w:color="auto" w:fill="auto"/>
            <w:vAlign w:val="center"/>
          </w:tcPr>
          <w:p w14:paraId="75E7576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未设置开发自测强制要求，功能直接提测；质量管控仅聚焦交付前验证，未建立全流程缺陷预防机制。</w:t>
            </w:r>
          </w:p>
        </w:tc>
        <w:tc>
          <w:tcPr>
            <w:tcW w:w="602" w:type="pct"/>
            <w:shd w:val="clear" w:color="auto" w:fill="auto"/>
            <w:vAlign w:val="center"/>
          </w:tcPr>
          <w:p w14:paraId="491995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产品质量、开发成本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402775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新增开发自测环节，复杂功能需提交自测报告；兼容性测试前置至开发中期；每周梳理缺陷类型并优化流程。</w:t>
            </w:r>
          </w:p>
        </w:tc>
        <w:tc>
          <w:tcPr>
            <w:tcW w:w="503" w:type="pct"/>
            <w:shd w:val="clear" w:color="auto" w:fill="auto"/>
            <w:vAlign w:val="center"/>
          </w:tcPr>
          <w:p w14:paraId="739F04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测试报告、回顾纪要</w:t>
            </w:r>
          </w:p>
        </w:tc>
      </w:tr>
      <w:tr w14:paraId="64A57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8" w:type="pct"/>
            <w:shd w:val="clear" w:color="auto" w:fill="auto"/>
            <w:vAlign w:val="center"/>
          </w:tcPr>
          <w:p w14:paraId="66E2F17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4</w:t>
            </w:r>
          </w:p>
        </w:tc>
        <w:tc>
          <w:tcPr>
            <w:tcW w:w="538" w:type="pct"/>
            <w:shd w:val="clear" w:color="auto" w:fill="auto"/>
            <w:vAlign w:val="center"/>
          </w:tcPr>
          <w:p w14:paraId="76E0DF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变更需求管控</w:t>
            </w:r>
          </w:p>
        </w:tc>
        <w:tc>
          <w:tcPr>
            <w:tcW w:w="1298" w:type="pct"/>
            <w:shd w:val="clear" w:color="auto" w:fill="auto"/>
            <w:vAlign w:val="center"/>
          </w:tcPr>
          <w:p w14:paraId="57E9D9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客户提出 5 项优化变更需求，前期无规范管控台账，需求处理进度、验证结果无统一记录；未建立固定进度同步渠道，部分变更事项推进滞后。</w:t>
            </w:r>
          </w:p>
        </w:tc>
        <w:tc>
          <w:tcPr>
            <w:tcW w:w="918" w:type="pct"/>
            <w:shd w:val="clear" w:color="auto" w:fill="auto"/>
            <w:vAlign w:val="center"/>
          </w:tcPr>
          <w:p w14:paraId="20A7BD9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未建立变更需求全流程管控机制，各环节操作无标准；缺乏面向团队及客户的常态化进度同步机制。</w:t>
            </w:r>
          </w:p>
        </w:tc>
        <w:tc>
          <w:tcPr>
            <w:tcW w:w="602" w:type="pct"/>
            <w:shd w:val="clear" w:color="auto" w:fill="auto"/>
            <w:vAlign w:val="center"/>
          </w:tcPr>
          <w:p w14:paraId="69574A3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变更效率、客户满意度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60EE6A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建立标准化变更跟踪台账；实行每周 1 次进度同步（同步团队 + 客户）；变更完成后及时归档至云盘。</w:t>
            </w:r>
          </w:p>
        </w:tc>
        <w:tc>
          <w:tcPr>
            <w:tcW w:w="503" w:type="pct"/>
            <w:shd w:val="clear" w:color="auto" w:fill="auto"/>
            <w:vAlign w:val="center"/>
          </w:tcPr>
          <w:p w14:paraId="5984F1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变更记录表、回顾纪要</w:t>
            </w:r>
          </w:p>
        </w:tc>
      </w:tr>
      <w:tr w14:paraId="4861E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8" w:type="pct"/>
            <w:shd w:val="clear" w:color="auto" w:fill="auto"/>
            <w:vAlign w:val="center"/>
          </w:tcPr>
          <w:p w14:paraId="611B50C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5</w:t>
            </w:r>
          </w:p>
        </w:tc>
        <w:tc>
          <w:tcPr>
            <w:tcW w:w="538" w:type="pct"/>
            <w:shd w:val="clear" w:color="auto" w:fill="auto"/>
            <w:vAlign w:val="center"/>
          </w:tcPr>
          <w:p w14:paraId="706EAA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客户沟通协同</w:t>
            </w:r>
          </w:p>
        </w:tc>
        <w:tc>
          <w:tcPr>
            <w:tcW w:w="1298" w:type="pct"/>
            <w:shd w:val="clear" w:color="auto" w:fill="auto"/>
            <w:vAlign w:val="center"/>
          </w:tcPr>
          <w:p w14:paraId="432572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开发过程中未及时同步客户业务诉求及功能开发进展，部分功能开发完成后需根据客户反馈调整，间接影响交付进度。</w:t>
            </w:r>
          </w:p>
        </w:tc>
        <w:tc>
          <w:tcPr>
            <w:tcW w:w="918" w:type="pct"/>
            <w:shd w:val="clear" w:color="auto" w:fill="auto"/>
            <w:vAlign w:val="center"/>
          </w:tcPr>
          <w:p w14:paraId="701D02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仅在评审、验收环节与客户沟通，缺乏开发过程中的常态化沟通；客户诉求传递无固定渠道，信息同步不及时。</w:t>
            </w:r>
          </w:p>
        </w:tc>
        <w:tc>
          <w:tcPr>
            <w:tcW w:w="602" w:type="pct"/>
            <w:shd w:val="clear" w:color="auto" w:fill="auto"/>
            <w:vAlign w:val="center"/>
          </w:tcPr>
          <w:p w14:paraId="6C4DCCF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功能适配度、交付进度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2D63226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建立每周 1 次客户沟通机制；开通诉求快速反馈渠道，24 小时内响应并同步处理计划。</w:t>
            </w:r>
          </w:p>
        </w:tc>
        <w:tc>
          <w:tcPr>
            <w:tcW w:w="503" w:type="pct"/>
            <w:shd w:val="clear" w:color="auto" w:fill="auto"/>
            <w:vAlign w:val="center"/>
          </w:tcPr>
          <w:p w14:paraId="2DE03AA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回顾纪要、评审反馈表</w:t>
            </w:r>
          </w:p>
        </w:tc>
      </w:tr>
      <w:tr w14:paraId="75E147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338" w:type="pct"/>
            <w:shd w:val="clear" w:color="auto" w:fill="auto"/>
            <w:vAlign w:val="center"/>
          </w:tcPr>
          <w:p w14:paraId="0DAB57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6</w:t>
            </w:r>
          </w:p>
        </w:tc>
        <w:tc>
          <w:tcPr>
            <w:tcW w:w="538" w:type="pct"/>
            <w:shd w:val="clear" w:color="auto" w:fill="auto"/>
            <w:vAlign w:val="center"/>
          </w:tcPr>
          <w:p w14:paraId="084E858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交付文档管控</w:t>
            </w:r>
          </w:p>
        </w:tc>
        <w:tc>
          <w:tcPr>
            <w:tcW w:w="1298" w:type="pct"/>
            <w:shd w:val="clear" w:color="auto" w:fill="auto"/>
            <w:vAlign w:val="center"/>
          </w:tcPr>
          <w:p w14:paraId="31A1AC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交付文档易用性不足，操作手册缺乏核心功能图文示例，部分表述不清晰；交付前未开展文档专项核查，需迭代 1 收尾阶段补充优化后方可归档。</w:t>
            </w:r>
          </w:p>
        </w:tc>
        <w:tc>
          <w:tcPr>
            <w:tcW w:w="918" w:type="pct"/>
            <w:shd w:val="clear" w:color="auto" w:fill="auto"/>
            <w:vAlign w:val="center"/>
          </w:tcPr>
          <w:p w14:paraId="6B8D877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文档编制未结合用户使用场景，仅聚焦功能说明；文档验收标准未固化，交付前无专项核查流程。</w:t>
            </w:r>
          </w:p>
        </w:tc>
        <w:tc>
          <w:tcPr>
            <w:tcW w:w="602" w:type="pct"/>
            <w:shd w:val="clear" w:color="auto" w:fill="auto"/>
            <w:vAlign w:val="center"/>
          </w:tcPr>
          <w:p w14:paraId="2C6124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客户使用、验收归档</w:t>
            </w:r>
          </w:p>
        </w:tc>
        <w:tc>
          <w:tcPr>
            <w:tcW w:w="800" w:type="pct"/>
            <w:shd w:val="clear" w:color="auto" w:fill="auto"/>
            <w:vAlign w:val="center"/>
          </w:tcPr>
          <w:p w14:paraId="50BA72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补充操作手册图文示例；建立文档交付专项核查机制；完成最终版文档归档并同步客户确认。</w:t>
            </w:r>
          </w:p>
        </w:tc>
        <w:tc>
          <w:tcPr>
            <w:tcW w:w="503" w:type="pct"/>
            <w:shd w:val="clear" w:color="auto" w:fill="auto"/>
            <w:vAlign w:val="center"/>
          </w:tcPr>
          <w:p w14:paraId="63EE0C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待办跟踪表、评审反馈表</w:t>
            </w:r>
          </w:p>
        </w:tc>
      </w:tr>
    </w:tbl>
    <w:p w14:paraId="7EB29BCB">
      <w:pPr>
        <w:numPr>
          <w:ilvl w:val="0"/>
          <w:numId w:val="1"/>
        </w:numPr>
        <w:spacing w:before="320" w:after="120" w:line="288" w:lineRule="auto"/>
        <w:ind w:left="0" w:leftChars="0" w:firstLine="0" w:firstLineChars="0"/>
        <w:jc w:val="left"/>
        <w:outlineLvl w:val="1"/>
        <w:rPr>
          <w:rFonts w:ascii="Arial" w:hAnsi="Arial" w:eastAsia="等线" w:cs="Arial"/>
          <w:b/>
          <w:kern w:val="0"/>
          <w:sz w:val="32"/>
          <w:szCs w:val="22"/>
        </w:rPr>
      </w:pPr>
      <w:r>
        <w:rPr>
          <w:rFonts w:ascii="Arial" w:hAnsi="Arial" w:eastAsia="等线" w:cs="Arial"/>
          <w:b/>
          <w:kern w:val="0"/>
          <w:sz w:val="32"/>
          <w:szCs w:val="22"/>
        </w:rPr>
        <w:t>障碍跟踪与闭环管理要求</w:t>
      </w:r>
    </w:p>
    <w:tbl>
      <w:tblPr>
        <w:tblStyle w:val="4"/>
        <w:tblW w:w="500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3"/>
        <w:gridCol w:w="3804"/>
        <w:gridCol w:w="1031"/>
        <w:gridCol w:w="2384"/>
      </w:tblGrid>
      <w:tr w14:paraId="06929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69" w:type="pct"/>
            <w:shd w:val="clear" w:color="auto" w:fill="auto"/>
            <w:vAlign w:val="center"/>
          </w:tcPr>
          <w:p w14:paraId="587D2145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跟踪机制</w:t>
            </w:r>
          </w:p>
        </w:tc>
        <w:tc>
          <w:tcPr>
            <w:tcW w:w="2229" w:type="pct"/>
            <w:shd w:val="clear" w:color="auto" w:fill="auto"/>
            <w:vAlign w:val="center"/>
          </w:tcPr>
          <w:p w14:paraId="77C4E642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每日站会同步各障碍应对措施推进进度；每周五开展专项评审，更新障碍状态（未启动 / 推进中 / 已闭环 / 长期跟踪）</w:t>
            </w:r>
          </w:p>
        </w:tc>
        <w:tc>
          <w:tcPr>
            <w:tcW w:w="604" w:type="pct"/>
            <w:shd w:val="clear" w:color="auto" w:fill="auto"/>
            <w:vAlign w:val="center"/>
          </w:tcPr>
          <w:p w14:paraId="64721C20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跟踪责任人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4BA510F3">
            <w:pPr>
              <w:keepNext w:val="0"/>
              <w:keepLines w:val="0"/>
              <w:widowControl/>
              <w:suppressLineNumbers w:val="0"/>
              <w:snapToGrid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李静（总负责）；各障碍应对措施责任人（专项跟踪，同步更新台账）</w:t>
            </w:r>
          </w:p>
        </w:tc>
      </w:tr>
      <w:tr w14:paraId="020EB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69" w:type="pct"/>
            <w:shd w:val="clear" w:color="auto" w:fill="auto"/>
            <w:vAlign w:val="center"/>
          </w:tcPr>
          <w:p w14:paraId="08BA416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闭环节点</w:t>
            </w:r>
          </w:p>
        </w:tc>
        <w:tc>
          <w:tcPr>
            <w:tcW w:w="2229" w:type="pct"/>
            <w:shd w:val="clear" w:color="auto" w:fill="auto"/>
            <w:vAlign w:val="center"/>
          </w:tcPr>
          <w:p w14:paraId="366BEE2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1. 2026-01-07 前：闭环文档优化、变更落地等迭代 1 收尾类障碍；2. 2026-01-13 前：复盘常态化障碍应对效果</w:t>
            </w:r>
          </w:p>
        </w:tc>
        <w:tc>
          <w:tcPr>
            <w:tcW w:w="604" w:type="pct"/>
            <w:shd w:val="clear" w:color="auto" w:fill="auto"/>
            <w:vAlign w:val="center"/>
          </w:tcPr>
          <w:p w14:paraId="424629F8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核心输出</w:t>
            </w:r>
          </w:p>
        </w:tc>
        <w:tc>
          <w:tcPr>
            <w:tcW w:w="1396" w:type="pct"/>
            <w:shd w:val="clear" w:color="auto" w:fill="auto"/>
            <w:vAlign w:val="center"/>
          </w:tcPr>
          <w:p w14:paraId="0E70B4F9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障碍闭环报告、未解决障碍根因分析及措施调整方案</w:t>
            </w:r>
          </w:p>
        </w:tc>
      </w:tr>
      <w:tr w14:paraId="30CF6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769" w:type="pct"/>
            <w:shd w:val="clear" w:color="auto" w:fill="auto"/>
            <w:vAlign w:val="center"/>
          </w:tcPr>
          <w:p w14:paraId="159B5453">
            <w:pPr>
              <w:keepNext w:val="0"/>
              <w:keepLines w:val="0"/>
              <w:widowControl/>
              <w:suppressLineNumbers w:val="0"/>
              <w:snapToGrid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长效规避</w:t>
            </w:r>
          </w:p>
        </w:tc>
        <w:tc>
          <w:tcPr>
            <w:tcW w:w="4230" w:type="pct"/>
            <w:gridSpan w:val="3"/>
            <w:shd w:val="clear" w:color="auto" w:fill="auto"/>
            <w:vAlign w:val="center"/>
          </w:tcPr>
          <w:p w14:paraId="617DC22E">
            <w:pPr>
              <w:snapToGrid w:val="0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F2329"/>
                <w:kern w:val="0"/>
                <w:sz w:val="21"/>
                <w:szCs w:val="21"/>
                <w:u w:val="none"/>
                <w:lang w:val="en-US" w:eastAsia="zh-CN" w:bidi="ar"/>
              </w:rPr>
              <w:t>将本次障碍及应对措施纳入《迭代 2 流程规范》，迭代 2 启动前组织全员培训，确保同类障碍在后续迭代中规避</w:t>
            </w:r>
          </w:p>
        </w:tc>
      </w:tr>
    </w:tbl>
    <w:p w14:paraId="754A977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642012C"/>
    <w:multiLevelType w:val="singleLevel"/>
    <w:tmpl w:val="5642012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D3626"/>
    <w:rsid w:val="3EF717DC"/>
    <w:rsid w:val="457B57F9"/>
    <w:rsid w:val="61276C4C"/>
    <w:rsid w:val="6A035432"/>
    <w:rsid w:val="6C2B5ACD"/>
    <w:rsid w:val="76C43A85"/>
    <w:rsid w:val="77987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宋体" w:asciiTheme="minorAscii" w:hAnsiTheme="minorAscii" w:eastAsiaTheme="minorEastAsia"/>
      <w:kern w:val="2"/>
      <w:sz w:val="21"/>
      <w:szCs w:val="19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1585</Words>
  <Characters>1620</Characters>
  <Lines>0</Lines>
  <Paragraphs>0</Paragraphs>
  <TotalTime>6</TotalTime>
  <ScaleCrop>false</ScaleCrop>
  <LinksUpToDate>false</LinksUpToDate>
  <CharactersWithSpaces>1677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2026-01-19T01:45:00Z</dcterms:created>
  <dc:creator>Administrator</dc:creator>
  <cp:lastModifiedBy>..</cp:lastModifiedBy>
  <dcterms:modified xsi:type="dcterms:W3CDTF">2026-01-23T08:21:52Z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938E99E8D0154E1D8298FD8455A0F04A_12</vt:lpwstr>
  </property>
  <property fmtid="{D5CDD505-2E9C-101B-9397-08002B2CF9AE}" pid="4" name="KSOTemplateDocerSaveRecord">
    <vt:lpwstr>eyJoZGlkIjoiZWFiZTg0ZGRkMjE3NjA4ZGM4NDZlZWQwZWRlNjQ2OTciLCJ1c2VySWQiOiIxMDEyMDU2MjQ2In0=</vt:lpwstr>
  </property>
</Properties>
</file>