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98C3F">
      <w:pPr>
        <w:spacing w:before="480" w:after="480" w:line="288" w:lineRule="auto"/>
        <w:ind w:left="0"/>
        <w:jc w:val="center"/>
        <w:rPr>
          <w:rFonts w:hint="eastAsia" w:ascii="Arial" w:hAnsi="Arial" w:eastAsia="等线" w:cs="Arial"/>
          <w:b/>
          <w:sz w:val="40"/>
          <w:szCs w:val="18"/>
          <w:lang w:eastAsia="zh-CN"/>
        </w:rPr>
      </w:pPr>
      <w:r>
        <w:rPr>
          <w:rFonts w:ascii="Arial" w:hAnsi="Arial" w:eastAsia="等线" w:cs="Arial"/>
          <w:b/>
          <w:sz w:val="40"/>
          <w:szCs w:val="18"/>
        </w:rPr>
        <w:t>制造执行系统（MES）迭代1</w:t>
      </w:r>
    </w:p>
    <w:p w14:paraId="5BB54E1E">
      <w:pPr>
        <w:spacing w:before="480" w:after="480" w:line="288" w:lineRule="auto"/>
        <w:ind w:left="0"/>
        <w:jc w:val="center"/>
        <w:rPr>
          <w:rFonts w:ascii="Arial" w:hAnsi="Arial" w:eastAsia="等线" w:cs="Arial"/>
          <w:b/>
          <w:sz w:val="40"/>
          <w:szCs w:val="18"/>
        </w:rPr>
      </w:pPr>
      <w:r>
        <w:rPr>
          <w:rFonts w:ascii="Arial" w:hAnsi="Arial" w:eastAsia="等线" w:cs="Arial"/>
          <w:b/>
          <w:sz w:val="40"/>
          <w:szCs w:val="18"/>
        </w:rPr>
        <w:t>用户变更记录表</w:t>
      </w:r>
    </w:p>
    <w:p w14:paraId="646BE1C5">
      <w:pPr>
        <w:spacing w:before="120" w:after="120" w:line="288" w:lineRule="auto"/>
        <w:ind w:left="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文档版本：V1.0.0</w:t>
      </w:r>
    </w:p>
    <w:p w14:paraId="0C1587F0">
      <w:pPr>
        <w:spacing w:before="120" w:after="120" w:line="288" w:lineRule="auto"/>
        <w:ind w:left="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编制部门：西安优加青软数字技术有限公司 MES项目组</w:t>
      </w:r>
    </w:p>
    <w:p w14:paraId="6D8FF9D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编制日期：2026年1月5日</w:t>
      </w:r>
    </w:p>
    <w:p w14:paraId="6B92C9B2">
      <w:pPr>
        <w:spacing w:before="320" w:after="120" w:line="288" w:lineRule="auto"/>
        <w:ind w:left="0"/>
        <w:jc w:val="left"/>
        <w:outlineLvl w:val="1"/>
        <w:rPr>
          <w:rFonts w:hint="eastAsia" w:asciiTheme="majorEastAsia" w:hAnsiTheme="majorEastAsia" w:eastAsiaTheme="majorEastAsia" w:cstheme="majorEastAsia"/>
          <w:b/>
          <w:sz w:val="32"/>
        </w:rPr>
      </w:pPr>
      <w:r>
        <w:rPr>
          <w:rFonts w:hint="eastAsia" w:asciiTheme="majorEastAsia" w:hAnsiTheme="majorEastAsia" w:eastAsiaTheme="majorEastAsia" w:cstheme="majorEastAsia"/>
          <w:b/>
          <w:sz w:val="32"/>
          <w:lang w:val="en-US" w:eastAsia="zh-CN"/>
        </w:rPr>
        <w:t>一、</w:t>
      </w:r>
      <w:r>
        <w:rPr>
          <w:rFonts w:hint="eastAsia" w:asciiTheme="majorEastAsia" w:hAnsiTheme="majorEastAsia" w:eastAsiaTheme="majorEastAsia" w:cstheme="majorEastAsia"/>
          <w:b/>
          <w:sz w:val="32"/>
        </w:rPr>
        <w:t>变更基础信息</w:t>
      </w:r>
    </w:p>
    <w:p w14:paraId="74639991">
      <w:pPr>
        <w:widowControl w:val="0"/>
        <w:numPr>
          <w:numId w:val="0"/>
        </w:numPr>
        <w:jc w:val="both"/>
      </w:pPr>
    </w:p>
    <w:tbl>
      <w:tblP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285"/>
        <w:gridCol w:w="3794"/>
        <w:gridCol w:w="1353"/>
        <w:gridCol w:w="2086"/>
      </w:tblGrid>
      <w:tr w14:paraId="7256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754" w:type="pct"/>
            <w:shd w:val="clear"/>
            <w:vAlign w:val="center"/>
          </w:tcPr>
          <w:p w14:paraId="4B897F29">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项目名称</w:t>
            </w:r>
          </w:p>
        </w:tc>
        <w:tc>
          <w:tcPr>
            <w:tcW w:w="2226" w:type="pct"/>
            <w:shd w:val="clear"/>
            <w:vAlign w:val="center"/>
          </w:tcPr>
          <w:p w14:paraId="0D784838">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制造执行系统（MES）</w:t>
            </w:r>
          </w:p>
        </w:tc>
        <w:tc>
          <w:tcPr>
            <w:tcW w:w="794" w:type="pct"/>
            <w:shd w:val="clear"/>
            <w:vAlign w:val="center"/>
          </w:tcPr>
          <w:p w14:paraId="26342979">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所属迭代</w:t>
            </w:r>
          </w:p>
        </w:tc>
        <w:tc>
          <w:tcPr>
            <w:tcW w:w="1224" w:type="pct"/>
            <w:shd w:val="clear"/>
            <w:vAlign w:val="center"/>
          </w:tcPr>
          <w:p w14:paraId="382F80DE">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迭代1</w:t>
            </w:r>
          </w:p>
        </w:tc>
      </w:tr>
      <w:tr w14:paraId="566D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754" w:type="pct"/>
            <w:shd w:val="clear"/>
            <w:vAlign w:val="center"/>
          </w:tcPr>
          <w:p w14:paraId="14A20025">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变更记录负责人</w:t>
            </w:r>
          </w:p>
        </w:tc>
        <w:tc>
          <w:tcPr>
            <w:tcW w:w="2226" w:type="pct"/>
            <w:shd w:val="clear"/>
            <w:vAlign w:val="center"/>
          </w:tcPr>
          <w:p w14:paraId="4AE44DA8">
            <w:pPr>
              <w:keepNext w:val="0"/>
              <w:keepLines w:val="0"/>
              <w:widowControl/>
              <w:suppressLineNumbers w:val="0"/>
              <w:snapToGrid w:val="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张伟（产品负责人/PO）</w:t>
            </w:r>
          </w:p>
        </w:tc>
        <w:tc>
          <w:tcPr>
            <w:tcW w:w="794" w:type="pct"/>
            <w:shd w:val="clear"/>
            <w:vAlign w:val="center"/>
          </w:tcPr>
          <w:p w14:paraId="6AA1D6B7">
            <w:pPr>
              <w:keepNext w:val="0"/>
              <w:keepLines w:val="0"/>
              <w:widowControl/>
              <w:suppressLineNumbers w:val="0"/>
              <w:snapToGrid w:val="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整体变更结论</w:t>
            </w:r>
          </w:p>
        </w:tc>
        <w:tc>
          <w:tcPr>
            <w:tcW w:w="1224" w:type="pct"/>
            <w:shd w:val="clear"/>
            <w:vAlign w:val="center"/>
          </w:tcPr>
          <w:p w14:paraId="39E9D07F">
            <w:pPr>
              <w:keepNext w:val="0"/>
              <w:keepLines w:val="0"/>
              <w:widowControl/>
              <w:suppressLineNumbers w:val="0"/>
              <w:snapToGrid w:val="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本次2项变更均为迭代1未完成任务调整，不影响迭代1整体验收，已评审纳入迭代2并顺利验收通过</w:t>
            </w:r>
          </w:p>
        </w:tc>
      </w:tr>
      <w:tr w14:paraId="733F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754" w:type="pct"/>
            <w:shd w:val="clear"/>
            <w:vAlign w:val="center"/>
          </w:tcPr>
          <w:p w14:paraId="00F9CC45">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变更梳理说明</w:t>
            </w:r>
          </w:p>
        </w:tc>
        <w:tc>
          <w:tcPr>
            <w:tcW w:w="2226" w:type="pct"/>
            <w:shd w:val="clear"/>
            <w:vAlign w:val="center"/>
          </w:tcPr>
          <w:p w14:paraId="147954C5">
            <w:pPr>
              <w:keepNext w:val="0"/>
              <w:keepLines w:val="0"/>
              <w:widowControl/>
              <w:suppressLineNumbers w:val="0"/>
              <w:snapToGrid w:val="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迭代1冲刺周期内，仅以下2项任务未按计划完成，经交付方、接收方（客户）联合评审，确认不影响迭代1核心功能验收，一致同意将其纳入迭代2优先推进，目前该2项任务已在迭代2完成开发并通过验收</w:t>
            </w:r>
          </w:p>
        </w:tc>
        <w:tc>
          <w:tcPr>
            <w:tcW w:w="794" w:type="pct"/>
            <w:shd w:val="clear"/>
            <w:vAlign w:val="center"/>
          </w:tcPr>
          <w:p w14:paraId="2BBC94E2">
            <w:pPr>
              <w:snapToGrid w:val="0"/>
              <w:jc w:val="both"/>
              <w:rPr>
                <w:rFonts w:hint="eastAsia" w:ascii="宋体" w:hAnsi="宋体" w:eastAsia="宋体" w:cs="宋体"/>
                <w:i w:val="0"/>
                <w:iCs w:val="0"/>
                <w:color w:val="1F2329"/>
                <w:sz w:val="21"/>
                <w:szCs w:val="21"/>
                <w:u w:val="none"/>
              </w:rPr>
            </w:pPr>
          </w:p>
        </w:tc>
        <w:tc>
          <w:tcPr>
            <w:tcW w:w="1224" w:type="pct"/>
            <w:shd w:val="clear"/>
            <w:noWrap/>
            <w:vAlign w:val="center"/>
          </w:tcPr>
          <w:p w14:paraId="0DA6F5E6">
            <w:pPr>
              <w:snapToGrid w:val="0"/>
              <w:rPr>
                <w:rFonts w:hint="eastAsia" w:ascii="宋体" w:hAnsi="宋体" w:eastAsia="宋体" w:cs="宋体"/>
                <w:i w:val="0"/>
                <w:iCs w:val="0"/>
                <w:color w:val="000000"/>
                <w:sz w:val="21"/>
                <w:szCs w:val="21"/>
                <w:u w:val="none"/>
              </w:rPr>
            </w:pPr>
          </w:p>
        </w:tc>
      </w:tr>
    </w:tbl>
    <w:p w14:paraId="163390A6">
      <w:pPr>
        <w:widowControl w:val="0"/>
        <w:numPr>
          <w:numId w:val="0"/>
        </w:numPr>
        <w:jc w:val="both"/>
      </w:pPr>
    </w:p>
    <w:p w14:paraId="3D89ACD2">
      <w:pPr>
        <w:spacing w:before="320" w:after="120" w:line="288" w:lineRule="auto"/>
        <w:ind w:left="0"/>
        <w:jc w:val="left"/>
        <w:outlineLvl w:val="1"/>
        <w:rPr>
          <w:rFonts w:hint="eastAsia" w:asciiTheme="majorEastAsia" w:hAnsiTheme="majorEastAsia" w:eastAsiaTheme="majorEastAsia" w:cstheme="majorEastAsia"/>
          <w:b/>
          <w:sz w:val="32"/>
          <w:lang w:val="en-US" w:eastAsia="zh-CN"/>
        </w:rPr>
      </w:pPr>
      <w:r>
        <w:rPr>
          <w:rFonts w:hint="eastAsia" w:asciiTheme="majorEastAsia" w:hAnsiTheme="majorEastAsia" w:eastAsiaTheme="majorEastAsia" w:cstheme="majorEastAsia"/>
          <w:b/>
          <w:sz w:val="32"/>
          <w:lang w:val="en-US" w:eastAsia="zh-CN"/>
        </w:rPr>
        <w:t>二、用户变更明细</w:t>
      </w:r>
      <w:bookmarkStart w:id="0" w:name="_GoBack"/>
      <w:bookmarkEnd w:id="0"/>
    </w:p>
    <w:p w14:paraId="6BE86701">
      <w:pPr>
        <w:widowControl w:val="0"/>
        <w:numPr>
          <w:numId w:val="0"/>
        </w:numPr>
        <w:jc w:val="both"/>
      </w:pPr>
    </w:p>
    <w:tbl>
      <w:tblPr>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747"/>
        <w:gridCol w:w="811"/>
        <w:gridCol w:w="819"/>
        <w:gridCol w:w="654"/>
        <w:gridCol w:w="727"/>
        <w:gridCol w:w="1864"/>
        <w:gridCol w:w="1318"/>
        <w:gridCol w:w="768"/>
        <w:gridCol w:w="808"/>
      </w:tblGrid>
      <w:tr w14:paraId="1A40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38" w:type="pct"/>
            <w:shd w:val="clear"/>
            <w:vAlign w:val="center"/>
          </w:tcPr>
          <w:p w14:paraId="13F9D5D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变更编号</w:t>
            </w:r>
          </w:p>
        </w:tc>
        <w:tc>
          <w:tcPr>
            <w:tcW w:w="476" w:type="pct"/>
            <w:shd w:val="clear"/>
            <w:vAlign w:val="center"/>
          </w:tcPr>
          <w:p w14:paraId="60D7449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变更主题</w:t>
            </w:r>
          </w:p>
        </w:tc>
        <w:tc>
          <w:tcPr>
            <w:tcW w:w="480" w:type="pct"/>
            <w:shd w:val="clear"/>
            <w:vAlign w:val="center"/>
          </w:tcPr>
          <w:p w14:paraId="5B20F8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变更类型</w:t>
            </w:r>
          </w:p>
        </w:tc>
        <w:tc>
          <w:tcPr>
            <w:tcW w:w="383" w:type="pct"/>
            <w:shd w:val="clear"/>
            <w:vAlign w:val="center"/>
          </w:tcPr>
          <w:p w14:paraId="4D12C6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发起方</w:t>
            </w:r>
          </w:p>
        </w:tc>
        <w:tc>
          <w:tcPr>
            <w:tcW w:w="426" w:type="pct"/>
            <w:shd w:val="clear"/>
            <w:vAlign w:val="center"/>
          </w:tcPr>
          <w:p w14:paraId="6CC1713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发起日期</w:t>
            </w:r>
          </w:p>
        </w:tc>
        <w:tc>
          <w:tcPr>
            <w:tcW w:w="1094" w:type="pct"/>
            <w:shd w:val="clear"/>
            <w:vAlign w:val="center"/>
          </w:tcPr>
          <w:p w14:paraId="082544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变更原因</w:t>
            </w:r>
          </w:p>
        </w:tc>
        <w:tc>
          <w:tcPr>
            <w:tcW w:w="773" w:type="pct"/>
            <w:shd w:val="clear"/>
            <w:vAlign w:val="center"/>
          </w:tcPr>
          <w:p w14:paraId="59C2D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变更内容</w:t>
            </w:r>
          </w:p>
        </w:tc>
        <w:tc>
          <w:tcPr>
            <w:tcW w:w="450" w:type="pct"/>
            <w:shd w:val="clear"/>
            <w:vAlign w:val="center"/>
          </w:tcPr>
          <w:p w14:paraId="1EB034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影响范围</w:t>
            </w:r>
          </w:p>
        </w:tc>
        <w:tc>
          <w:tcPr>
            <w:tcW w:w="474" w:type="pct"/>
            <w:shd w:val="clear"/>
            <w:vAlign w:val="center"/>
          </w:tcPr>
          <w:p w14:paraId="2F9479E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处理结果</w:t>
            </w:r>
          </w:p>
        </w:tc>
      </w:tr>
      <w:tr w14:paraId="3A08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438" w:type="pct"/>
            <w:shd w:val="clear"/>
            <w:vAlign w:val="center"/>
          </w:tcPr>
          <w:p w14:paraId="5B419C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ITER1-CH-001</w:t>
            </w:r>
          </w:p>
        </w:tc>
        <w:tc>
          <w:tcPr>
            <w:tcW w:w="476" w:type="pct"/>
            <w:shd w:val="clear"/>
            <w:vAlign w:val="center"/>
          </w:tcPr>
          <w:p w14:paraId="576EE2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系统参数修改功能交付调整</w:t>
            </w:r>
          </w:p>
        </w:tc>
        <w:tc>
          <w:tcPr>
            <w:tcW w:w="480" w:type="pct"/>
            <w:shd w:val="clear"/>
            <w:vAlign w:val="center"/>
          </w:tcPr>
          <w:p w14:paraId="5BEFFD9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任务延期（转迭代）</w:t>
            </w:r>
          </w:p>
        </w:tc>
        <w:tc>
          <w:tcPr>
            <w:tcW w:w="383" w:type="pct"/>
            <w:shd w:val="clear"/>
            <w:vAlign w:val="center"/>
          </w:tcPr>
          <w:p w14:paraId="307DA4A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客户方+项目组</w:t>
            </w:r>
          </w:p>
        </w:tc>
        <w:tc>
          <w:tcPr>
            <w:tcW w:w="426" w:type="pct"/>
            <w:shd w:val="clear"/>
            <w:vAlign w:val="center"/>
          </w:tcPr>
          <w:p w14:paraId="5F6AB9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2026/1/5</w:t>
            </w:r>
          </w:p>
        </w:tc>
        <w:tc>
          <w:tcPr>
            <w:tcW w:w="1094" w:type="pct"/>
            <w:shd w:val="clear"/>
            <w:vAlign w:val="center"/>
          </w:tcPr>
          <w:p w14:paraId="3C1A48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迭代1开发后期，需结合客户业务场景完成参数修改后的兼容性验证及核心业务适配确认，耗时超出迭代1剩余周期，且该功能非迭代1核心验收项</w:t>
            </w:r>
          </w:p>
        </w:tc>
        <w:tc>
          <w:tcPr>
            <w:tcW w:w="773" w:type="pct"/>
            <w:shd w:val="clear"/>
            <w:vAlign w:val="center"/>
          </w:tcPr>
          <w:p w14:paraId="3DEC46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原计划迭代1（2025-12-22）交付的“系统参数修改（可运行）”功能，调整至迭代2优先开发交付</w:t>
            </w:r>
          </w:p>
        </w:tc>
        <w:tc>
          <w:tcPr>
            <w:tcW w:w="450" w:type="pct"/>
            <w:shd w:val="clear"/>
            <w:vAlign w:val="center"/>
          </w:tcPr>
          <w:p w14:paraId="411DD7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系统管理模块</w:t>
            </w:r>
          </w:p>
        </w:tc>
        <w:tc>
          <w:tcPr>
            <w:tcW w:w="474" w:type="pct"/>
            <w:shd w:val="clear"/>
            <w:vAlign w:val="center"/>
          </w:tcPr>
          <w:p w14:paraId="4D60ADE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已纳入迭代2，2026-01-13开发完成并验收通过</w:t>
            </w:r>
          </w:p>
        </w:tc>
      </w:tr>
      <w:tr w14:paraId="0B55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8" w:type="pct"/>
            <w:shd w:val="clear"/>
            <w:vAlign w:val="center"/>
          </w:tcPr>
          <w:p w14:paraId="480CA4D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ITER1-CH-002</w:t>
            </w:r>
          </w:p>
        </w:tc>
        <w:tc>
          <w:tcPr>
            <w:tcW w:w="476" w:type="pct"/>
            <w:shd w:val="clear"/>
            <w:vAlign w:val="center"/>
          </w:tcPr>
          <w:p w14:paraId="64E921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系统参数删除功能交付调整</w:t>
            </w:r>
          </w:p>
        </w:tc>
        <w:tc>
          <w:tcPr>
            <w:tcW w:w="480" w:type="pct"/>
            <w:shd w:val="clear"/>
            <w:vAlign w:val="center"/>
          </w:tcPr>
          <w:p w14:paraId="28C272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任务延期（转迭代）</w:t>
            </w:r>
          </w:p>
        </w:tc>
        <w:tc>
          <w:tcPr>
            <w:tcW w:w="383" w:type="pct"/>
            <w:shd w:val="clear"/>
            <w:vAlign w:val="center"/>
          </w:tcPr>
          <w:p w14:paraId="627C03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客户方+项目组</w:t>
            </w:r>
          </w:p>
        </w:tc>
        <w:tc>
          <w:tcPr>
            <w:tcW w:w="426" w:type="pct"/>
            <w:shd w:val="clear"/>
            <w:vAlign w:val="center"/>
          </w:tcPr>
          <w:p w14:paraId="0CEEBB6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2026/1/5</w:t>
            </w:r>
          </w:p>
        </w:tc>
        <w:tc>
          <w:tcPr>
            <w:tcW w:w="1094" w:type="pct"/>
            <w:shd w:val="clear"/>
            <w:vAlign w:val="center"/>
          </w:tcPr>
          <w:p w14:paraId="5A3DA6B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依赖系统参数修改功能的基础验证结论，且需补充客户核心参数保护规则确认，无法在迭代1周期内完成闭环，不影响核心功能使用</w:t>
            </w:r>
          </w:p>
        </w:tc>
        <w:tc>
          <w:tcPr>
            <w:tcW w:w="773" w:type="pct"/>
            <w:shd w:val="clear"/>
            <w:vAlign w:val="center"/>
          </w:tcPr>
          <w:p w14:paraId="16BDCA3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原计划迭代1（2025-12-23）交付的“系统参数删除（可运行）”功能，调整至迭代2优先开发交付</w:t>
            </w:r>
          </w:p>
        </w:tc>
        <w:tc>
          <w:tcPr>
            <w:tcW w:w="450" w:type="pct"/>
            <w:shd w:val="clear"/>
            <w:vAlign w:val="center"/>
          </w:tcPr>
          <w:p w14:paraId="495688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系统管理模块</w:t>
            </w:r>
          </w:p>
        </w:tc>
        <w:tc>
          <w:tcPr>
            <w:tcW w:w="474" w:type="pct"/>
            <w:shd w:val="clear"/>
            <w:vAlign w:val="center"/>
          </w:tcPr>
          <w:p w14:paraId="665F629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已纳入迭代2，2026-01-14开发完成并验收通过</w:t>
            </w:r>
          </w:p>
        </w:tc>
      </w:tr>
    </w:tbl>
    <w:p w14:paraId="6FE7BA87">
      <w:pPr>
        <w:widowControl w:val="0"/>
        <w:numPr>
          <w:numId w:val="0"/>
        </w:numPr>
        <w:jc w:val="both"/>
      </w:pPr>
    </w:p>
    <w:p w14:paraId="08E51811">
      <w:pPr>
        <w:spacing w:before="320" w:after="120" w:line="288" w:lineRule="auto"/>
        <w:ind w:left="0"/>
        <w:jc w:val="left"/>
        <w:outlineLvl w:val="1"/>
        <w:rPr>
          <w:rFonts w:hint="eastAsia" w:asciiTheme="majorEastAsia" w:hAnsiTheme="majorEastAsia" w:eastAsiaTheme="majorEastAsia" w:cstheme="majorEastAsia"/>
          <w:b/>
          <w:sz w:val="32"/>
          <w:lang w:val="en-US" w:eastAsia="zh-CN"/>
        </w:rPr>
      </w:pPr>
      <w:r>
        <w:rPr>
          <w:rFonts w:hint="eastAsia" w:asciiTheme="majorEastAsia" w:hAnsiTheme="majorEastAsia" w:eastAsiaTheme="majorEastAsia" w:cstheme="majorEastAsia"/>
          <w:b/>
          <w:sz w:val="32"/>
          <w:lang w:val="en-US" w:eastAsia="zh-CN"/>
        </w:rPr>
        <w:t>三、变更评审与确认</w:t>
      </w:r>
    </w:p>
    <w:p w14:paraId="55BFF4C0">
      <w:pPr>
        <w:numPr>
          <w:numId w:val="0"/>
        </w:numPr>
      </w:pPr>
    </w:p>
    <w:tbl>
      <w:tblP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704"/>
        <w:gridCol w:w="4292"/>
        <w:gridCol w:w="987"/>
        <w:gridCol w:w="1535"/>
      </w:tblGrid>
      <w:tr w14:paraId="786F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000" w:type="pct"/>
            <w:shd w:val="clear"/>
            <w:vAlign w:val="center"/>
          </w:tcPr>
          <w:p w14:paraId="6E151E1F">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评审时间</w:t>
            </w:r>
          </w:p>
        </w:tc>
        <w:tc>
          <w:tcPr>
            <w:tcW w:w="2519" w:type="pct"/>
            <w:shd w:val="clear"/>
            <w:vAlign w:val="center"/>
          </w:tcPr>
          <w:p w14:paraId="2D2A43A6">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2026年1月5日 16:00-16:30</w:t>
            </w:r>
          </w:p>
        </w:tc>
        <w:tc>
          <w:tcPr>
            <w:tcW w:w="579" w:type="pct"/>
            <w:shd w:val="clear"/>
            <w:vAlign w:val="center"/>
          </w:tcPr>
          <w:p w14:paraId="614590D6">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评审参与方</w:t>
            </w:r>
          </w:p>
        </w:tc>
        <w:tc>
          <w:tcPr>
            <w:tcW w:w="899" w:type="pct"/>
            <w:shd w:val="clear"/>
            <w:vAlign w:val="center"/>
          </w:tcPr>
          <w:p w14:paraId="3F62DBE8">
            <w:pPr>
              <w:keepNext w:val="0"/>
              <w:keepLines w:val="0"/>
              <w:widowControl/>
              <w:suppressLineNumbers w:val="0"/>
              <w:snapToGrid w:val="0"/>
              <w:jc w:val="center"/>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交付方（项目组）、接收方（客户方）</w:t>
            </w:r>
          </w:p>
        </w:tc>
      </w:tr>
      <w:tr w14:paraId="63AE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00" w:type="pct"/>
            <w:shd w:val="clear"/>
            <w:vAlign w:val="center"/>
          </w:tcPr>
          <w:p w14:paraId="58320741">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评审结论</w:t>
            </w:r>
          </w:p>
        </w:tc>
        <w:tc>
          <w:tcPr>
            <w:tcW w:w="3999" w:type="pct"/>
            <w:gridSpan w:val="3"/>
            <w:shd w:val="clear"/>
            <w:vAlign w:val="center"/>
          </w:tcPr>
          <w:p w14:paraId="5C1469E6">
            <w:pPr>
              <w:numPr>
                <w:ilvl w:val="0"/>
                <w:numId w:val="1"/>
              </w:numPr>
              <w:snapToGrid w:val="0"/>
              <w:jc w:val="both"/>
              <w:rPr>
                <w:rFonts w:hint="eastAsia" w:ascii="宋体" w:hAnsi="宋体" w:eastAsia="宋体" w:cs="宋体"/>
                <w:i w:val="0"/>
                <w:iCs w:val="0"/>
                <w:color w:val="1F2329"/>
                <w:kern w:val="0"/>
                <w:sz w:val="21"/>
                <w:szCs w:val="21"/>
                <w:u w:val="none"/>
                <w:bdr w:val="none" w:color="auto" w:sz="0" w:space="0"/>
                <w:lang w:val="en-US" w:eastAsia="zh-CN" w:bidi="ar"/>
              </w:rPr>
            </w:pPr>
            <w:r>
              <w:rPr>
                <w:rFonts w:hint="eastAsia" w:ascii="宋体" w:hAnsi="宋体" w:eastAsia="宋体" w:cs="宋体"/>
                <w:i w:val="0"/>
                <w:iCs w:val="0"/>
                <w:color w:val="1F2329"/>
                <w:kern w:val="0"/>
                <w:sz w:val="21"/>
                <w:szCs w:val="21"/>
                <w:u w:val="none"/>
                <w:bdr w:val="none" w:color="auto" w:sz="0" w:space="0"/>
                <w:lang w:val="en-US" w:eastAsia="zh-CN" w:bidi="ar"/>
              </w:rPr>
              <w:t>同意上述2项变更，确认该2项任务为迭代1唯一未完成事项；</w:t>
            </w:r>
          </w:p>
          <w:p w14:paraId="3571E6A5">
            <w:pPr>
              <w:numPr>
                <w:ilvl w:val="0"/>
                <w:numId w:val="1"/>
              </w:numPr>
              <w:snapToGrid w:val="0"/>
              <w:jc w:val="both"/>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该2项变更不影响迭代1核心功能整体验收，迭代1验收结论有效；</w:t>
            </w:r>
          </w:p>
          <w:p w14:paraId="20BAD991">
            <w:pPr>
              <w:numPr>
                <w:ilvl w:val="0"/>
                <w:numId w:val="1"/>
              </w:numPr>
              <w:snapToGrid w:val="0"/>
              <w:jc w:val="both"/>
              <w:rPr>
                <w:rFonts w:hint="eastAsia" w:ascii="宋体" w:hAnsi="宋体" w:eastAsia="宋体" w:cs="宋体"/>
                <w:i w:val="0"/>
                <w:iCs w:val="0"/>
                <w:color w:val="1F2329"/>
                <w:sz w:val="21"/>
                <w:szCs w:val="21"/>
                <w:u w:val="none"/>
              </w:rPr>
            </w:pPr>
            <w:r>
              <w:rPr>
                <w:rFonts w:hint="eastAsia" w:ascii="宋体" w:hAnsi="宋体" w:eastAsia="宋体" w:cs="宋体"/>
                <w:i w:val="0"/>
                <w:iCs w:val="0"/>
                <w:color w:val="1F2329"/>
                <w:kern w:val="0"/>
                <w:sz w:val="21"/>
                <w:szCs w:val="21"/>
                <w:u w:val="none"/>
                <w:bdr w:val="none" w:color="auto" w:sz="0" w:space="0"/>
                <w:lang w:val="en-US" w:eastAsia="zh-CN" w:bidi="ar"/>
              </w:rPr>
              <w:t>要求迭代2优先推进该2项任务开发，按计划完成交付与验收</w:t>
            </w:r>
          </w:p>
        </w:tc>
      </w:tr>
      <w:tr w14:paraId="4D92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000" w:type="pct"/>
            <w:shd w:val="clear"/>
            <w:vAlign w:val="center"/>
          </w:tcPr>
          <w:p w14:paraId="3D756DA9">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交付方签字确认</w:t>
            </w:r>
          </w:p>
        </w:tc>
        <w:tc>
          <w:tcPr>
            <w:tcW w:w="2519" w:type="pct"/>
            <w:shd w:val="clear"/>
            <w:vAlign w:val="center"/>
          </w:tcPr>
          <w:p w14:paraId="0D78C069">
            <w:pPr>
              <w:snapToGrid w:val="0"/>
              <w:jc w:val="both"/>
              <w:rPr>
                <w:rFonts w:hint="eastAsia" w:ascii="宋体" w:hAnsi="宋体" w:eastAsia="宋体" w:cs="宋体"/>
                <w:i w:val="0"/>
                <w:iCs w:val="0"/>
                <w:color w:val="1F2329"/>
                <w:sz w:val="21"/>
                <w:szCs w:val="21"/>
                <w:u w:val="none"/>
              </w:rPr>
            </w:pPr>
          </w:p>
        </w:tc>
        <w:tc>
          <w:tcPr>
            <w:tcW w:w="579" w:type="pct"/>
            <w:shd w:val="clear"/>
            <w:vAlign w:val="center"/>
          </w:tcPr>
          <w:p w14:paraId="288C3E26">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日期</w:t>
            </w:r>
          </w:p>
        </w:tc>
        <w:tc>
          <w:tcPr>
            <w:tcW w:w="899" w:type="pct"/>
            <w:shd w:val="clear"/>
            <w:vAlign w:val="center"/>
          </w:tcPr>
          <w:p w14:paraId="583EA8BD">
            <w:pPr>
              <w:snapToGrid w:val="0"/>
              <w:jc w:val="both"/>
              <w:rPr>
                <w:rFonts w:hint="eastAsia" w:ascii="宋体" w:hAnsi="宋体" w:eastAsia="宋体" w:cs="宋体"/>
                <w:i w:val="0"/>
                <w:iCs w:val="0"/>
                <w:color w:val="1F2329"/>
                <w:sz w:val="21"/>
                <w:szCs w:val="21"/>
                <w:u w:val="none"/>
              </w:rPr>
            </w:pPr>
          </w:p>
        </w:tc>
      </w:tr>
      <w:tr w14:paraId="3151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000" w:type="pct"/>
            <w:shd w:val="clear"/>
            <w:vAlign w:val="center"/>
          </w:tcPr>
          <w:p w14:paraId="013A1EAC">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lang w:val="en-US" w:eastAsia="zh-CN" w:bidi="ar"/>
              </w:rPr>
              <w:t>客户</w:t>
            </w:r>
            <w:r>
              <w:rPr>
                <w:rFonts w:hint="eastAsia" w:ascii="宋体" w:hAnsi="宋体" w:eastAsia="宋体" w:cs="宋体"/>
                <w:b/>
                <w:bCs/>
                <w:i w:val="0"/>
                <w:iCs w:val="0"/>
                <w:color w:val="1F2329"/>
                <w:kern w:val="0"/>
                <w:sz w:val="21"/>
                <w:szCs w:val="21"/>
                <w:u w:val="none"/>
                <w:bdr w:val="none" w:color="auto" w:sz="0" w:space="0"/>
                <w:lang w:val="en-US" w:eastAsia="zh-CN" w:bidi="ar"/>
              </w:rPr>
              <w:t>签字确认</w:t>
            </w:r>
          </w:p>
        </w:tc>
        <w:tc>
          <w:tcPr>
            <w:tcW w:w="2519" w:type="pct"/>
            <w:shd w:val="clear"/>
            <w:vAlign w:val="center"/>
          </w:tcPr>
          <w:p w14:paraId="0E9394D1">
            <w:pPr>
              <w:snapToGrid w:val="0"/>
              <w:jc w:val="both"/>
              <w:rPr>
                <w:rFonts w:hint="eastAsia" w:ascii="宋体" w:hAnsi="宋体" w:eastAsia="宋体" w:cs="宋体"/>
                <w:i w:val="0"/>
                <w:iCs w:val="0"/>
                <w:color w:val="1F2329"/>
                <w:sz w:val="21"/>
                <w:szCs w:val="21"/>
                <w:u w:val="none"/>
              </w:rPr>
            </w:pPr>
          </w:p>
        </w:tc>
        <w:tc>
          <w:tcPr>
            <w:tcW w:w="579" w:type="pct"/>
            <w:shd w:val="clear"/>
            <w:vAlign w:val="center"/>
          </w:tcPr>
          <w:p w14:paraId="519BB5B8">
            <w:pPr>
              <w:keepNext w:val="0"/>
              <w:keepLines w:val="0"/>
              <w:widowControl/>
              <w:suppressLineNumbers w:val="0"/>
              <w:snapToGrid w:val="0"/>
              <w:jc w:val="left"/>
              <w:textAlignment w:val="center"/>
              <w:rPr>
                <w:rFonts w:hint="eastAsia" w:ascii="宋体" w:hAnsi="宋体" w:eastAsia="宋体" w:cs="宋体"/>
                <w:b/>
                <w:bCs/>
                <w:i w:val="0"/>
                <w:iCs w:val="0"/>
                <w:color w:val="1F2329"/>
                <w:sz w:val="21"/>
                <w:szCs w:val="21"/>
                <w:u w:val="none"/>
              </w:rPr>
            </w:pPr>
            <w:r>
              <w:rPr>
                <w:rFonts w:hint="eastAsia" w:ascii="宋体" w:hAnsi="宋体" w:eastAsia="宋体" w:cs="宋体"/>
                <w:b/>
                <w:bCs/>
                <w:i w:val="0"/>
                <w:iCs w:val="0"/>
                <w:color w:val="1F2329"/>
                <w:kern w:val="0"/>
                <w:sz w:val="21"/>
                <w:szCs w:val="21"/>
                <w:u w:val="none"/>
                <w:bdr w:val="none" w:color="auto" w:sz="0" w:space="0"/>
                <w:lang w:val="en-US" w:eastAsia="zh-CN" w:bidi="ar"/>
              </w:rPr>
              <w:t>日期</w:t>
            </w:r>
          </w:p>
        </w:tc>
        <w:tc>
          <w:tcPr>
            <w:tcW w:w="899" w:type="pct"/>
            <w:shd w:val="clear"/>
            <w:noWrap/>
            <w:vAlign w:val="center"/>
          </w:tcPr>
          <w:p w14:paraId="0944E9C4">
            <w:pPr>
              <w:snapToGrid w:val="0"/>
              <w:rPr>
                <w:rFonts w:hint="eastAsia" w:ascii="宋体" w:hAnsi="宋体" w:eastAsia="宋体" w:cs="宋体"/>
                <w:i w:val="0"/>
                <w:iCs w:val="0"/>
                <w:color w:val="000000"/>
                <w:sz w:val="21"/>
                <w:szCs w:val="21"/>
                <w:u w:val="none"/>
              </w:rPr>
            </w:pPr>
          </w:p>
        </w:tc>
      </w:tr>
    </w:tbl>
    <w:p w14:paraId="35565167"/>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31C9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F4B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09823"/>
    <w:multiLevelType w:val="singleLevel"/>
    <w:tmpl w:val="B3E0982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2792BFB"/>
    <w:rsid w:val="51F811C2"/>
    <w:rsid w:val="647579D0"/>
    <w:rsid w:val="653F3F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1138</Words>
  <Characters>1296</Characters>
  <TotalTime>5</TotalTime>
  <ScaleCrop>false</ScaleCrop>
  <LinksUpToDate>false</LinksUpToDate>
  <CharactersWithSpaces>1337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2026-01-22T02:01:00Z</dcterms:created>
  <dc:creator>Apache POI</dc:creator>
  <cp:lastModifiedBy>..</cp:lastModifiedBy>
  <dcterms:modified xsi:type="dcterms:W3CDTF">2026-01-23T01:09:55Z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eyJoZGlkIjoiZWFiZTg0ZGRkMjE3NjA4ZGM4NDZlZWQwZWRlNjQ2OTciLCJ1c2VySWQiOiIxMDEyMDU2MjQ2In0=</vt:lpwstr>
  </property>
  <property fmtid="{D5CDD505-2E9C-101B-9397-08002B2CF9AE}" pid="3" name="KSOProductBuildVer">
    <vt:lpwstr>2052-12.1.0.24657</vt:lpwstr>
  </property>
  <property fmtid="{D5CDD505-2E9C-101B-9397-08002B2CF9AE}" pid="4" name="ICV">
    <vt:lpwstr>C6E2C1A87CD54616A795680D793EB760_12</vt:lpwstr>
  </property>
</Properties>
</file>