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pPr>
      <w:r>
        <w:rPr>
          <w:rFonts w:hint="eastAsia"/>
          <w:sz w:val="36"/>
          <w:szCs w:val="36"/>
          <w:lang w:val="en-US" w:eastAsia="zh-CN"/>
        </w:rPr>
        <w:t>公示、警示、协同系统-综合改进需求（6）</w:t>
      </w:r>
    </w:p>
    <w:p>
      <w:pPr>
        <w:pStyle w:val="2"/>
      </w:pPr>
      <w:r>
        <w:rPr>
          <w:rFonts w:hint="eastAsia"/>
          <w:lang w:val="en-US" w:eastAsia="zh-CN"/>
        </w:rPr>
        <w:t>警示</w:t>
      </w:r>
      <w:r>
        <w:rPr>
          <w:rFonts w:hint="eastAsia"/>
          <w:lang w:eastAsia="zh-CN"/>
        </w:rPr>
        <w:t>系统</w:t>
      </w:r>
      <w:bookmarkStart w:id="0" w:name="_GoBack"/>
      <w:bookmarkEnd w:id="0"/>
    </w:p>
    <w:p>
      <w:pPr>
        <w:pStyle w:val="5"/>
      </w:pPr>
      <w:r>
        <w:rPr>
          <w:rFonts w:hint="eastAsia"/>
          <w:lang w:val="en-US" w:eastAsia="zh-CN"/>
        </w:rPr>
        <w:t>预警信息共享联动（警示系统和协同系统）</w:t>
      </w:r>
    </w:p>
    <w:p>
      <w:pPr>
        <w:pStyle w:val="3"/>
        <w:ind w:left="0" w:leftChars="0" w:firstLine="0" w:firstLineChars="0"/>
      </w:pPr>
      <w:r>
        <w:drawing>
          <wp:inline distT="0" distB="0" distL="114300" distR="114300">
            <wp:extent cx="5271135" cy="1885315"/>
            <wp:effectExtent l="0" t="0" r="571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5271135" cy="1885315"/>
                    </a:xfrm>
                    <a:prstGeom prst="rect">
                      <a:avLst/>
                    </a:prstGeom>
                    <a:noFill/>
                    <a:ln w="9525">
                      <a:noFill/>
                    </a:ln>
                  </pic:spPr>
                </pic:pic>
              </a:graphicData>
            </a:graphic>
          </wp:inline>
        </w:drawing>
      </w:r>
      <w:r>
        <w:drawing>
          <wp:inline distT="0" distB="0" distL="114300" distR="114300">
            <wp:extent cx="5269230" cy="938530"/>
            <wp:effectExtent l="0" t="0" r="762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5269230" cy="93853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问题：</w:t>
      </w:r>
    </w:p>
    <w:p>
      <w:pPr>
        <w:pStyle w:val="3"/>
        <w:numPr>
          <w:ilvl w:val="0"/>
          <w:numId w:val="2"/>
        </w:numPr>
        <w:ind w:left="0" w:leftChars="0" w:firstLine="0" w:firstLineChars="0"/>
        <w:rPr>
          <w:rFonts w:hint="eastAsia"/>
          <w:lang w:val="en-US" w:eastAsia="zh-CN"/>
        </w:rPr>
      </w:pPr>
      <w:r>
        <w:rPr>
          <w:rFonts w:hint="eastAsia"/>
          <w:lang w:val="en-US" w:eastAsia="zh-CN"/>
        </w:rPr>
        <w:t>在风险预警里设置的预警信息，在警示系统和协同系统里涉及展示企业信用标签信息的地方如综合查询功能，查询该企业详情页面里却没有显示相应的预警信息。同时这些预警信息要交换至准入系统。</w:t>
      </w:r>
    </w:p>
    <w:p>
      <w:pPr>
        <w:pStyle w:val="3"/>
        <w:numPr>
          <w:ilvl w:val="0"/>
          <w:numId w:val="2"/>
        </w:numPr>
        <w:ind w:left="0" w:leftChars="0" w:firstLine="0" w:firstLineChars="0"/>
        <w:rPr>
          <w:rFonts w:hint="eastAsia"/>
          <w:lang w:val="en-US" w:eastAsia="zh-CN"/>
        </w:rPr>
      </w:pPr>
      <w:r>
        <w:rPr>
          <w:rFonts w:hint="eastAsia"/>
          <w:lang w:val="en-US" w:eastAsia="zh-CN"/>
        </w:rPr>
        <w:t>协同系统里设置的预警信息在警示系统里看不到，应同步到警示系统。</w:t>
      </w:r>
    </w:p>
    <w:p>
      <w:pPr>
        <w:pStyle w:val="3"/>
        <w:numPr>
          <w:ilvl w:val="0"/>
          <w:numId w:val="2"/>
        </w:numPr>
        <w:ind w:left="0" w:leftChars="0" w:firstLine="0" w:firstLineChars="0"/>
        <w:rPr>
          <w:rFonts w:hint="eastAsia"/>
          <w:lang w:val="en-US" w:eastAsia="zh-CN"/>
        </w:rPr>
      </w:pPr>
      <w:r>
        <w:rPr>
          <w:rFonts w:hint="eastAsia"/>
          <w:lang w:val="en-US" w:eastAsia="zh-CN"/>
        </w:rPr>
        <w:t>同样的，在警示系统里设置的重点监管对象、关注服务对象标识也应参照风险预警标识功能一样实现信息共享联动。</w:t>
      </w:r>
    </w:p>
    <w:p>
      <w:pPr>
        <w:pStyle w:val="3"/>
        <w:ind w:left="0" w:leftChars="0" w:firstLine="0" w:firstLineChars="0"/>
      </w:pPr>
      <w:r>
        <w:drawing>
          <wp:inline distT="0" distB="0" distL="114300" distR="114300">
            <wp:extent cx="5265420" cy="2451735"/>
            <wp:effectExtent l="0" t="0" r="190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65420" cy="245173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drawing>
          <wp:inline distT="0" distB="0" distL="114300" distR="114300">
            <wp:extent cx="5264150" cy="972820"/>
            <wp:effectExtent l="0" t="0" r="317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5264150" cy="97282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问题：</w:t>
      </w:r>
    </w:p>
    <w:p>
      <w:pPr>
        <w:pStyle w:val="3"/>
        <w:numPr>
          <w:ilvl w:val="0"/>
          <w:numId w:val="3"/>
        </w:numPr>
        <w:ind w:left="0" w:leftChars="0" w:firstLine="0" w:firstLineChars="0"/>
        <w:rPr>
          <w:rFonts w:hint="eastAsia"/>
          <w:lang w:val="en-US" w:eastAsia="zh-CN"/>
        </w:rPr>
      </w:pPr>
      <w:r>
        <w:rPr>
          <w:rFonts w:hint="eastAsia"/>
          <w:lang w:val="en-US" w:eastAsia="zh-CN"/>
        </w:rPr>
        <w:t>在协同系统里的风险预警信息里设置的预警信息，在警示系统和协同系统涉及展示企业信用标签信息的地方如综合查询功能，查询该企业详情页面里却没有显示相应的预警信息。同时这些预警信息要交换至准入系统。</w:t>
      </w:r>
    </w:p>
    <w:p>
      <w:pPr>
        <w:pStyle w:val="3"/>
        <w:numPr>
          <w:ilvl w:val="0"/>
          <w:numId w:val="3"/>
        </w:numPr>
        <w:ind w:left="0" w:leftChars="0" w:firstLine="0" w:firstLineChars="0"/>
        <w:rPr>
          <w:rFonts w:hint="eastAsia"/>
          <w:lang w:val="en-US" w:eastAsia="zh-CN"/>
        </w:rPr>
      </w:pPr>
      <w:r>
        <w:rPr>
          <w:rFonts w:hint="eastAsia"/>
          <w:lang w:val="en-US" w:eastAsia="zh-CN"/>
        </w:rPr>
        <w:t>警示系统里设置的预警信息在协同系统里看不到，应同步到协同系统。</w:t>
      </w:r>
    </w:p>
    <w:p>
      <w:pPr>
        <w:pStyle w:val="3"/>
        <w:numPr>
          <w:ilvl w:val="0"/>
          <w:numId w:val="3"/>
        </w:numPr>
        <w:ind w:left="0" w:leftChars="0" w:firstLine="0" w:firstLineChars="0"/>
      </w:pPr>
      <w:r>
        <w:rPr>
          <w:rFonts w:hint="eastAsia"/>
          <w:lang w:val="en-US" w:eastAsia="zh-CN"/>
        </w:rPr>
        <w:t>同样的，在协同系统里设置的重点监管对象、关注服务对象标识也应参照风险预警标识功能一样实现信息共享联动。</w:t>
      </w:r>
    </w:p>
    <w:p>
      <w:pPr>
        <w:pStyle w:val="5"/>
      </w:pPr>
      <w:r>
        <w:rPr>
          <w:rFonts w:hint="eastAsia"/>
          <w:lang w:val="en-US" w:eastAsia="zh-CN"/>
        </w:rPr>
        <w:t>行业列表排序问题</w:t>
      </w:r>
    </w:p>
    <w:p>
      <w:pPr>
        <w:pStyle w:val="3"/>
        <w:ind w:left="0" w:leftChars="0" w:firstLine="0" w:firstLineChars="0"/>
        <w:rPr>
          <w:rFonts w:hint="eastAsia"/>
          <w:lang w:val="en-US" w:eastAsia="zh-CN"/>
        </w:rPr>
      </w:pPr>
    </w:p>
    <w:p>
      <w:pPr>
        <w:pStyle w:val="3"/>
        <w:ind w:left="0" w:leftChars="0" w:firstLine="0" w:firstLineChars="0"/>
      </w:pPr>
      <w:r>
        <w:drawing>
          <wp:inline distT="0" distB="0" distL="114300" distR="114300">
            <wp:extent cx="4695190" cy="2842260"/>
            <wp:effectExtent l="0" t="0" r="63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4695190" cy="284226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问题：警示系统、协同系统里的查询条件“行业”的列表排序与工商业务系统标准不一致，请修正。</w:t>
      </w:r>
    </w:p>
    <w:p>
      <w:pPr>
        <w:pStyle w:val="5"/>
        <w:rPr>
          <w:rFonts w:hint="eastAsia"/>
          <w:lang w:val="en-US" w:eastAsia="zh-CN"/>
        </w:rPr>
      </w:pPr>
      <w:r>
        <w:rPr>
          <w:rFonts w:hint="eastAsia"/>
          <w:lang w:val="en-US" w:eastAsia="zh-CN"/>
        </w:rPr>
        <w:t>部门列表项缺少搜索功能</w:t>
      </w:r>
    </w:p>
    <w:p>
      <w:pPr>
        <w:pStyle w:val="3"/>
        <w:ind w:left="0" w:leftChars="0" w:firstLine="0" w:firstLineChars="0"/>
      </w:pPr>
      <w:r>
        <w:drawing>
          <wp:inline distT="0" distB="0" distL="114300" distR="114300">
            <wp:extent cx="3176905" cy="1047750"/>
            <wp:effectExtent l="0" t="0" r="4445"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9"/>
                    <a:stretch>
                      <a:fillRect/>
                    </a:stretch>
                  </pic:blipFill>
                  <pic:spPr>
                    <a:xfrm>
                      <a:off x="0" y="0"/>
                      <a:ext cx="3176905" cy="104775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ind w:left="0" w:leftChars="0" w:firstLine="0" w:firstLineChars="0"/>
        <w:rPr>
          <w:rFonts w:hint="eastAsia"/>
          <w:lang w:val="en-US" w:eastAsia="zh-CN"/>
        </w:rPr>
      </w:pPr>
      <w:r>
        <w:rPr>
          <w:rFonts w:hint="eastAsia"/>
          <w:lang w:val="en-US" w:eastAsia="zh-CN"/>
        </w:rPr>
        <w:t>所有涉及部门列表选项如登记机关、管辖单位、片区、乡镇、职能部门等查询条件的地方，都要增加“搜索”功能，方便属于关键字词进行检索。</w:t>
      </w:r>
    </w:p>
    <w:p>
      <w:pPr>
        <w:pStyle w:val="5"/>
        <w:rPr>
          <w:rFonts w:hint="eastAsia"/>
          <w:lang w:val="en-US" w:eastAsia="zh-CN"/>
        </w:rPr>
      </w:pPr>
      <w:r>
        <w:rPr>
          <w:rFonts w:hint="eastAsia"/>
          <w:lang w:val="en-US" w:eastAsia="zh-CN"/>
        </w:rPr>
        <w:t>全景综合查询功能改进</w:t>
      </w:r>
    </w:p>
    <w:p>
      <w:pPr>
        <w:pStyle w:val="3"/>
        <w:ind w:left="0" w:leftChars="0" w:firstLine="0" w:firstLineChars="0"/>
      </w:pPr>
      <w:r>
        <w:drawing>
          <wp:inline distT="0" distB="0" distL="114300" distR="114300">
            <wp:extent cx="5268595" cy="1885315"/>
            <wp:effectExtent l="0" t="0" r="8255" b="63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0"/>
                    <a:stretch>
                      <a:fillRect/>
                    </a:stretch>
                  </pic:blipFill>
                  <pic:spPr>
                    <a:xfrm>
                      <a:off x="0" y="0"/>
                      <a:ext cx="5268595" cy="188531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4"/>
        </w:numPr>
        <w:ind w:leftChars="0"/>
        <w:rPr>
          <w:rFonts w:hint="eastAsia"/>
          <w:lang w:val="en-US" w:eastAsia="zh-CN"/>
        </w:rPr>
      </w:pPr>
      <w:r>
        <w:rPr>
          <w:rFonts w:hint="eastAsia"/>
          <w:lang w:val="en-US" w:eastAsia="zh-CN"/>
        </w:rPr>
        <w:t>增加查询条件项“简易注销”：选项为全部、是、否，默认全部。</w:t>
      </w:r>
    </w:p>
    <w:p>
      <w:pPr>
        <w:pStyle w:val="3"/>
        <w:numPr>
          <w:ilvl w:val="0"/>
          <w:numId w:val="4"/>
        </w:numPr>
        <w:ind w:leftChars="0"/>
        <w:rPr>
          <w:rFonts w:hint="eastAsia"/>
          <w:lang w:val="en-US" w:eastAsia="zh-CN"/>
        </w:rPr>
      </w:pPr>
      <w:r>
        <w:rPr>
          <w:rFonts w:hint="eastAsia"/>
          <w:lang w:val="en-US" w:eastAsia="zh-CN"/>
        </w:rPr>
        <w:t>增加查询条件项“企业分类”：选项为内资企业、外资企业、私营企业、小微企业，可复选。（只有选择企业主体类别时，才能选择企业分类信息）</w:t>
      </w:r>
    </w:p>
    <w:p>
      <w:pPr>
        <w:pStyle w:val="3"/>
        <w:numPr>
          <w:ilvl w:val="0"/>
          <w:numId w:val="4"/>
        </w:numPr>
        <w:ind w:leftChars="0"/>
        <w:rPr>
          <w:rFonts w:hint="eastAsia"/>
          <w:lang w:val="en-US" w:eastAsia="zh-CN"/>
        </w:rPr>
      </w:pPr>
      <w:r>
        <w:rPr>
          <w:rFonts w:hint="eastAsia"/>
          <w:lang w:val="en-US" w:eastAsia="zh-CN"/>
        </w:rPr>
        <w:t>增加查询条件项“乡镇”，参照准入系统里的乡镇列表信息。</w:t>
      </w:r>
    </w:p>
    <w:p>
      <w:pPr>
        <w:pStyle w:val="3"/>
        <w:numPr>
          <w:ilvl w:val="0"/>
          <w:numId w:val="4"/>
        </w:numPr>
        <w:ind w:leftChars="0"/>
        <w:rPr>
          <w:rFonts w:hint="eastAsia"/>
          <w:lang w:val="en-US" w:eastAsia="zh-CN"/>
        </w:rPr>
      </w:pPr>
      <w:r>
        <w:rPr>
          <w:rFonts w:hint="eastAsia"/>
          <w:lang w:val="en-US" w:eastAsia="zh-CN"/>
        </w:rPr>
        <w:t>查询结果列表项“片区”后面增加“乡镇”信息显示。</w:t>
      </w:r>
    </w:p>
    <w:p>
      <w:pPr>
        <w:pStyle w:val="3"/>
        <w:numPr>
          <w:ilvl w:val="0"/>
          <w:numId w:val="4"/>
        </w:numPr>
        <w:ind w:leftChars="0"/>
        <w:rPr>
          <w:rFonts w:hint="eastAsia"/>
          <w:lang w:val="en-US" w:eastAsia="zh-CN"/>
        </w:rPr>
      </w:pPr>
      <w:r>
        <w:rPr>
          <w:rFonts w:hint="eastAsia"/>
          <w:lang w:val="en-US" w:eastAsia="zh-CN"/>
        </w:rPr>
        <w:t>查询条件“登记状态”由单选模式改为可复选模式，默认全部。同时增加“迁出中”状态项，即口袋企业。</w:t>
      </w:r>
    </w:p>
    <w:p>
      <w:pPr>
        <w:pStyle w:val="3"/>
        <w:numPr>
          <w:ilvl w:val="0"/>
          <w:numId w:val="4"/>
        </w:numPr>
        <w:ind w:leftChars="0"/>
        <w:rPr>
          <w:rFonts w:hint="eastAsia"/>
          <w:lang w:val="en-US" w:eastAsia="zh-CN"/>
        </w:rPr>
      </w:pPr>
      <w:r>
        <w:rPr>
          <w:rFonts w:hint="eastAsia"/>
          <w:lang w:val="en-US" w:eastAsia="zh-CN"/>
        </w:rPr>
        <w:t>查询条件请参照如下图示进行排放：</w:t>
      </w:r>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r>
        <w:drawing>
          <wp:inline distT="0" distB="0" distL="114300" distR="114300">
            <wp:extent cx="5281930" cy="1390015"/>
            <wp:effectExtent l="0" t="0" r="4445" b="63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11"/>
                    <a:stretch>
                      <a:fillRect/>
                    </a:stretch>
                  </pic:blipFill>
                  <pic:spPr>
                    <a:xfrm>
                      <a:off x="0" y="0"/>
                      <a:ext cx="5281930" cy="13900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年报综合查询-查询条件项改进</w:t>
      </w:r>
    </w:p>
    <w:p>
      <w:pPr>
        <w:pStyle w:val="3"/>
        <w:numPr>
          <w:numId w:val="0"/>
        </w:numPr>
        <w:ind w:leftChars="0"/>
      </w:pPr>
      <w:r>
        <w:drawing>
          <wp:inline distT="0" distB="0" distL="114300" distR="114300">
            <wp:extent cx="5264150" cy="2032635"/>
            <wp:effectExtent l="0" t="0" r="317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5264150" cy="2032635"/>
                    </a:xfrm>
                    <a:prstGeom prst="rect">
                      <a:avLst/>
                    </a:prstGeom>
                    <a:noFill/>
                    <a:ln w="9525">
                      <a:noFill/>
                    </a:ln>
                  </pic:spPr>
                </pic:pic>
              </a:graphicData>
            </a:graphic>
          </wp:inline>
        </w:drawing>
      </w:r>
    </w:p>
    <w:p>
      <w:pPr>
        <w:pStyle w:val="3"/>
        <w:numPr>
          <w:numId w:val="0"/>
        </w:numPr>
        <w:ind w:leftChars="0"/>
        <w:rPr>
          <w:rFonts w:hint="eastAsia"/>
          <w:lang w:val="en-US" w:eastAsia="zh-CN"/>
        </w:rPr>
      </w:pPr>
      <w:r>
        <w:rPr>
          <w:rFonts w:hint="eastAsia"/>
          <w:lang w:val="en-US" w:eastAsia="zh-CN"/>
        </w:rPr>
        <w:t>改进要求：</w:t>
      </w:r>
    </w:p>
    <w:p>
      <w:pPr>
        <w:pStyle w:val="3"/>
        <w:numPr>
          <w:ilvl w:val="0"/>
          <w:numId w:val="4"/>
        </w:numPr>
        <w:ind w:leftChars="0"/>
        <w:rPr>
          <w:rFonts w:hint="eastAsia"/>
          <w:lang w:val="en-US" w:eastAsia="zh-CN"/>
        </w:rPr>
      </w:pPr>
      <w:r>
        <w:rPr>
          <w:rFonts w:hint="eastAsia"/>
          <w:lang w:val="en-US" w:eastAsia="zh-CN"/>
        </w:rPr>
        <w:t>登记状态选项增加“迁出中”类状态，即口袋企业。默认存续。</w:t>
      </w:r>
    </w:p>
    <w:p>
      <w:pPr>
        <w:pStyle w:val="3"/>
        <w:numPr>
          <w:ilvl w:val="0"/>
          <w:numId w:val="4"/>
        </w:numPr>
        <w:ind w:leftChars="0"/>
        <w:rPr>
          <w:rFonts w:hint="eastAsia"/>
          <w:lang w:val="en-US" w:eastAsia="zh-CN"/>
        </w:rPr>
      </w:pPr>
      <w:r>
        <w:rPr>
          <w:rFonts w:hint="eastAsia"/>
          <w:lang w:val="en-US" w:eastAsia="zh-CN"/>
        </w:rPr>
        <w:t>增加查询条件项“简易注销”：选项为全部、是、否，默认全部。</w:t>
      </w:r>
    </w:p>
    <w:p>
      <w:pPr>
        <w:pStyle w:val="3"/>
        <w:numPr>
          <w:ilvl w:val="0"/>
          <w:numId w:val="4"/>
        </w:numPr>
        <w:ind w:leftChars="0"/>
        <w:rPr>
          <w:rFonts w:hint="eastAsia"/>
          <w:lang w:val="en-US" w:eastAsia="zh-CN"/>
        </w:rPr>
      </w:pPr>
      <w:r>
        <w:rPr>
          <w:rFonts w:hint="eastAsia"/>
          <w:lang w:val="en-US" w:eastAsia="zh-CN"/>
        </w:rPr>
        <w:t>增加查询条件项“企业分类”：选项为内资企业、外资企业、私营企业、小微企业，可复选。（只有选择企业主体类别时，才能选择企业分类信息）</w:t>
      </w:r>
    </w:p>
    <w:p>
      <w:pPr>
        <w:pStyle w:val="3"/>
        <w:numPr>
          <w:ilvl w:val="0"/>
          <w:numId w:val="4"/>
        </w:numPr>
        <w:ind w:leftChars="0"/>
        <w:rPr>
          <w:rFonts w:hint="eastAsia"/>
          <w:lang w:val="en-US" w:eastAsia="zh-CN"/>
        </w:rPr>
      </w:pPr>
      <w:r>
        <w:rPr>
          <w:rFonts w:hint="eastAsia"/>
          <w:lang w:val="en-US" w:eastAsia="zh-CN"/>
        </w:rPr>
        <w:t>改进查询条件项“列入异常名录”：选项为全部、是、否，默认全部；选择“是”则可复选对应选择主体类别的列入异常原因，如对应企业或农专社的列入原因项，可复选。</w:t>
      </w:r>
    </w:p>
    <w:p>
      <w:pPr>
        <w:pStyle w:val="3"/>
        <w:numPr>
          <w:ilvl w:val="0"/>
          <w:numId w:val="4"/>
        </w:numPr>
        <w:ind w:leftChars="0"/>
        <w:rPr>
          <w:rFonts w:hint="eastAsia"/>
          <w:lang w:val="en-US" w:eastAsia="zh-CN"/>
        </w:rPr>
      </w:pPr>
      <w:r>
        <w:rPr>
          <w:rFonts w:hint="eastAsia"/>
          <w:lang w:val="en-US" w:eastAsia="zh-CN"/>
        </w:rPr>
        <w:t>增加查询条件项“乡镇”，参照准入系统里的乡镇列表信息。</w:t>
      </w:r>
    </w:p>
    <w:p>
      <w:pPr>
        <w:pStyle w:val="3"/>
        <w:numPr>
          <w:ilvl w:val="0"/>
          <w:numId w:val="4"/>
        </w:numPr>
        <w:ind w:leftChars="0"/>
        <w:rPr>
          <w:rFonts w:hint="eastAsia"/>
          <w:lang w:val="en-US" w:eastAsia="zh-CN"/>
        </w:rPr>
      </w:pPr>
      <w:r>
        <w:rPr>
          <w:rFonts w:hint="eastAsia"/>
          <w:lang w:val="en-US" w:eastAsia="zh-CN"/>
        </w:rPr>
        <w:t>在查询结果统计列表“片区”项后面增加“乡镇”信息显示。</w:t>
      </w:r>
    </w:p>
    <w:p>
      <w:pPr>
        <w:pStyle w:val="3"/>
        <w:numPr>
          <w:ilvl w:val="0"/>
          <w:numId w:val="4"/>
        </w:numPr>
        <w:ind w:leftChars="0"/>
        <w:rPr>
          <w:rFonts w:hint="eastAsia"/>
          <w:lang w:val="en-US" w:eastAsia="zh-CN"/>
        </w:rPr>
      </w:pPr>
      <w:r>
        <w:rPr>
          <w:rFonts w:hint="eastAsia"/>
          <w:lang w:val="en-US" w:eastAsia="zh-CN"/>
        </w:rPr>
        <w:t>查询条件“年报状态”中的“已年报”应包含“已年报（逾期）”情况，目前是未包含，请修正此错误。</w:t>
      </w:r>
    </w:p>
    <w:p>
      <w:pPr>
        <w:pStyle w:val="3"/>
        <w:numPr>
          <w:ilvl w:val="0"/>
          <w:numId w:val="4"/>
        </w:numPr>
        <w:ind w:leftChars="0"/>
        <w:rPr>
          <w:rFonts w:hint="eastAsia"/>
          <w:lang w:val="en-US" w:eastAsia="zh-CN"/>
        </w:rPr>
      </w:pPr>
      <w:r>
        <w:rPr>
          <w:rFonts w:hint="eastAsia"/>
          <w:lang w:val="en-US" w:eastAsia="zh-CN"/>
        </w:rPr>
        <w:t>查询条件请参照如下图示进行排放：</w:t>
      </w:r>
    </w:p>
    <w:p>
      <w:pPr>
        <w:pStyle w:val="3"/>
        <w:numPr>
          <w:numId w:val="0"/>
        </w:numPr>
        <w:rPr>
          <w:rFonts w:hint="eastAsia"/>
          <w:lang w:val="en-US" w:eastAsia="zh-CN"/>
        </w:rPr>
      </w:pPr>
      <w:r>
        <w:drawing>
          <wp:inline distT="0" distB="0" distL="114300" distR="114300">
            <wp:extent cx="5401310" cy="1586230"/>
            <wp:effectExtent l="0" t="0" r="8890" b="44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3"/>
                    <a:stretch>
                      <a:fillRect/>
                    </a:stretch>
                  </pic:blipFill>
                  <pic:spPr>
                    <a:xfrm>
                      <a:off x="0" y="0"/>
                      <a:ext cx="5401310" cy="15862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异常名录记录查询改进</w:t>
      </w:r>
    </w:p>
    <w:p>
      <w:pPr>
        <w:pStyle w:val="3"/>
        <w:ind w:left="0" w:leftChars="0" w:firstLine="0" w:firstLineChars="0"/>
      </w:pPr>
      <w:r>
        <w:drawing>
          <wp:inline distT="0" distB="0" distL="114300" distR="114300">
            <wp:extent cx="5267325" cy="2383155"/>
            <wp:effectExtent l="0" t="0" r="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5267325" cy="238315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5"/>
        </w:numPr>
        <w:ind w:left="0" w:leftChars="0" w:firstLine="0" w:firstLineChars="0"/>
        <w:rPr>
          <w:rFonts w:hint="eastAsia"/>
          <w:lang w:val="en-US" w:eastAsia="zh-CN"/>
        </w:rPr>
      </w:pPr>
      <w:r>
        <w:rPr>
          <w:rFonts w:hint="eastAsia"/>
          <w:lang w:val="en-US" w:eastAsia="zh-CN"/>
        </w:rPr>
        <w:t>选择更正移出，选择具体的移出日期，查询不出信息。请修正此问题。</w:t>
      </w:r>
    </w:p>
    <w:p>
      <w:pPr>
        <w:pStyle w:val="3"/>
        <w:numPr>
          <w:ilvl w:val="0"/>
          <w:numId w:val="5"/>
        </w:numPr>
        <w:ind w:left="0" w:leftChars="0" w:firstLine="0" w:firstLineChars="0"/>
        <w:rPr>
          <w:rFonts w:hint="eastAsia"/>
          <w:lang w:val="en-US" w:eastAsia="zh-CN"/>
        </w:rPr>
      </w:pPr>
      <w:r>
        <w:rPr>
          <w:rFonts w:hint="eastAsia"/>
          <w:lang w:val="en-US" w:eastAsia="zh-CN"/>
        </w:rPr>
        <w:t>查询条件“状态”改为“列入状态”。</w:t>
      </w:r>
    </w:p>
    <w:p>
      <w:pPr>
        <w:pStyle w:val="3"/>
        <w:numPr>
          <w:ilvl w:val="0"/>
          <w:numId w:val="5"/>
        </w:numPr>
        <w:ind w:left="0" w:leftChars="0" w:firstLine="0" w:firstLineChars="0"/>
        <w:rPr>
          <w:rFonts w:hint="eastAsia"/>
          <w:lang w:val="en-US" w:eastAsia="zh-CN"/>
        </w:rPr>
      </w:pPr>
      <w:r>
        <w:rPr>
          <w:rFonts w:hint="eastAsia"/>
          <w:lang w:val="en-US" w:eastAsia="zh-CN"/>
        </w:rPr>
        <w:t>查询条件“登记状态”：增加“迁出中”，并支持复选，默认全部。</w:t>
      </w:r>
    </w:p>
    <w:p>
      <w:pPr>
        <w:pStyle w:val="3"/>
        <w:numPr>
          <w:ilvl w:val="0"/>
          <w:numId w:val="5"/>
        </w:numPr>
        <w:ind w:left="0" w:leftChars="0" w:firstLine="0" w:firstLineChars="0"/>
        <w:rPr>
          <w:rFonts w:hint="eastAsia"/>
          <w:lang w:val="en-US" w:eastAsia="zh-CN"/>
        </w:rPr>
      </w:pPr>
      <w:r>
        <w:rPr>
          <w:rFonts w:hint="eastAsia"/>
          <w:lang w:val="en-US" w:eastAsia="zh-CN"/>
        </w:rPr>
        <w:t>增加查询条件项“简易注销”：选项为全部、是、否，默认全部</w:t>
      </w:r>
    </w:p>
    <w:p>
      <w:pPr>
        <w:pStyle w:val="3"/>
        <w:numPr>
          <w:ilvl w:val="0"/>
          <w:numId w:val="5"/>
        </w:numPr>
        <w:ind w:left="0" w:leftChars="0" w:firstLine="0" w:firstLineChars="0"/>
        <w:rPr>
          <w:rFonts w:hint="eastAsia"/>
          <w:lang w:val="en-US" w:eastAsia="zh-CN"/>
        </w:rPr>
      </w:pPr>
      <w:r>
        <w:rPr>
          <w:rFonts w:hint="eastAsia"/>
          <w:lang w:val="en-US" w:eastAsia="zh-CN"/>
        </w:rPr>
        <w:t>增加查询条件项“企业分类”：选项为内资企业、外资企业、私营企业、小微企业，可复选。（只有选择企业主体类别时，才能选择企业分类信息）</w:t>
      </w:r>
    </w:p>
    <w:p>
      <w:pPr>
        <w:pStyle w:val="3"/>
        <w:numPr>
          <w:ilvl w:val="0"/>
          <w:numId w:val="5"/>
        </w:numPr>
        <w:ind w:left="0" w:leftChars="0" w:firstLine="0" w:firstLineChars="0"/>
        <w:rPr>
          <w:rFonts w:hint="eastAsia"/>
          <w:lang w:val="en-US" w:eastAsia="zh-CN"/>
        </w:rPr>
      </w:pPr>
      <w:r>
        <w:rPr>
          <w:rFonts w:hint="eastAsia"/>
          <w:lang w:val="en-US" w:eastAsia="zh-CN"/>
        </w:rPr>
        <w:t>增加查询条件项“个转企”：选项为全部、是、否，默认全部</w:t>
      </w:r>
    </w:p>
    <w:p>
      <w:pPr>
        <w:pStyle w:val="3"/>
        <w:numPr>
          <w:ilvl w:val="0"/>
          <w:numId w:val="5"/>
        </w:numPr>
        <w:ind w:left="0" w:leftChars="0" w:firstLine="0" w:firstLineChars="0"/>
        <w:rPr>
          <w:rFonts w:hint="eastAsia"/>
          <w:lang w:val="en-US" w:eastAsia="zh-CN"/>
        </w:rPr>
      </w:pPr>
      <w:r>
        <w:rPr>
          <w:rFonts w:hint="eastAsia"/>
          <w:lang w:val="en-US" w:eastAsia="zh-CN"/>
        </w:rPr>
        <w:t>增加查询条件“年报状态”：选项为全部、已年报、未年报，默认全部。</w:t>
      </w:r>
    </w:p>
    <w:p>
      <w:pPr>
        <w:pStyle w:val="3"/>
        <w:numPr>
          <w:ilvl w:val="0"/>
          <w:numId w:val="5"/>
        </w:numPr>
        <w:ind w:left="0" w:leftChars="0" w:firstLine="0" w:firstLineChars="0"/>
        <w:rPr>
          <w:rFonts w:hint="eastAsia"/>
          <w:lang w:val="en-US" w:eastAsia="zh-CN"/>
        </w:rPr>
      </w:pPr>
      <w:r>
        <w:rPr>
          <w:rFonts w:hint="eastAsia"/>
          <w:lang w:val="en-US" w:eastAsia="zh-CN"/>
        </w:rPr>
        <w:t>增加查询条件“行业”。请参照下图对查询条件项信息进行调整。</w:t>
      </w:r>
    </w:p>
    <w:p>
      <w:pPr>
        <w:pStyle w:val="3"/>
        <w:numPr>
          <w:numId w:val="0"/>
        </w:numPr>
        <w:ind w:leftChars="0"/>
        <w:rPr>
          <w:rFonts w:hint="eastAsia"/>
          <w:lang w:val="en-US" w:eastAsia="zh-CN"/>
        </w:rPr>
      </w:pPr>
      <w:r>
        <w:drawing>
          <wp:inline distT="0" distB="0" distL="114300" distR="114300">
            <wp:extent cx="4974590" cy="1585595"/>
            <wp:effectExtent l="0" t="0" r="6985" b="508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4974590" cy="1585595"/>
                    </a:xfrm>
                    <a:prstGeom prst="rect">
                      <a:avLst/>
                    </a:prstGeom>
                    <a:noFill/>
                    <a:ln w="9525">
                      <a:noFill/>
                    </a:ln>
                  </pic:spPr>
                </pic:pic>
              </a:graphicData>
            </a:graphic>
          </wp:inline>
        </w:drawing>
      </w:r>
    </w:p>
    <w:p>
      <w:pPr>
        <w:pStyle w:val="3"/>
        <w:numPr>
          <w:ilvl w:val="0"/>
          <w:numId w:val="5"/>
        </w:numPr>
        <w:ind w:left="0" w:leftChars="0" w:firstLine="0" w:firstLineChars="0"/>
        <w:rPr>
          <w:rFonts w:hint="eastAsia"/>
          <w:lang w:val="en-US" w:eastAsia="zh-CN"/>
        </w:rPr>
      </w:pPr>
      <w:r>
        <w:rPr>
          <w:rFonts w:hint="eastAsia"/>
          <w:lang w:val="en-US" w:eastAsia="zh-CN"/>
        </w:rPr>
        <w:t>查询结果列表应按照最新的列入日期（未移出的）或移出日期（已移出的）排前</w:t>
      </w:r>
    </w:p>
    <w:p>
      <w:pPr>
        <w:pStyle w:val="3"/>
        <w:numPr>
          <w:ilvl w:val="0"/>
          <w:numId w:val="5"/>
        </w:numPr>
        <w:ind w:left="0" w:leftChars="0" w:firstLine="0" w:firstLineChars="0"/>
        <w:rPr>
          <w:rFonts w:hint="eastAsia"/>
          <w:lang w:val="en-US" w:eastAsia="zh-CN"/>
        </w:rPr>
      </w:pPr>
      <w:r>
        <w:rPr>
          <w:rFonts w:hint="eastAsia"/>
          <w:lang w:val="en-US" w:eastAsia="zh-CN"/>
        </w:rPr>
        <w:t>更正移出情况的，查看“详情”内容缺少移出信息内容显示，应参照正常移出情况的详情信息展示移出文号、移出原因等内容。如下图所示：</w:t>
      </w:r>
    </w:p>
    <w:p>
      <w:pPr>
        <w:pStyle w:val="3"/>
        <w:numPr>
          <w:numId w:val="0"/>
        </w:numPr>
        <w:ind w:leftChars="0"/>
        <w:rPr>
          <w:rFonts w:hint="eastAsia" w:eastAsiaTheme="minorEastAsia"/>
          <w:lang w:val="en-US" w:eastAsia="zh-CN"/>
        </w:rPr>
      </w:pPr>
      <w:r>
        <w:rPr>
          <w:rFonts w:ascii="宋体" w:hAnsi="宋体" w:eastAsia="宋体" w:cs="宋体"/>
          <w:kern w:val="0"/>
          <w:sz w:val="24"/>
          <w:szCs w:val="24"/>
          <w:lang w:val="en-US" w:eastAsia="zh-CN" w:bidi="ar"/>
        </w:rPr>
        <w:drawing>
          <wp:inline distT="0" distB="0" distL="114300" distR="114300">
            <wp:extent cx="4858385" cy="3243580"/>
            <wp:effectExtent l="0" t="0" r="8890" b="4445"/>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6"/>
                    <a:stretch>
                      <a:fillRect/>
                    </a:stretch>
                  </pic:blipFill>
                  <pic:spPr>
                    <a:xfrm>
                      <a:off x="0" y="0"/>
                      <a:ext cx="4858385" cy="3243580"/>
                    </a:xfrm>
                    <a:prstGeom prst="rect">
                      <a:avLst/>
                    </a:prstGeom>
                    <a:noFill/>
                    <a:ln w="9525">
                      <a:noFill/>
                    </a:ln>
                  </pic:spPr>
                </pic:pic>
              </a:graphicData>
            </a:graphic>
          </wp:inline>
        </w:drawing>
      </w:r>
    </w:p>
    <w:p>
      <w:pPr>
        <w:pStyle w:val="5"/>
      </w:pPr>
      <w:r>
        <w:rPr>
          <w:rFonts w:hint="eastAsia"/>
          <w:lang w:val="en-US" w:eastAsia="zh-CN"/>
        </w:rPr>
        <w:t>综合抽查结果统计功能改进</w:t>
      </w:r>
    </w:p>
    <w:p>
      <w:pPr>
        <w:pStyle w:val="3"/>
      </w:pPr>
    </w:p>
    <w:p>
      <w:pPr>
        <w:pStyle w:val="3"/>
        <w:ind w:left="0" w:leftChars="0" w:firstLine="0" w:firstLineChars="0"/>
      </w:pPr>
      <w:r>
        <w:drawing>
          <wp:inline distT="0" distB="0" distL="114300" distR="114300">
            <wp:extent cx="5273675" cy="1972945"/>
            <wp:effectExtent l="0" t="0" r="3175" b="825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7"/>
                    <a:stretch>
                      <a:fillRect/>
                    </a:stretch>
                  </pic:blipFill>
                  <pic:spPr>
                    <a:xfrm>
                      <a:off x="0" y="0"/>
                      <a:ext cx="5273675" cy="197294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6"/>
        </w:numPr>
        <w:ind w:left="0" w:leftChars="0" w:firstLine="0" w:firstLineChars="0"/>
        <w:rPr>
          <w:rFonts w:hint="eastAsia"/>
          <w:lang w:val="en-US" w:eastAsia="zh-CN"/>
        </w:rPr>
      </w:pPr>
      <w:r>
        <w:rPr>
          <w:rFonts w:hint="eastAsia"/>
          <w:lang w:val="en-US" w:eastAsia="zh-CN"/>
        </w:rPr>
        <w:t>增加统计条件项“统计任务”：选项为人员所属部门涉及的各项抽查任务列表，单选，默认全部，任务信息显示编号+名称</w:t>
      </w:r>
    </w:p>
    <w:p>
      <w:pPr>
        <w:pStyle w:val="3"/>
        <w:numPr>
          <w:ilvl w:val="0"/>
          <w:numId w:val="6"/>
        </w:numPr>
        <w:ind w:left="0" w:leftChars="0" w:firstLine="0" w:firstLineChars="0"/>
        <w:rPr>
          <w:rFonts w:hint="eastAsia"/>
          <w:lang w:val="en-US" w:eastAsia="zh-CN"/>
        </w:rPr>
      </w:pPr>
      <w:r>
        <w:rPr>
          <w:rFonts w:hint="eastAsia"/>
          <w:lang w:val="en-US" w:eastAsia="zh-CN"/>
        </w:rPr>
        <w:t>去掉原来的“统计截止日期”，改为“统计日期”，默认“按月度”</w:t>
      </w:r>
    </w:p>
    <w:p>
      <w:pPr>
        <w:pStyle w:val="3"/>
        <w:ind w:left="0" w:leftChars="0" w:firstLine="0" w:firstLineChars="0"/>
      </w:pPr>
      <w:r>
        <w:drawing>
          <wp:inline distT="0" distB="0" distL="114300" distR="114300">
            <wp:extent cx="5269230" cy="774065"/>
            <wp:effectExtent l="0" t="0" r="7620" b="698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8"/>
                    <a:stretch>
                      <a:fillRect/>
                    </a:stretch>
                  </pic:blipFill>
                  <pic:spPr>
                    <a:xfrm>
                      <a:off x="0" y="0"/>
                      <a:ext cx="5269230" cy="774065"/>
                    </a:xfrm>
                    <a:prstGeom prst="rect">
                      <a:avLst/>
                    </a:prstGeom>
                    <a:noFill/>
                    <a:ln w="9525">
                      <a:noFill/>
                    </a:ln>
                  </pic:spPr>
                </pic:pic>
              </a:graphicData>
            </a:graphic>
          </wp:inline>
        </w:drawing>
      </w:r>
    </w:p>
    <w:p>
      <w:pPr>
        <w:pStyle w:val="3"/>
        <w:ind w:left="0" w:leftChars="0" w:firstLine="0" w:firstLineChars="0"/>
        <w:rPr>
          <w:rFonts w:hint="eastAsia" w:eastAsiaTheme="minorEastAsia"/>
          <w:lang w:val="en-US" w:eastAsia="zh-CN"/>
        </w:rPr>
      </w:pPr>
      <w:r>
        <w:rPr>
          <w:rFonts w:hint="eastAsia"/>
          <w:lang w:val="en-US" w:eastAsia="zh-CN"/>
        </w:rPr>
        <w:t>选择“统计日期”为“自定义”时，显示</w:t>
      </w:r>
      <w:r>
        <w:drawing>
          <wp:inline distT="0" distB="0" distL="114300" distR="114300">
            <wp:extent cx="2245995" cy="151765"/>
            <wp:effectExtent l="0" t="0" r="1905" b="63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2245995" cy="15176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统计截止日期只能最多选到昨天。</w:t>
      </w:r>
    </w:p>
    <w:p>
      <w:pPr>
        <w:pStyle w:val="3"/>
        <w:numPr>
          <w:ilvl w:val="0"/>
          <w:numId w:val="6"/>
        </w:numPr>
        <w:ind w:left="0" w:leftChars="0" w:firstLine="0" w:firstLineChars="0"/>
        <w:rPr>
          <w:rFonts w:hint="eastAsia"/>
          <w:lang w:val="en-US" w:eastAsia="zh-CN"/>
        </w:rPr>
      </w:pPr>
      <w:r>
        <w:rPr>
          <w:rFonts w:hint="eastAsia"/>
          <w:lang w:val="en-US" w:eastAsia="zh-CN"/>
        </w:rPr>
        <w:t>统计结果“已检查数”栏调整为“未录入、录入中、已公示”，其中“录入中”包含待审核和审核不通过两类情况。</w:t>
      </w:r>
    </w:p>
    <w:p>
      <w:pPr>
        <w:pStyle w:val="28"/>
        <w:keepNext w:val="0"/>
        <w:keepLines w:val="0"/>
        <w:widowControl/>
        <w:numPr>
          <w:ilvl w:val="0"/>
          <w:numId w:val="6"/>
        </w:numPr>
        <w:suppressLineNumbers w:val="0"/>
        <w:spacing w:before="0" w:beforeAutospacing="1" w:after="0" w:afterAutospacing="1"/>
        <w:ind w:left="0" w:leftChars="0" w:right="0" w:firstLine="0" w:firstLineChars="0"/>
      </w:pPr>
      <w:r>
        <w:rPr>
          <w:rFonts w:hint="eastAsia"/>
          <w:lang w:val="en-US" w:eastAsia="zh-CN"/>
        </w:rPr>
        <w:t>提示语修改如下：</w:t>
      </w:r>
    </w:p>
    <w:p>
      <w:pPr>
        <w:pStyle w:val="28"/>
        <w:keepNext w:val="0"/>
        <w:keepLines w:val="0"/>
        <w:widowControl/>
        <w:numPr>
          <w:numId w:val="0"/>
        </w:numPr>
        <w:suppressLineNumbers w:val="0"/>
        <w:spacing w:before="0" w:beforeAutospacing="1" w:after="0" w:afterAutospacing="1"/>
        <w:ind w:right="0" w:rightChars="0"/>
      </w:pPr>
      <w:r>
        <w:t>数据说明： 1、“应检查数”指抽查任务中涉及本部门检查事项的检查名单数量；“</w:t>
      </w:r>
      <w:r>
        <w:rPr>
          <w:rFonts w:hint="eastAsia"/>
          <w:lang w:val="en-US" w:eastAsia="zh-CN"/>
        </w:rPr>
        <w:t>录入中</w:t>
      </w:r>
      <w:r>
        <w:t>”</w:t>
      </w:r>
      <w:r>
        <w:rPr>
          <w:rFonts w:hint="eastAsia"/>
          <w:lang w:val="en-US" w:eastAsia="zh-CN"/>
        </w:rPr>
        <w:t>指含已录入的检查结果信息等待审核或审核不通过情况</w:t>
      </w:r>
      <w:r>
        <w:t>；“完结数”指已检查数中后续处置措施已执行完结的数量。 2、“完成率” = 已</w:t>
      </w:r>
      <w:r>
        <w:rPr>
          <w:rFonts w:hint="eastAsia"/>
          <w:lang w:val="en-US" w:eastAsia="zh-CN"/>
        </w:rPr>
        <w:t>公示数</w:t>
      </w:r>
      <w:r>
        <w:t xml:space="preserve"> / 应检查数；“完结率” = 完结数 / 已</w:t>
      </w:r>
      <w:r>
        <w:rPr>
          <w:rFonts w:hint="eastAsia"/>
          <w:lang w:val="en-US" w:eastAsia="zh-CN"/>
        </w:rPr>
        <w:t>公示</w:t>
      </w:r>
      <w:r>
        <w:t>数。</w:t>
      </w:r>
    </w:p>
    <w:p>
      <w:pPr>
        <w:pStyle w:val="28"/>
        <w:keepNext w:val="0"/>
        <w:keepLines w:val="0"/>
        <w:widowControl/>
        <w:numPr>
          <w:numId w:val="0"/>
        </w:numPr>
        <w:suppressLineNumbers w:val="0"/>
        <w:spacing w:before="0" w:beforeAutospacing="1" w:after="0" w:afterAutospacing="1"/>
        <w:ind w:right="0" w:righ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5、统计结果列表按照完整的部门数量展示，如杭州市局涉及登记机关有17个局，则不管这17个局是否涉及抽查任务，都要显示出来。</w:t>
      </w:r>
    </w:p>
    <w:p>
      <w:pPr>
        <w:pStyle w:val="28"/>
        <w:keepNext w:val="0"/>
        <w:keepLines w:val="0"/>
        <w:widowControl/>
        <w:numPr>
          <w:numId w:val="0"/>
        </w:numPr>
        <w:suppressLineNumbers w:val="0"/>
        <w:spacing w:before="0" w:beforeAutospacing="1" w:after="0" w:afterAutospacing="1"/>
        <w:ind w:right="0" w:rightChars="0"/>
        <w:rPr>
          <w:rFonts w:hint="eastAsia"/>
          <w:lang w:val="en-US" w:eastAsia="zh-CN"/>
        </w:rPr>
      </w:pPr>
    </w:p>
    <w:p>
      <w:pPr>
        <w:pStyle w:val="3"/>
        <w:numPr>
          <w:numId w:val="0"/>
        </w:numPr>
        <w:ind w:leftChars="0"/>
        <w:rPr>
          <w:rFonts w:hint="eastAsia"/>
          <w:lang w:val="en-US" w:eastAsia="zh-CN"/>
        </w:rPr>
      </w:pPr>
    </w:p>
    <w:p>
      <w:pPr>
        <w:keepNext w:val="0"/>
        <w:keepLines w:val="0"/>
        <w:widowControl/>
        <w:suppressLineNumbers w:val="0"/>
        <w:jc w:val="left"/>
      </w:pPr>
    </w:p>
    <w:p>
      <w:pPr>
        <w:pStyle w:val="3"/>
        <w:ind w:left="0" w:leftChars="0" w:firstLine="0" w:firstLineChars="0"/>
      </w:pPr>
    </w:p>
    <w:p>
      <w:pPr>
        <w:pStyle w:val="3"/>
        <w:ind w:left="0" w:leftChars="0" w:firstLine="0" w:firstLineChars="0"/>
      </w:pPr>
    </w:p>
    <w:p>
      <w:pPr>
        <w:pStyle w:val="3"/>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swiss"/>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type Corsiva">
    <w:altName w:val="Mongolian Baiti"/>
    <w:panose1 w:val="03010101010201010101"/>
    <w:charset w:val="00"/>
    <w:family w:val="script"/>
    <w:pitch w:val="default"/>
    <w:sig w:usb0="00000000" w:usb1="00000000" w:usb2="00000000" w:usb3="00000000" w:csb0="2000009F" w:csb1="DFD70000"/>
  </w:font>
  <w:font w:name="Franklin Gothic Book">
    <w:altName w:val="Yu Gothic UI"/>
    <w:panose1 w:val="020B0503020102020204"/>
    <w:charset w:val="00"/>
    <w:family w:val="roman"/>
    <w:pitch w:val="default"/>
    <w:sig w:usb0="00000000" w:usb1="00000000" w:usb2="00000000" w:usb3="00000000" w:csb0="2000009F" w:csb1="DFD70000"/>
  </w:font>
  <w:font w:name="华文细黑">
    <w:altName w:val="微软雅黑"/>
    <w:panose1 w:val="02010600040101010101"/>
    <w:charset w:val="86"/>
    <w:family w:val="auto"/>
    <w:pitch w:val="default"/>
    <w:sig w:usb0="00000000" w:usb1="00000000" w:usb2="00000000" w:usb3="00000000" w:csb0="0004009F" w:csb1="DFD70000"/>
  </w:font>
  <w:font w:name="Perpetua">
    <w:altName w:val="PMingLiU-ExtB"/>
    <w:panose1 w:val="02020502060401020303"/>
    <w:charset w:val="00"/>
    <w:family w:val="swiss"/>
    <w:pitch w:val="default"/>
    <w:sig w:usb0="00000000" w:usb1="00000000" w:usb2="00000000" w:usb3="00000000" w:csb0="20000001" w:csb1="00000000"/>
  </w:font>
  <w:font w:name="Arial">
    <w:panose1 w:val="020B0604020202020204"/>
    <w:charset w:val="00"/>
    <w:family w:val="swiss"/>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PMingLiU-ExtB">
    <w:panose1 w:val="02020500000000000000"/>
    <w:charset w:val="88"/>
    <w:family w:val="auto"/>
    <w:pitch w:val="default"/>
    <w:sig w:usb0="8000002F" w:usb1="02000008" w:usb2="00000000" w:usb3="00000000" w:csb0="00100001" w:csb1="00000000"/>
  </w:font>
  <w:font w:name="隶书">
    <w:altName w:val="微软雅黑"/>
    <w:panose1 w:val="02010509060101010101"/>
    <w:charset w:val="86"/>
    <w:family w:val="modern"/>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603F01FF" w:csb1="FFFF0000"/>
  </w:font>
  <w:font w:name="Century">
    <w:panose1 w:val="02040604050505020304"/>
    <w:charset w:val="00"/>
    <w:family w:val="roman"/>
    <w:pitch w:val="default"/>
    <w:sig w:usb0="00000287" w:usb1="00000000" w:usb2="00000000" w:usb3="00000000" w:csb0="2000009F" w:csb1="DFD70000"/>
  </w:font>
  <w:font w:name="Book Antiqua">
    <w:altName w:val="Segoe Print"/>
    <w:panose1 w:val="02040602050305030304"/>
    <w:charset w:val="00"/>
    <w:family w:val="roman"/>
    <w:pitch w:val="default"/>
    <w:sig w:usb0="00000000" w:usb1="00000000" w:usb2="00000000" w:usb3="00000000" w:csb0="2000009F" w:csb1="DFD70000"/>
  </w:font>
  <w:font w:name="等线">
    <w:panose1 w:val="02010600030101010101"/>
    <w:charset w:val="86"/>
    <w:family w:val="auto"/>
    <w:pitch w:val="default"/>
    <w:sig w:usb0="A00002BF" w:usb1="38CF7CFA" w:usb2="00000016" w:usb3="00000000" w:csb0="0004000F" w:csb1="00000000"/>
  </w:font>
  <w:font w:name="Latha">
    <w:altName w:val="Segoe Print"/>
    <w:panose1 w:val="020B0604020202020204"/>
    <w:charset w:val="00"/>
    <w:family w:val="swiss"/>
    <w:pitch w:val="default"/>
    <w:sig w:usb0="00000000" w:usb1="00000000" w:usb2="00000000" w:usb3="00000000" w:csb0="00000001" w:csb1="00000000"/>
  </w:font>
  <w:font w:name="华文行楷">
    <w:altName w:val="微软雅黑"/>
    <w:panose1 w:val="02010800040101010101"/>
    <w:charset w:val="86"/>
    <w:family w:val="auto"/>
    <w:pitch w:val="default"/>
    <w:sig w:usb0="00000000" w:usb1="00000000" w:usb2="00000000" w:usb3="00000000" w:csb0="00040000" w:csb1="00000000"/>
  </w:font>
  <w:font w:name="Century Schoolbook">
    <w:altName w:val="Segoe Print"/>
    <w:panose1 w:val="02040604050505020304"/>
    <w:charset w:val="00"/>
    <w:family w:val="roman"/>
    <w:pitch w:val="default"/>
    <w:sig w:usb0="00000000" w:usb1="00000000" w:usb2="00000000" w:usb3="00000000" w:csb0="2000009F" w:csb1="DFD70000"/>
  </w:font>
  <w:font w:name="Arial Narrow">
    <w:altName w:val="Arial"/>
    <w:panose1 w:val="020B0606020202030204"/>
    <w:charset w:val="00"/>
    <w:family w:val="swiss"/>
    <w:pitch w:val="default"/>
    <w:sig w:usb0="00000000" w:usb1="00000000" w:usb2="00000000" w:usb3="00000000" w:csb0="2000009F" w:csb1="DFD70000"/>
  </w:font>
  <w:font w:name="Garamond">
    <w:altName w:val="PMingLiU-ExtB"/>
    <w:panose1 w:val="02020404030301010803"/>
    <w:charset w:val="00"/>
    <w:family w:val="roman"/>
    <w:pitch w:val="default"/>
    <w:sig w:usb0="00000000" w:usb1="00000000" w:usb2="00000000" w:usb3="00000000" w:csb0="0000009F" w:csb1="DFD70000"/>
  </w:font>
  <w:font w:name="华文中宋">
    <w:altName w:val="宋体"/>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modern"/>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Futura Lt">
    <w:altName w:val="Arial"/>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hruti">
    <w:altName w:val="Sitka Text"/>
    <w:panose1 w:val="020005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
    <w:altName w:val="Times New Roman"/>
    <w:panose1 w:val="00000000000000000000"/>
    <w:charset w:val="00"/>
    <w:family w:val="decorative"/>
    <w:pitch w:val="default"/>
    <w:sig w:usb0="00000000" w:usb1="00000000" w:usb2="00000000" w:usb3="00000000" w:csb0="00000001" w:csb1="00000000"/>
  </w:font>
  <w:font w:name="宋体-PUA">
    <w:altName w:val="宋体"/>
    <w:panose1 w:val="02010600030101010101"/>
    <w:charset w:val="86"/>
    <w:family w:val="auto"/>
    <w:pitch w:val="default"/>
    <w:sig w:usb0="00000000" w:usb1="00000000" w:usb2="00000000" w:usb3="00000000" w:csb0="00040000" w:csb1="00000000"/>
  </w:font>
  <w:font w:name="腾祥相思体简">
    <w:altName w:val="宋体"/>
    <w:panose1 w:val="01010104010101010101"/>
    <w:charset w:val="86"/>
    <w:family w:val="auto"/>
    <w:pitch w:val="default"/>
    <w:sig w:usb0="00000000" w:usb1="00000000" w:usb2="00000012" w:usb3="00000000" w:csb0="00040001" w:csb1="00000000"/>
  </w:font>
  <w:font w:name="腾祥嘉丽超细圆简">
    <w:altName w:val="宋体"/>
    <w:panose1 w:val="01010104010101010101"/>
    <w:charset w:val="86"/>
    <w:family w:val="auto"/>
    <w:pitch w:val="default"/>
    <w:sig w:usb0="00000000" w:usb1="00000000" w:usb2="00000012" w:usb3="00000000" w:csb0="00040001" w:csb1="00000000"/>
  </w:font>
  <w:font w:name="腾祥嘉丽细黑简">
    <w:altName w:val="黑体"/>
    <w:panose1 w:val="01010104010101010101"/>
    <w:charset w:val="86"/>
    <w:family w:val="auto"/>
    <w:pitch w:val="default"/>
    <w:sig w:usb0="00000000" w:usb1="00000000" w:usb2="00000012" w:usb3="00000000" w:csb0="00040001" w:csb1="00000000"/>
  </w:font>
  <w:font w:name="叶根友小细楷02">
    <w:altName w:val="宋体"/>
    <w:panose1 w:val="02010601030101010101"/>
    <w:charset w:val="86"/>
    <w:family w:val="auto"/>
    <w:pitch w:val="default"/>
    <w:sig w:usb0="00000000" w:usb1="00000000" w:usb2="00000000"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方正小标宋简体">
    <w:altName w:val="黑体"/>
    <w:panose1 w:val="02010601030101010101"/>
    <w:charset w:val="86"/>
    <w:family w:val="auto"/>
    <w:pitch w:val="default"/>
    <w:sig w:usb0="00000000" w:usb1="00000000" w:usb2="00000010" w:usb3="00000000" w:csb0="00040000" w:csb1="00000000"/>
  </w:font>
  <w:font w:name="方正大标宋简体">
    <w:altName w:val="宋体"/>
    <w:panose1 w:val="02010601030101010101"/>
    <w:charset w:val="86"/>
    <w:family w:val="auto"/>
    <w:pitch w:val="default"/>
    <w:sig w:usb0="00000000" w:usb1="00000000" w:usb2="00000010" w:usb3="00000000" w:csb0="00040000" w:csb1="00000000"/>
  </w:font>
  <w:font w:name="宋体-18030">
    <w:altName w:val="宋体"/>
    <w:panose1 w:val="00000000000000000000"/>
    <w:charset w:val="86"/>
    <w:family w:val="swiss"/>
    <w:pitch w:val="default"/>
    <w:sig w:usb0="00000000" w:usb1="00000000" w:usb2="00000010" w:usb3="00000000" w:csb0="00040000" w:csb1="00000000"/>
  </w:font>
  <w:font w:name="Times">
    <w:altName w:val="Times New Roman"/>
    <w:panose1 w:val="02020603050405020304"/>
    <w:charset w:val="00"/>
    <w:family w:val="modern"/>
    <w:pitch w:val="default"/>
    <w:sig w:usb0="00000000" w:usb1="00000000" w:usb2="00000000" w:usb3="00000000" w:csb0="00000001" w:csb1="00000000"/>
  </w:font>
  <w:font w:name="MS Mincho">
    <w:altName w:val="Yu Gothic UI"/>
    <w:panose1 w:val="02020609040205080304"/>
    <w:charset w:val="80"/>
    <w:family w:val="swiss"/>
    <w:pitch w:val="default"/>
    <w:sig w:usb0="00000000" w:usb1="00000000" w:usb2="00000010" w:usb3="00000000" w:csb0="4002009F" w:csb1="DFD70000"/>
  </w:font>
  <w:font w:name="方正兰亭黑简体">
    <w:altName w:val="黑体"/>
    <w:panose1 w:val="02000000000000000000"/>
    <w:charset w:val="86"/>
    <w:family w:val="auto"/>
    <w:pitch w:val="default"/>
    <w:sig w:usb0="00000000" w:usb1="00000000" w:usb2="00000000" w:usb3="00000000" w:csb0="00040000" w:csb1="00000000"/>
  </w:font>
  <w:font w:name="Sitka Text">
    <w:panose1 w:val="02000505000000020004"/>
    <w:charset w:val="00"/>
    <w:family w:val="auto"/>
    <w:pitch w:val="default"/>
    <w:sig w:usb0="A00002EF" w:usb1="4000204B" w:usb2="00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华文新魏">
    <w:altName w:val="宋体"/>
    <w:panose1 w:val="02010800040101010101"/>
    <w:charset w:val="86"/>
    <w:family w:val="auto"/>
    <w:pitch w:val="default"/>
    <w:sig w:usb0="00000000" w:usb1="00000000" w:usb2="0000000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宋体-方正超大字符集">
    <w:altName w:val="宋体"/>
    <w:panose1 w:val="03000509000000000000"/>
    <w:charset w:val="86"/>
    <w:family w:val="auto"/>
    <w:pitch w:val="default"/>
    <w:sig w:usb0="00000000" w:usb1="00000000" w:usb2="00000000" w:usb3="00000000" w:csb0="00040000" w:csb1="00000000"/>
  </w:font>
  <w:font w:name="微软雅黑 Regular">
    <w:altName w:val="黑体"/>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8CF3C50" w:usb2="00000016" w:usb3="00000000" w:csb0="0004001F"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Hiragino Sans GB">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71EC3"/>
    <w:multiLevelType w:val="multilevel"/>
    <w:tmpl w:val="27871EC3"/>
    <w:lvl w:ilvl="0" w:tentative="0">
      <w:start w:val="1"/>
      <w:numFmt w:val="chineseCountingThousand"/>
      <w:pStyle w:val="2"/>
      <w:lvlText w:val="%1."/>
      <w:lvlJc w:val="left"/>
      <w:pPr>
        <w:tabs>
          <w:tab w:val="left" w:pos="567"/>
        </w:tabs>
        <w:ind w:left="567" w:hanging="567"/>
      </w:pPr>
      <w:rPr>
        <w:rFonts w:hint="eastAsia" w:ascii="微软雅黑" w:hAnsi="微软雅黑" w:eastAsia="微软雅黑"/>
        <w:sz w:val="30"/>
      </w:rPr>
    </w:lvl>
    <w:lvl w:ilvl="1" w:tentative="0">
      <w:start w:val="1"/>
      <w:numFmt w:val="decimal"/>
      <w:pStyle w:val="5"/>
      <w:isLgl/>
      <w:lvlText w:val="%1.%2"/>
      <w:lvlJc w:val="left"/>
      <w:pPr>
        <w:tabs>
          <w:tab w:val="left" w:pos="567"/>
        </w:tabs>
        <w:ind w:left="567" w:hanging="567"/>
      </w:pPr>
      <w:rPr>
        <w:rFonts w:hint="default" w:ascii="Arial" w:hAnsi="Arial" w:eastAsia="微软雅黑" w:cs="Times New Roman"/>
        <w:i w:val="0"/>
        <w:iCs w:val="0"/>
        <w:caps w:val="0"/>
        <w:smallCaps w:val="0"/>
        <w:strike w:val="0"/>
        <w:dstrike w:val="0"/>
        <w:vanish w:val="0"/>
        <w:kern w:val="0"/>
        <w:position w:val="0"/>
        <w:u w:val="none"/>
        <w:vertAlign w:val="baseline"/>
      </w:rPr>
    </w:lvl>
    <w:lvl w:ilvl="2" w:tentative="0">
      <w:start w:val="1"/>
      <w:numFmt w:val="decimal"/>
      <w:pStyle w:val="6"/>
      <w:isLgl/>
      <w:lvlText w:val="%1.%2.%3"/>
      <w:lvlJc w:val="left"/>
      <w:pPr>
        <w:tabs>
          <w:tab w:val="left" w:pos="567"/>
        </w:tabs>
        <w:ind w:left="567" w:hanging="567"/>
      </w:pPr>
      <w:rPr>
        <w:rFonts w:hint="default" w:ascii="Arial" w:hAnsi="Arial" w:eastAsia="微软雅黑"/>
        <w:sz w:val="24"/>
      </w:rPr>
    </w:lvl>
    <w:lvl w:ilvl="3" w:tentative="0">
      <w:start w:val="1"/>
      <w:numFmt w:val="decimal"/>
      <w:isLgl/>
      <w:lvlText w:val="%1.%2.%3.%4"/>
      <w:lvlJc w:val="left"/>
      <w:pPr>
        <w:tabs>
          <w:tab w:val="left" w:pos="851"/>
        </w:tabs>
        <w:ind w:left="851" w:hanging="851"/>
      </w:pPr>
      <w:rPr>
        <w:rFonts w:hint="default" w:ascii="Arial" w:hAnsi="Arial" w:eastAsia="微软雅黑"/>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5965E181"/>
    <w:multiLevelType w:val="singleLevel"/>
    <w:tmpl w:val="5965E181"/>
    <w:lvl w:ilvl="0" w:tentative="0">
      <w:start w:val="1"/>
      <w:numFmt w:val="decimal"/>
      <w:suff w:val="nothing"/>
      <w:lvlText w:val="%1、"/>
      <w:lvlJc w:val="left"/>
    </w:lvl>
  </w:abstractNum>
  <w:abstractNum w:abstractNumId="2">
    <w:nsid w:val="5965E1BE"/>
    <w:multiLevelType w:val="singleLevel"/>
    <w:tmpl w:val="5965E1BE"/>
    <w:lvl w:ilvl="0" w:tentative="0">
      <w:start w:val="1"/>
      <w:numFmt w:val="decimal"/>
      <w:suff w:val="nothing"/>
      <w:lvlText w:val="%1、"/>
      <w:lvlJc w:val="left"/>
    </w:lvl>
  </w:abstractNum>
  <w:abstractNum w:abstractNumId="3">
    <w:nsid w:val="5965F853"/>
    <w:multiLevelType w:val="singleLevel"/>
    <w:tmpl w:val="5965F853"/>
    <w:lvl w:ilvl="0" w:tentative="0">
      <w:start w:val="1"/>
      <w:numFmt w:val="decimal"/>
      <w:suff w:val="nothing"/>
      <w:lvlText w:val="%1、"/>
      <w:lvlJc w:val="left"/>
    </w:lvl>
  </w:abstractNum>
  <w:abstractNum w:abstractNumId="4">
    <w:nsid w:val="5966DCED"/>
    <w:multiLevelType w:val="singleLevel"/>
    <w:tmpl w:val="5966DCED"/>
    <w:lvl w:ilvl="0" w:tentative="0">
      <w:start w:val="1"/>
      <w:numFmt w:val="decimal"/>
      <w:suff w:val="nothing"/>
      <w:lvlText w:val="%1、"/>
      <w:lvlJc w:val="left"/>
    </w:lvl>
  </w:abstractNum>
  <w:abstractNum w:abstractNumId="5">
    <w:nsid w:val="59673C1C"/>
    <w:multiLevelType w:val="singleLevel"/>
    <w:tmpl w:val="59673C1C"/>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4193"/>
    <w:rsid w:val="019A1B0D"/>
    <w:rsid w:val="01D808D2"/>
    <w:rsid w:val="029B6269"/>
    <w:rsid w:val="059B467B"/>
    <w:rsid w:val="07975D28"/>
    <w:rsid w:val="08D80646"/>
    <w:rsid w:val="09483DED"/>
    <w:rsid w:val="0ACA6A72"/>
    <w:rsid w:val="0FA24A8D"/>
    <w:rsid w:val="13A1699E"/>
    <w:rsid w:val="13F41F16"/>
    <w:rsid w:val="15112A68"/>
    <w:rsid w:val="151C393C"/>
    <w:rsid w:val="179A5A22"/>
    <w:rsid w:val="18DF4137"/>
    <w:rsid w:val="18E97A05"/>
    <w:rsid w:val="19804524"/>
    <w:rsid w:val="19EA6A65"/>
    <w:rsid w:val="1AC378A3"/>
    <w:rsid w:val="1C067873"/>
    <w:rsid w:val="1CDA78F5"/>
    <w:rsid w:val="1D906D77"/>
    <w:rsid w:val="1E0B7743"/>
    <w:rsid w:val="1F485137"/>
    <w:rsid w:val="219346D2"/>
    <w:rsid w:val="22FD702A"/>
    <w:rsid w:val="23CC5A10"/>
    <w:rsid w:val="23F7018E"/>
    <w:rsid w:val="243C5FA9"/>
    <w:rsid w:val="24D11FEA"/>
    <w:rsid w:val="24DA3ADC"/>
    <w:rsid w:val="25C42BE1"/>
    <w:rsid w:val="260F05EE"/>
    <w:rsid w:val="274B1893"/>
    <w:rsid w:val="29A022FB"/>
    <w:rsid w:val="29E22306"/>
    <w:rsid w:val="2AD770E9"/>
    <w:rsid w:val="2AFD3322"/>
    <w:rsid w:val="2D2521A1"/>
    <w:rsid w:val="2D2E651F"/>
    <w:rsid w:val="2D933923"/>
    <w:rsid w:val="30EC2B76"/>
    <w:rsid w:val="336C756B"/>
    <w:rsid w:val="33DD1112"/>
    <w:rsid w:val="351E18A4"/>
    <w:rsid w:val="357974D6"/>
    <w:rsid w:val="35931B7A"/>
    <w:rsid w:val="35ED27C9"/>
    <w:rsid w:val="3A2D634F"/>
    <w:rsid w:val="3A742B59"/>
    <w:rsid w:val="3B34156B"/>
    <w:rsid w:val="3B9F5A61"/>
    <w:rsid w:val="3C2014F3"/>
    <w:rsid w:val="3D4B0218"/>
    <w:rsid w:val="3ED522D9"/>
    <w:rsid w:val="3F7673A2"/>
    <w:rsid w:val="40087F64"/>
    <w:rsid w:val="40496104"/>
    <w:rsid w:val="40517461"/>
    <w:rsid w:val="407608AA"/>
    <w:rsid w:val="416445CD"/>
    <w:rsid w:val="41E26FF0"/>
    <w:rsid w:val="41FB2D47"/>
    <w:rsid w:val="42762EFF"/>
    <w:rsid w:val="432B5CA1"/>
    <w:rsid w:val="4361046C"/>
    <w:rsid w:val="44505684"/>
    <w:rsid w:val="44832196"/>
    <w:rsid w:val="450B6C6F"/>
    <w:rsid w:val="48860BC2"/>
    <w:rsid w:val="493D7E8A"/>
    <w:rsid w:val="49B931F0"/>
    <w:rsid w:val="49D94DE1"/>
    <w:rsid w:val="4B6E0D5C"/>
    <w:rsid w:val="4D576233"/>
    <w:rsid w:val="4E336B5C"/>
    <w:rsid w:val="540849A7"/>
    <w:rsid w:val="5457273C"/>
    <w:rsid w:val="55A7664E"/>
    <w:rsid w:val="56D43FD7"/>
    <w:rsid w:val="57AD5EFD"/>
    <w:rsid w:val="57C2492B"/>
    <w:rsid w:val="594D24DD"/>
    <w:rsid w:val="59584795"/>
    <w:rsid w:val="59A83981"/>
    <w:rsid w:val="5A331E09"/>
    <w:rsid w:val="5A384619"/>
    <w:rsid w:val="5BB43B19"/>
    <w:rsid w:val="5C0A6A1A"/>
    <w:rsid w:val="5C1A3189"/>
    <w:rsid w:val="5CE33C0E"/>
    <w:rsid w:val="5DFE0605"/>
    <w:rsid w:val="5E595036"/>
    <w:rsid w:val="5EDC1C28"/>
    <w:rsid w:val="5EE914F9"/>
    <w:rsid w:val="5EFD04E3"/>
    <w:rsid w:val="5F15420F"/>
    <w:rsid w:val="600622C6"/>
    <w:rsid w:val="60950139"/>
    <w:rsid w:val="60CB2AF7"/>
    <w:rsid w:val="61EC0426"/>
    <w:rsid w:val="630C7840"/>
    <w:rsid w:val="64D842E5"/>
    <w:rsid w:val="651A3272"/>
    <w:rsid w:val="66B7295C"/>
    <w:rsid w:val="67A26B6E"/>
    <w:rsid w:val="67DC1FA8"/>
    <w:rsid w:val="67E10BCC"/>
    <w:rsid w:val="67E13062"/>
    <w:rsid w:val="68131DBA"/>
    <w:rsid w:val="6A241429"/>
    <w:rsid w:val="6BA9058A"/>
    <w:rsid w:val="6E0B3BB1"/>
    <w:rsid w:val="6F957FC0"/>
    <w:rsid w:val="73CB3EB1"/>
    <w:rsid w:val="745845B5"/>
    <w:rsid w:val="76412436"/>
    <w:rsid w:val="77A752DA"/>
    <w:rsid w:val="78125AB2"/>
    <w:rsid w:val="78D24B42"/>
    <w:rsid w:val="798F5DD4"/>
    <w:rsid w:val="79A4421D"/>
    <w:rsid w:val="7B8D0F33"/>
    <w:rsid w:val="7D6A0A39"/>
    <w:rsid w:val="7DC937D8"/>
    <w:rsid w:val="7F5A280B"/>
    <w:rsid w:val="7F6107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numPr>
        <w:ilvl w:val="0"/>
        <w:numId w:val="1"/>
      </w:numPr>
      <w:spacing w:before="300" w:after="40"/>
      <w:ind w:left="0" w:firstLine="0"/>
      <w:outlineLvl w:val="0"/>
    </w:pPr>
    <w:rPr>
      <w:rFonts w:ascii="Franklin Gothic Book" w:hAnsi="Franklin Gothic Book"/>
      <w:b/>
      <w:bCs/>
      <w:color w:val="9C3511"/>
      <w:spacing w:val="20"/>
      <w:sz w:val="30"/>
      <w:szCs w:val="28"/>
    </w:rPr>
  </w:style>
  <w:style w:type="paragraph" w:styleId="5">
    <w:name w:val="heading 2"/>
    <w:basedOn w:val="1"/>
    <w:next w:val="3"/>
    <w:unhideWhenUsed/>
    <w:qFormat/>
    <w:uiPriority w:val="0"/>
    <w:pPr>
      <w:numPr>
        <w:ilvl w:val="1"/>
        <w:numId w:val="1"/>
      </w:numPr>
      <w:spacing w:before="240" w:after="40"/>
      <w:ind w:left="0" w:firstLine="0"/>
      <w:outlineLvl w:val="1"/>
    </w:pPr>
    <w:rPr>
      <w:rFonts w:ascii="Franklin Gothic Book" w:hAnsi="Franklin Gothic Book"/>
      <w:b/>
      <w:bCs/>
      <w:color w:val="9C3511"/>
      <w:spacing w:val="20"/>
      <w:sz w:val="28"/>
    </w:rPr>
  </w:style>
  <w:style w:type="paragraph" w:styleId="6">
    <w:name w:val="heading 3"/>
    <w:basedOn w:val="1"/>
    <w:next w:val="3"/>
    <w:unhideWhenUsed/>
    <w:qFormat/>
    <w:uiPriority w:val="0"/>
    <w:pPr>
      <w:numPr>
        <w:ilvl w:val="2"/>
        <w:numId w:val="1"/>
      </w:numPr>
      <w:spacing w:before="200" w:after="40"/>
      <w:ind w:left="0" w:firstLine="0"/>
      <w:outlineLvl w:val="2"/>
    </w:pPr>
    <w:rPr>
      <w:rFonts w:ascii="Franklin Gothic Book" w:hAnsi="Franklin Gothic Book"/>
      <w:b/>
      <w:bCs/>
      <w:color w:val="993300"/>
      <w:spacing w:val="20"/>
      <w:sz w:val="24"/>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3">
    <w:name w:val="Body Text First Indent"/>
    <w:basedOn w:val="4"/>
    <w:qFormat/>
    <w:uiPriority w:val="0"/>
    <w:pPr>
      <w:spacing w:after="160"/>
      <w:ind w:firstLine="250" w:firstLineChars="250"/>
    </w:pPr>
  </w:style>
  <w:style w:type="paragraph" w:styleId="4">
    <w:name w:val="Body Text"/>
    <w:basedOn w:val="1"/>
    <w:qFormat/>
    <w:uiPriority w:val="0"/>
    <w:pPr>
      <w:spacing w:after="120"/>
    </w:pPr>
  </w:style>
  <w:style w:type="paragraph" w:styleId="7">
    <w:name w:val="Normal (Web)"/>
    <w:basedOn w:val="1"/>
    <w:qFormat/>
    <w:uiPriority w:val="0"/>
    <w:rPr>
      <w:sz w:val="24"/>
    </w:rPr>
  </w:style>
  <w:style w:type="character" w:styleId="9">
    <w:name w:val="Strong"/>
    <w:basedOn w:val="8"/>
    <w:qFormat/>
    <w:uiPriority w:val="0"/>
    <w:rPr>
      <w:b/>
    </w:rPr>
  </w:style>
  <w:style w:type="character" w:styleId="10">
    <w:name w:val="FollowedHyperlink"/>
    <w:basedOn w:val="8"/>
    <w:qFormat/>
    <w:uiPriority w:val="0"/>
    <w:rPr>
      <w:color w:val="800080"/>
      <w:u w:val="none"/>
    </w:rPr>
  </w:style>
  <w:style w:type="character" w:styleId="11">
    <w:name w:val="HTML Typewriter"/>
    <w:basedOn w:val="8"/>
    <w:qFormat/>
    <w:uiPriority w:val="0"/>
    <w:rPr>
      <w:rFonts w:ascii="Courier New" w:hAnsi="Courier New"/>
      <w:sz w:val="20"/>
    </w:rPr>
  </w:style>
  <w:style w:type="character" w:styleId="12">
    <w:name w:val="Hyperlink"/>
    <w:basedOn w:val="8"/>
    <w:qFormat/>
    <w:uiPriority w:val="0"/>
    <w:rPr>
      <w:color w:val="0000FF"/>
      <w:u w:val="non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first-child"/>
    <w:basedOn w:val="8"/>
    <w:qFormat/>
    <w:uiPriority w:val="0"/>
  </w:style>
  <w:style w:type="character" w:customStyle="1" w:styleId="16">
    <w:name w:val="hover5"/>
    <w:basedOn w:val="8"/>
    <w:qFormat/>
    <w:uiPriority w:val="0"/>
    <w:rPr>
      <w:shd w:val="clear" w:fill="F3F3F3"/>
    </w:rPr>
  </w:style>
  <w:style w:type="character" w:customStyle="1" w:styleId="17">
    <w:name w:val="hover6"/>
    <w:basedOn w:val="8"/>
    <w:qFormat/>
    <w:uiPriority w:val="0"/>
    <w:rPr>
      <w:sz w:val="10"/>
      <w:szCs w:val="10"/>
    </w:rPr>
  </w:style>
  <w:style w:type="character" w:customStyle="1" w:styleId="18">
    <w:name w:val="hover7"/>
    <w:basedOn w:val="8"/>
    <w:qFormat/>
    <w:uiPriority w:val="0"/>
    <w:rPr>
      <w:shd w:val="clear" w:fill="F3F3F3"/>
    </w:rPr>
  </w:style>
  <w:style w:type="character" w:customStyle="1" w:styleId="19">
    <w:name w:val="layui-layer-tabnow"/>
    <w:basedOn w:val="8"/>
    <w:qFormat/>
    <w:uiPriority w:val="0"/>
    <w:rPr>
      <w:bdr w:val="single" w:color="CCCCCC" w:sz="2" w:space="0"/>
      <w:shd w:val="clear" w:fill="FFFFFF"/>
    </w:rPr>
  </w:style>
  <w:style w:type="character" w:customStyle="1" w:styleId="20">
    <w:name w:val="hover11"/>
    <w:basedOn w:val="8"/>
    <w:qFormat/>
    <w:uiPriority w:val="0"/>
    <w:rPr>
      <w:color w:val="FFFFFF"/>
      <w:shd w:val="clear" w:fill="D2AA64"/>
    </w:rPr>
  </w:style>
  <w:style w:type="character" w:customStyle="1" w:styleId="21">
    <w:name w:val="hover12"/>
    <w:basedOn w:val="8"/>
    <w:qFormat/>
    <w:uiPriority w:val="0"/>
    <w:rPr>
      <w:shd w:val="clear" w:fill="F3F3F3"/>
    </w:rPr>
  </w:style>
  <w:style w:type="character" w:customStyle="1" w:styleId="22">
    <w:name w:val="hover13"/>
    <w:basedOn w:val="8"/>
    <w:qFormat/>
    <w:uiPriority w:val="0"/>
    <w:rPr>
      <w:sz w:val="10"/>
      <w:szCs w:val="10"/>
    </w:rPr>
  </w:style>
  <w:style w:type="character" w:customStyle="1" w:styleId="23">
    <w:name w:val="hover14"/>
    <w:basedOn w:val="8"/>
    <w:qFormat/>
    <w:uiPriority w:val="0"/>
    <w:rPr>
      <w:shd w:val="clear" w:fill="F3F3F3"/>
    </w:rPr>
  </w:style>
  <w:style w:type="character" w:customStyle="1" w:styleId="24">
    <w:name w:val="current3"/>
    <w:basedOn w:val="8"/>
    <w:qFormat/>
    <w:uiPriority w:val="0"/>
    <w:rPr>
      <w:color w:val="FFFFFF"/>
      <w:shd w:val="clear" w:fill="D2AA64"/>
    </w:rPr>
  </w:style>
  <w:style w:type="character" w:customStyle="1" w:styleId="25">
    <w:name w:val="first-child1"/>
    <w:basedOn w:val="8"/>
    <w:qFormat/>
    <w:uiPriority w:val="0"/>
  </w:style>
  <w:style w:type="character" w:customStyle="1" w:styleId="26">
    <w:name w:val="first-child2"/>
    <w:basedOn w:val="8"/>
    <w:qFormat/>
    <w:uiPriority w:val="0"/>
  </w:style>
  <w:style w:type="character" w:customStyle="1" w:styleId="27">
    <w:name w:val="light1"/>
    <w:basedOn w:val="8"/>
    <w:qFormat/>
    <w:uiPriority w:val="0"/>
    <w:rPr>
      <w:color w:val="FF0000"/>
    </w:rPr>
  </w:style>
  <w:style w:type="paragraph" w:customStyle="1" w:styleId="28">
    <w:name w:val="light"/>
    <w:basedOn w:val="1"/>
    <w:uiPriority w:val="0"/>
    <w:pPr>
      <w:jc w:val="left"/>
    </w:pPr>
    <w:rPr>
      <w:color w:val="FF0000"/>
      <w:kern w:val="0"/>
      <w:lang w:val="en-US" w:eastAsia="zh-CN" w:bidi="ar"/>
    </w:rPr>
  </w:style>
  <w:style w:type="character" w:customStyle="1" w:styleId="29">
    <w:name w:val="current2"/>
    <w:basedOn w:val="8"/>
    <w:uiPriority w:val="0"/>
    <w:rPr>
      <w:color w:val="FFFFFF"/>
      <w:shd w:val="clear" w:fill="D2AA64"/>
    </w:rPr>
  </w:style>
  <w:style w:type="character" w:customStyle="1" w:styleId="30">
    <w:name w:val="hover15"/>
    <w:basedOn w:val="8"/>
    <w:uiPriority w:val="0"/>
    <w:rPr>
      <w:shd w:val="clear" w:fill="F3F3F3"/>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carrie</dc:creator>
  <cp:lastModifiedBy>黄凌玲</cp:lastModifiedBy>
  <dcterms:modified xsi:type="dcterms:W3CDTF">2017-07-13T09:45:06Z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