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pPr>
      <w:r>
        <w:rPr>
          <w:rFonts w:hint="eastAsia"/>
          <w:sz w:val="36"/>
          <w:szCs w:val="36"/>
          <w:lang w:val="en-US" w:eastAsia="zh-CN"/>
        </w:rPr>
        <w:t>警示系统-双随机监管模块改进需求</w:t>
      </w:r>
    </w:p>
    <w:p>
      <w:pPr>
        <w:pStyle w:val="2"/>
      </w:pPr>
      <w:r>
        <w:rPr>
          <w:rFonts w:hint="eastAsia"/>
          <w:lang w:val="en-US" w:eastAsia="zh-CN"/>
        </w:rPr>
        <w:t>“一单两库”相关模块改进</w:t>
      </w:r>
    </w:p>
    <w:p>
      <w:pPr>
        <w:pStyle w:val="5"/>
      </w:pPr>
      <w:r>
        <w:rPr>
          <w:rFonts w:hint="eastAsia"/>
          <w:lang w:val="en-US" w:eastAsia="zh-CN"/>
        </w:rPr>
        <w:t>检查对象库功能改进</w:t>
      </w:r>
    </w:p>
    <w:p>
      <w:pPr>
        <w:pStyle w:val="3"/>
        <w:ind w:left="0" w:leftChars="0" w:firstLine="0" w:firstLineChars="0"/>
      </w:pPr>
      <w:r>
        <w:drawing>
          <wp:inline distT="0" distB="0" distL="114300" distR="114300">
            <wp:extent cx="5270500" cy="1777365"/>
            <wp:effectExtent l="0" t="0" r="635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
                    <a:stretch>
                      <a:fillRect/>
                    </a:stretch>
                  </pic:blipFill>
                  <pic:spPr>
                    <a:xfrm>
                      <a:off x="0" y="0"/>
                      <a:ext cx="5270500" cy="177736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jc w:val="left"/>
        <w:rPr>
          <w:rFonts w:hint="eastAsia"/>
          <w:sz w:val="21"/>
          <w:szCs w:val="21"/>
          <w:lang w:val="en-US" w:eastAsia="zh-CN"/>
        </w:rPr>
      </w:pPr>
      <w:r>
        <w:rPr>
          <w:rFonts w:hint="eastAsia"/>
          <w:lang w:val="en-US" w:eastAsia="zh-CN"/>
        </w:rPr>
        <w:t>提示语修改为“</w:t>
      </w:r>
      <w:r>
        <w:rPr>
          <w:rStyle w:val="27"/>
          <w:rFonts w:ascii="宋体" w:hAnsi="宋体" w:eastAsia="宋体" w:cs="宋体"/>
          <w:sz w:val="21"/>
          <w:szCs w:val="21"/>
          <w:lang w:val="en-US" w:eastAsia="zh-CN" w:bidi="ar"/>
        </w:rPr>
        <w:t>提示：</w:t>
      </w:r>
      <w:r>
        <w:rPr>
          <w:rStyle w:val="27"/>
          <w:rFonts w:hint="eastAsia" w:ascii="宋体" w:hAnsi="宋体" w:eastAsia="宋体" w:cs="宋体"/>
          <w:sz w:val="21"/>
          <w:szCs w:val="21"/>
          <w:lang w:val="en-US" w:eastAsia="zh-CN" w:bidi="ar"/>
        </w:rPr>
        <w:t>同一家企业有多个对应本库的监管标签或有多个不同编号的同一类许可证</w:t>
      </w:r>
      <w:r>
        <w:rPr>
          <w:rFonts w:hint="eastAsia" w:ascii="宋体" w:hAnsi="宋体" w:eastAsia="宋体" w:cs="宋体"/>
          <w:color w:val="FF0000"/>
          <w:kern w:val="0"/>
          <w:sz w:val="21"/>
          <w:szCs w:val="21"/>
          <w:lang w:val="en-US" w:eastAsia="zh-CN" w:bidi="ar"/>
        </w:rPr>
        <w:t>时，请按照对应每个监管标签或每个许可证编号的信息分别入库该企业。</w:t>
      </w:r>
      <w:r>
        <w:rPr>
          <w:rFonts w:hint="eastAsia"/>
          <w:sz w:val="21"/>
          <w:szCs w:val="21"/>
          <w:lang w:val="en-US" w:eastAsia="zh-CN"/>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在查询结果列表栏上方右侧显示“</w:t>
      </w:r>
      <w:r>
        <w:rPr>
          <w:rFonts w:hint="eastAsia"/>
          <w:color w:val="0000FF"/>
          <w:lang w:val="en-US" w:eastAsia="zh-CN"/>
        </w:rPr>
        <w:t>查询结果</w:t>
      </w:r>
      <w:r>
        <w:rPr>
          <w:rFonts w:hint="eastAsia"/>
          <w:lang w:val="en-US" w:eastAsia="zh-CN"/>
        </w:rPr>
        <w:t>：企业</w:t>
      </w:r>
      <w:r>
        <w:rPr>
          <w:rFonts w:hint="eastAsia"/>
          <w:color w:val="0000FF"/>
          <w:lang w:val="en-US" w:eastAsia="zh-CN"/>
        </w:rPr>
        <w:t>2345</w:t>
      </w:r>
      <w:r>
        <w:rPr>
          <w:rFonts w:hint="eastAsia"/>
          <w:lang w:val="en-US" w:eastAsia="zh-CN"/>
        </w:rPr>
        <w:t>户，监管标签</w:t>
      </w:r>
      <w:r>
        <w:rPr>
          <w:rFonts w:hint="eastAsia"/>
          <w:color w:val="0000FF"/>
          <w:lang w:val="en-US" w:eastAsia="zh-CN"/>
        </w:rPr>
        <w:t>3</w:t>
      </w:r>
      <w:r>
        <w:rPr>
          <w:rFonts w:hint="eastAsia"/>
          <w:lang w:val="en-US" w:eastAsia="zh-CN"/>
        </w:rPr>
        <w:t>类，许可证</w:t>
      </w:r>
      <w:r>
        <w:rPr>
          <w:rFonts w:hint="eastAsia"/>
          <w:color w:val="0000FF"/>
          <w:lang w:val="en-US" w:eastAsia="zh-CN"/>
        </w:rPr>
        <w:t>345</w:t>
      </w:r>
      <w:r>
        <w:rPr>
          <w:rFonts w:hint="eastAsia"/>
          <w:lang w:val="en-US" w:eastAsia="zh-CN"/>
        </w:rPr>
        <w:t>个”</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查询条件“检查主体”类别由默认勾选企业类改为默认全部勾选。</w:t>
      </w:r>
    </w:p>
    <w:p>
      <w:pPr>
        <w:pStyle w:val="5"/>
      </w:pPr>
      <w:r>
        <w:rPr>
          <w:rFonts w:hint="eastAsia"/>
          <w:lang w:val="en-US" w:eastAsia="zh-CN"/>
        </w:rPr>
        <w:t>检查人员库功能改进</w:t>
      </w:r>
    </w:p>
    <w:p>
      <w:pPr>
        <w:pStyle w:val="3"/>
        <w:ind w:left="0" w:leftChars="0" w:firstLine="0" w:firstLineChars="0"/>
      </w:pPr>
      <w:r>
        <w:drawing>
          <wp:inline distT="0" distB="0" distL="114300" distR="114300">
            <wp:extent cx="5265420" cy="1960880"/>
            <wp:effectExtent l="0" t="0" r="190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5265420" cy="196088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3"/>
        </w:numPr>
        <w:ind w:left="0" w:leftChars="0" w:firstLine="0" w:firstLineChars="0"/>
        <w:rPr>
          <w:rFonts w:hint="eastAsia"/>
          <w:lang w:val="en-US" w:eastAsia="zh-CN"/>
        </w:rPr>
      </w:pPr>
      <w:r>
        <w:rPr>
          <w:rFonts w:hint="eastAsia"/>
          <w:lang w:val="en-US" w:eastAsia="zh-CN"/>
        </w:rPr>
        <w:t>查询条件“人员状态”改为默认有效</w:t>
      </w:r>
    </w:p>
    <w:p>
      <w:pPr>
        <w:pStyle w:val="3"/>
        <w:numPr>
          <w:ilvl w:val="0"/>
          <w:numId w:val="3"/>
        </w:numPr>
        <w:ind w:left="0" w:leftChars="0" w:firstLine="0" w:firstLineChars="0"/>
        <w:rPr>
          <w:rFonts w:hint="eastAsia"/>
          <w:lang w:val="en-US" w:eastAsia="zh-CN"/>
        </w:rPr>
      </w:pPr>
      <w:r>
        <w:rPr>
          <w:rFonts w:hint="eastAsia"/>
          <w:lang w:val="en-US" w:eastAsia="zh-CN"/>
        </w:rPr>
        <w:t>查询条件“岗位所属地区”改为可复选项</w:t>
      </w:r>
    </w:p>
    <w:p>
      <w:pPr>
        <w:pStyle w:val="3"/>
        <w:numPr>
          <w:ilvl w:val="0"/>
          <w:numId w:val="3"/>
        </w:numPr>
        <w:ind w:left="0" w:leftChars="0" w:firstLine="0" w:firstLineChars="0"/>
        <w:rPr>
          <w:rFonts w:hint="eastAsia"/>
          <w:lang w:val="en-US" w:eastAsia="zh-CN"/>
        </w:rPr>
      </w:pPr>
      <w:r>
        <w:rPr>
          <w:rFonts w:hint="eastAsia"/>
          <w:lang w:val="en-US" w:eastAsia="zh-CN"/>
        </w:rPr>
        <w:t>查询条件“工作单位”改为类似如下：</w:t>
      </w:r>
    </w:p>
    <w:p>
      <w:pPr>
        <w:pStyle w:val="3"/>
        <w:numPr>
          <w:ilvl w:val="0"/>
          <w:numId w:val="0"/>
        </w:numPr>
        <w:ind w:leftChars="0"/>
      </w:pPr>
      <w:r>
        <w:drawing>
          <wp:inline distT="0" distB="0" distL="114300" distR="114300">
            <wp:extent cx="4123690" cy="4153535"/>
            <wp:effectExtent l="0" t="0" r="635" b="889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
                    <a:stretch>
                      <a:fillRect/>
                    </a:stretch>
                  </pic:blipFill>
                  <pic:spPr>
                    <a:xfrm>
                      <a:off x="0" y="0"/>
                      <a:ext cx="4123690" cy="4153535"/>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说明：</w:t>
      </w:r>
    </w:p>
    <w:p>
      <w:pPr>
        <w:pStyle w:val="3"/>
        <w:numPr>
          <w:ilvl w:val="0"/>
          <w:numId w:val="4"/>
        </w:numPr>
        <w:ind w:left="425" w:leftChars="0" w:hanging="425" w:firstLineChars="0"/>
        <w:rPr>
          <w:rFonts w:hint="eastAsia"/>
          <w:lang w:val="en-US" w:eastAsia="zh-CN"/>
        </w:rPr>
      </w:pPr>
      <w:r>
        <w:rPr>
          <w:rFonts w:hint="eastAsia"/>
          <w:lang w:val="en-US" w:eastAsia="zh-CN"/>
        </w:rPr>
        <w:t>增加部门名称检索功能，及职能部门全选功能。</w:t>
      </w:r>
    </w:p>
    <w:p>
      <w:pPr>
        <w:pStyle w:val="3"/>
        <w:numPr>
          <w:ilvl w:val="0"/>
          <w:numId w:val="4"/>
        </w:numPr>
        <w:ind w:left="425" w:leftChars="0" w:hanging="425" w:firstLineChars="0"/>
        <w:rPr>
          <w:rFonts w:hint="eastAsia"/>
          <w:lang w:val="en-US" w:eastAsia="zh-CN"/>
        </w:rPr>
      </w:pPr>
      <w:r>
        <w:rPr>
          <w:rFonts w:hint="eastAsia"/>
          <w:lang w:val="en-US" w:eastAsia="zh-CN"/>
        </w:rPr>
        <w:t>默认职能部门勾选“工商部门”，则旁边的部门列表对应显示工商系统的各级部门选项</w:t>
      </w:r>
    </w:p>
    <w:p>
      <w:pPr>
        <w:pStyle w:val="3"/>
        <w:numPr>
          <w:ilvl w:val="0"/>
          <w:numId w:val="4"/>
        </w:numPr>
        <w:ind w:left="425" w:leftChars="0" w:hanging="425" w:firstLineChars="0"/>
        <w:rPr>
          <w:rFonts w:hint="eastAsia"/>
          <w:lang w:val="en-US" w:eastAsia="zh-CN"/>
        </w:rPr>
      </w:pPr>
      <w:r>
        <w:rPr>
          <w:rFonts w:hint="eastAsia"/>
          <w:lang w:val="en-US" w:eastAsia="zh-CN"/>
        </w:rPr>
        <w:t>若职能部门勾选“公安部门”，则旁边的部门列表对应显示公安系统的各级部门选项</w:t>
      </w:r>
    </w:p>
    <w:p>
      <w:pPr>
        <w:pStyle w:val="3"/>
        <w:numPr>
          <w:ilvl w:val="0"/>
          <w:numId w:val="4"/>
        </w:numPr>
        <w:ind w:left="425" w:leftChars="0" w:hanging="425" w:firstLineChars="0"/>
        <w:rPr>
          <w:rFonts w:hint="eastAsia"/>
          <w:lang w:val="en-US" w:eastAsia="zh-CN"/>
        </w:rPr>
      </w:pPr>
      <w:r>
        <w:rPr>
          <w:rFonts w:hint="eastAsia"/>
          <w:lang w:val="en-US" w:eastAsia="zh-CN"/>
        </w:rPr>
        <w:t>若职能部门勾选全选，则旁边的部门列表显示所有各个系统的各级部门选项。</w:t>
      </w:r>
    </w:p>
    <w:p>
      <w:pPr>
        <w:pStyle w:val="5"/>
        <w:rPr>
          <w:rFonts w:hint="eastAsia"/>
          <w:lang w:val="en-US" w:eastAsia="zh-CN"/>
        </w:rPr>
      </w:pPr>
      <w:r>
        <w:rPr>
          <w:rFonts w:hint="eastAsia"/>
          <w:lang w:val="en-US" w:eastAsia="zh-CN"/>
        </w:rPr>
        <w:t>检查对象库统计功能改进</w:t>
      </w:r>
    </w:p>
    <w:p>
      <w:pPr>
        <w:pStyle w:val="3"/>
        <w:numPr>
          <w:ilvl w:val="0"/>
          <w:numId w:val="0"/>
        </w:numPr>
        <w:ind w:leftChars="0"/>
        <w:rPr>
          <w:rFonts w:hint="eastAsia"/>
          <w:lang w:val="en-US" w:eastAsia="zh-CN"/>
        </w:rPr>
      </w:pPr>
      <w:r>
        <w:drawing>
          <wp:inline distT="0" distB="0" distL="114300" distR="114300">
            <wp:extent cx="5268595" cy="2237105"/>
            <wp:effectExtent l="0" t="0" r="825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8595" cy="2237105"/>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改进要求：</w:t>
      </w:r>
    </w:p>
    <w:p>
      <w:pPr>
        <w:pStyle w:val="3"/>
        <w:numPr>
          <w:ilvl w:val="0"/>
          <w:numId w:val="5"/>
        </w:numPr>
        <w:ind w:left="425" w:leftChars="0" w:hanging="425" w:firstLineChars="0"/>
        <w:rPr>
          <w:rFonts w:hint="eastAsia"/>
          <w:lang w:val="en-US" w:eastAsia="zh-CN"/>
        </w:rPr>
      </w:pPr>
      <w:r>
        <w:rPr>
          <w:rFonts w:hint="eastAsia"/>
          <w:lang w:val="en-US" w:eastAsia="zh-CN"/>
        </w:rPr>
        <w:t>查询条件“年报主体”改为“检查主体”，同时默认全部类型都勾选上。</w:t>
      </w:r>
    </w:p>
    <w:p>
      <w:pPr>
        <w:pStyle w:val="3"/>
        <w:numPr>
          <w:ilvl w:val="0"/>
          <w:numId w:val="5"/>
        </w:numPr>
        <w:ind w:left="425" w:leftChars="0" w:hanging="425" w:firstLineChars="0"/>
        <w:rPr>
          <w:rFonts w:hint="eastAsia"/>
          <w:lang w:val="en-US" w:eastAsia="zh-CN"/>
        </w:rPr>
      </w:pPr>
      <w:r>
        <w:rPr>
          <w:rFonts w:hint="eastAsia"/>
          <w:lang w:val="en-US" w:eastAsia="zh-CN"/>
        </w:rPr>
        <w:t>查询条件“统计日期”改为“</w:t>
      </w:r>
      <w:r>
        <w:drawing>
          <wp:inline distT="0" distB="0" distL="114300" distR="114300">
            <wp:extent cx="1495425" cy="2286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1495425" cy="228600"/>
                    </a:xfrm>
                    <a:prstGeom prst="rect">
                      <a:avLst/>
                    </a:prstGeom>
                    <a:noFill/>
                    <a:ln w="9525">
                      <a:noFill/>
                    </a:ln>
                  </pic:spPr>
                </pic:pic>
              </a:graphicData>
            </a:graphic>
          </wp:inline>
        </w:drawing>
      </w:r>
      <w:r>
        <w:rPr>
          <w:rFonts w:hint="eastAsia"/>
          <w:lang w:val="en-US" w:eastAsia="zh-CN"/>
        </w:rPr>
        <w:t>”模式，且日期选项只到昨天，统计日期默认为截止昨天的日期。</w:t>
      </w:r>
    </w:p>
    <w:p>
      <w:pPr>
        <w:pStyle w:val="5"/>
        <w:rPr>
          <w:rFonts w:hint="eastAsia"/>
          <w:lang w:val="en-US" w:eastAsia="zh-CN"/>
        </w:rPr>
      </w:pPr>
      <w:r>
        <w:rPr>
          <w:rFonts w:hint="eastAsia"/>
          <w:lang w:val="en-US" w:eastAsia="zh-CN"/>
        </w:rPr>
        <w:t>检查人员库统计功能改进</w:t>
      </w:r>
    </w:p>
    <w:p>
      <w:pPr>
        <w:pStyle w:val="3"/>
        <w:ind w:left="0" w:leftChars="0" w:firstLine="0" w:firstLineChars="0"/>
      </w:pPr>
      <w:r>
        <w:drawing>
          <wp:inline distT="0" distB="0" distL="114300" distR="114300">
            <wp:extent cx="5264785" cy="1760855"/>
            <wp:effectExtent l="0" t="0" r="2540"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5264785" cy="176085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改进要求：统计日期截止只能到昨天，默认显示为截止昨天的日期。</w:t>
      </w:r>
    </w:p>
    <w:p>
      <w:pPr>
        <w:pStyle w:val="2"/>
      </w:pPr>
      <w:r>
        <w:rPr>
          <w:rFonts w:hint="eastAsia"/>
          <w:lang w:val="en-US" w:eastAsia="zh-CN"/>
        </w:rPr>
        <w:t>“年度抽查工作计划”模块改进</w:t>
      </w:r>
    </w:p>
    <w:p>
      <w:pPr>
        <w:pStyle w:val="3"/>
        <w:ind w:left="0" w:leftChars="0" w:firstLine="0" w:firstLineChars="0"/>
      </w:pPr>
      <w:r>
        <w:drawing>
          <wp:inline distT="0" distB="0" distL="114300" distR="114300">
            <wp:extent cx="5270500" cy="2662555"/>
            <wp:effectExtent l="0" t="0" r="6350"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270500" cy="266255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改进要求：抽查活动已建立对应的抽查任务信息后，应自动显示对应的抽查任务的编号信息，同时操作栏信息变为详情按钮。</w:t>
      </w:r>
    </w:p>
    <w:p>
      <w:pPr>
        <w:pStyle w:val="3"/>
        <w:ind w:left="0" w:leftChars="0" w:firstLine="0" w:firstLineChars="0"/>
      </w:pPr>
      <w:r>
        <w:drawing>
          <wp:inline distT="0" distB="0" distL="114300" distR="114300">
            <wp:extent cx="5267325" cy="3034030"/>
            <wp:effectExtent l="0" t="0" r="0" b="44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7325" cy="3034030"/>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6"/>
        </w:numPr>
        <w:ind w:left="425" w:leftChars="0" w:hanging="425" w:firstLineChars="0"/>
        <w:rPr>
          <w:rFonts w:hint="eastAsia"/>
          <w:lang w:val="en-US" w:eastAsia="zh-CN"/>
        </w:rPr>
      </w:pPr>
      <w:r>
        <w:rPr>
          <w:rFonts w:hint="eastAsia"/>
          <w:lang w:val="en-US" w:eastAsia="zh-CN"/>
        </w:rPr>
        <w:t>抽查活动名称、责任单位、抽查范围及数量比例输入栏太小，需加长</w:t>
      </w:r>
    </w:p>
    <w:p>
      <w:pPr>
        <w:pStyle w:val="3"/>
        <w:numPr>
          <w:ilvl w:val="0"/>
          <w:numId w:val="6"/>
        </w:numPr>
        <w:ind w:left="425" w:leftChars="0" w:hanging="425" w:firstLineChars="0"/>
        <w:rPr>
          <w:rFonts w:hint="eastAsia"/>
          <w:lang w:val="en-US" w:eastAsia="zh-CN"/>
        </w:rPr>
      </w:pPr>
      <w:r>
        <w:rPr>
          <w:rFonts w:hint="eastAsia"/>
          <w:lang w:val="en-US" w:eastAsia="zh-CN"/>
        </w:rPr>
        <w:t>上传的附件文件名显示文字太小，点击附件却显示下载信息，应为打开查看上传的附件信息。</w:t>
      </w:r>
    </w:p>
    <w:p>
      <w:pPr>
        <w:pStyle w:val="2"/>
      </w:pPr>
      <w:r>
        <w:rPr>
          <w:rFonts w:hint="eastAsia"/>
          <w:lang w:val="en-US" w:eastAsia="zh-CN"/>
        </w:rPr>
        <w:t>“抽查任务设置与实施”相关模块改进</w:t>
      </w:r>
    </w:p>
    <w:p>
      <w:pPr>
        <w:pStyle w:val="5"/>
        <w:rPr>
          <w:rFonts w:hint="eastAsia"/>
          <w:lang w:val="en-US" w:eastAsia="zh-CN"/>
        </w:rPr>
      </w:pPr>
      <w:r>
        <w:rPr>
          <w:rFonts w:hint="eastAsia"/>
          <w:lang w:val="en-US" w:eastAsia="zh-CN"/>
        </w:rPr>
        <w:t>抽查任务设置功能改进</w:t>
      </w:r>
    </w:p>
    <w:p>
      <w:pPr>
        <w:pStyle w:val="3"/>
        <w:numPr>
          <w:ilvl w:val="0"/>
          <w:numId w:val="0"/>
        </w:numPr>
        <w:ind w:leftChars="0"/>
      </w:pPr>
      <w:r>
        <w:drawing>
          <wp:inline distT="0" distB="0" distL="114300" distR="114300">
            <wp:extent cx="5268595" cy="1968500"/>
            <wp:effectExtent l="0" t="0" r="8255"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68595" cy="196850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改进要求：</w:t>
      </w:r>
    </w:p>
    <w:p>
      <w:pPr>
        <w:pStyle w:val="3"/>
        <w:numPr>
          <w:ilvl w:val="0"/>
          <w:numId w:val="0"/>
        </w:numPr>
        <w:ind w:leftChars="0"/>
        <w:rPr>
          <w:rFonts w:hint="eastAsia"/>
          <w:lang w:val="en-US" w:eastAsia="zh-CN"/>
        </w:rPr>
      </w:pPr>
      <w:r>
        <w:rPr>
          <w:rFonts w:hint="eastAsia"/>
          <w:lang w:val="en-US" w:eastAsia="zh-CN"/>
        </w:rPr>
        <w:t>完成抽查任务设置后，系统没有自动显示相应的任务编号和任务实施部门信息，需改进。任务编号信息的部门字号参照异常名录决定书文号的部门字号标准。</w:t>
      </w:r>
    </w:p>
    <w:p>
      <w:pPr>
        <w:pStyle w:val="3"/>
        <w:numPr>
          <w:ilvl w:val="0"/>
          <w:numId w:val="0"/>
        </w:numPr>
        <w:ind w:leftChars="0"/>
      </w:pPr>
      <w:r>
        <w:drawing>
          <wp:inline distT="0" distB="0" distL="114300" distR="114300">
            <wp:extent cx="5269230" cy="2052320"/>
            <wp:effectExtent l="0" t="0" r="7620" b="508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269230" cy="2052320"/>
                    </a:xfrm>
                    <a:prstGeom prst="rect">
                      <a:avLst/>
                    </a:prstGeom>
                    <a:noFill/>
                    <a:ln w="9525">
                      <a:noFill/>
                    </a:ln>
                  </pic:spPr>
                </pic:pic>
              </a:graphicData>
            </a:graphic>
          </wp:inline>
        </w:drawing>
      </w:r>
    </w:p>
    <w:p>
      <w:pPr>
        <w:pStyle w:val="3"/>
        <w:numPr>
          <w:ilvl w:val="0"/>
          <w:numId w:val="0"/>
        </w:numPr>
        <w:ind w:leftChars="0"/>
        <w:rPr>
          <w:rFonts w:hint="eastAsia" w:eastAsiaTheme="minorEastAsia"/>
          <w:lang w:val="en-US" w:eastAsia="zh-CN"/>
        </w:rPr>
      </w:pPr>
      <w:r>
        <w:rPr>
          <w:rFonts w:hint="eastAsia"/>
          <w:lang w:val="en-US" w:eastAsia="zh-CN"/>
        </w:rPr>
        <w:t>改进要求：</w:t>
      </w:r>
    </w:p>
    <w:p>
      <w:pPr>
        <w:pStyle w:val="3"/>
        <w:numPr>
          <w:ilvl w:val="0"/>
          <w:numId w:val="7"/>
        </w:numPr>
        <w:ind w:left="425" w:leftChars="0" w:hanging="425" w:firstLineChars="0"/>
        <w:rPr>
          <w:rFonts w:hint="eastAsia"/>
          <w:lang w:val="en-US" w:eastAsia="zh-CN"/>
        </w:rPr>
      </w:pPr>
      <w:r>
        <w:rPr>
          <w:rFonts w:hint="eastAsia"/>
          <w:lang w:val="en-US" w:eastAsia="zh-CN"/>
        </w:rPr>
        <w:t>点击“详情”页面，应显示对应的年度抽查工作计划的抽查活动信息。</w:t>
      </w:r>
    </w:p>
    <w:p>
      <w:pPr>
        <w:pStyle w:val="3"/>
        <w:numPr>
          <w:ilvl w:val="0"/>
          <w:numId w:val="7"/>
        </w:numPr>
        <w:ind w:left="425" w:leftChars="0" w:hanging="425" w:firstLineChars="0"/>
        <w:rPr>
          <w:rFonts w:hint="eastAsia"/>
          <w:lang w:val="en-US" w:eastAsia="zh-CN"/>
        </w:rPr>
      </w:pPr>
      <w:r>
        <w:rPr>
          <w:rFonts w:hint="eastAsia"/>
          <w:lang w:val="en-US" w:eastAsia="zh-CN"/>
        </w:rPr>
        <w:t>任务名称输入栏应加长。</w:t>
      </w:r>
    </w:p>
    <w:p>
      <w:pPr>
        <w:pStyle w:val="3"/>
        <w:numPr>
          <w:ilvl w:val="0"/>
          <w:numId w:val="7"/>
        </w:numPr>
        <w:ind w:left="425" w:leftChars="0" w:hanging="425" w:firstLineChars="0"/>
        <w:rPr>
          <w:rFonts w:hint="eastAsia"/>
          <w:lang w:val="en-US" w:eastAsia="zh-CN"/>
        </w:rPr>
      </w:pPr>
      <w:r>
        <w:rPr>
          <w:rFonts w:hint="eastAsia"/>
          <w:lang w:val="en-US" w:eastAsia="zh-CN"/>
        </w:rPr>
        <w:t>检查事项选项列表除36项标准事项，再增加一个“其他”选项，勾选其他时需填写具体的检查事项内容。36项只能添加一次，其他项可以重复添加。</w:t>
      </w:r>
    </w:p>
    <w:p>
      <w:pPr>
        <w:pStyle w:val="5"/>
        <w:rPr>
          <w:rFonts w:hint="eastAsia"/>
          <w:lang w:val="en-US" w:eastAsia="zh-CN"/>
        </w:rPr>
      </w:pPr>
      <w:r>
        <w:rPr>
          <w:rFonts w:hint="eastAsia"/>
          <w:lang w:val="en-US" w:eastAsia="zh-CN"/>
        </w:rPr>
        <w:t>抽查对象随机抽取功能改进</w:t>
      </w:r>
    </w:p>
    <w:p>
      <w:pPr>
        <w:pStyle w:val="3"/>
        <w:numPr>
          <w:ilvl w:val="0"/>
          <w:numId w:val="0"/>
        </w:numPr>
        <w:ind w:leftChars="0"/>
      </w:pPr>
      <w:r>
        <w:drawing>
          <wp:inline distT="0" distB="0" distL="114300" distR="114300">
            <wp:extent cx="5264785" cy="1507490"/>
            <wp:effectExtent l="0" t="0" r="2540" b="698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5264785" cy="150749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改进要求：缺少“清空检查对象”功能，无法一次删除所有已导入的检查对象名单。</w:t>
      </w:r>
    </w:p>
    <w:p>
      <w:pPr>
        <w:pStyle w:val="3"/>
        <w:numPr>
          <w:ilvl w:val="0"/>
          <w:numId w:val="0"/>
        </w:numPr>
        <w:ind w:leftChars="0"/>
      </w:pPr>
      <w:r>
        <w:drawing>
          <wp:inline distT="0" distB="0" distL="114300" distR="114300">
            <wp:extent cx="5273040" cy="1441450"/>
            <wp:effectExtent l="0" t="0" r="381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5273040" cy="144145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改进要求：</w:t>
      </w:r>
    </w:p>
    <w:p>
      <w:pPr>
        <w:pStyle w:val="3"/>
        <w:numPr>
          <w:ilvl w:val="0"/>
          <w:numId w:val="8"/>
        </w:numPr>
        <w:ind w:left="425" w:leftChars="0" w:hanging="425" w:firstLineChars="0"/>
        <w:rPr>
          <w:rFonts w:hint="eastAsia"/>
          <w:lang w:val="en-US" w:eastAsia="zh-CN"/>
        </w:rPr>
      </w:pPr>
      <w:r>
        <w:rPr>
          <w:rFonts w:hint="eastAsia"/>
          <w:lang w:val="en-US" w:eastAsia="zh-CN"/>
        </w:rPr>
        <w:t>系统应根据已导入检查对象抽取库的企业所设有的分类监管标签对应出改企业所属的专项库，与导入检查对象抽取库的筛选条件无关。</w:t>
      </w:r>
    </w:p>
    <w:p>
      <w:pPr>
        <w:pStyle w:val="3"/>
        <w:numPr>
          <w:ilvl w:val="0"/>
          <w:numId w:val="8"/>
        </w:numPr>
        <w:ind w:left="425" w:leftChars="0" w:hanging="425" w:firstLineChars="0"/>
        <w:rPr>
          <w:rFonts w:hint="eastAsia"/>
          <w:lang w:val="en-US" w:eastAsia="zh-CN"/>
        </w:rPr>
      </w:pPr>
      <w:r>
        <w:rPr>
          <w:rFonts w:hint="eastAsia"/>
          <w:lang w:val="en-US" w:eastAsia="zh-CN"/>
        </w:rPr>
        <w:t>“任务涉及的检查事项”栏应显示抽查任务设置时勾选的检查事项信息，如果是按照主体综合库统一抽取模式，则将抽查任务中勾选的检查事项全部显示到一栏中；如果是按照专项检查对象库分类抽取模式，则将抽查任务中勾选的检查事项按照有涉及专项检查库的逐一分栏显示，没有涉及专项检查库的归类一栏对应综合主体库。类似显示如下：</w:t>
      </w:r>
    </w:p>
    <w:p>
      <w:pPr>
        <w:pStyle w:val="3"/>
        <w:numPr>
          <w:ilvl w:val="0"/>
          <w:numId w:val="0"/>
        </w:numPr>
        <w:ind w:leftChars="0"/>
      </w:pPr>
      <w:r>
        <w:drawing>
          <wp:inline distT="0" distB="0" distL="114300" distR="114300">
            <wp:extent cx="5270500" cy="2054860"/>
            <wp:effectExtent l="0" t="0" r="6350" b="254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6"/>
                    <a:stretch>
                      <a:fillRect/>
                    </a:stretch>
                  </pic:blipFill>
                  <pic:spPr>
                    <a:xfrm>
                      <a:off x="0" y="0"/>
                      <a:ext cx="5270500" cy="2054860"/>
                    </a:xfrm>
                    <a:prstGeom prst="rect">
                      <a:avLst/>
                    </a:prstGeom>
                    <a:noFill/>
                    <a:ln w="9525">
                      <a:noFill/>
                    </a:ln>
                  </pic:spPr>
                </pic:pic>
              </a:graphicData>
            </a:graphic>
          </wp:inline>
        </w:drawing>
      </w:r>
    </w:p>
    <w:p>
      <w:pPr>
        <w:pStyle w:val="3"/>
        <w:numPr>
          <w:ilvl w:val="0"/>
          <w:numId w:val="8"/>
        </w:numPr>
        <w:ind w:left="425" w:leftChars="0" w:hanging="425" w:firstLineChars="0"/>
      </w:pPr>
      <w:r>
        <w:rPr>
          <w:rFonts w:hint="eastAsia"/>
          <w:lang w:val="en-US" w:eastAsia="zh-CN"/>
        </w:rPr>
        <w:t>任务下发后，检查实施部门在“检查对象随机抽取”功能里，应可以查看下发至本部门的任务信息，但不能进行抽取操作。详情里可查看任务信息及本部门涉及的检查对象名单信息等。</w:t>
      </w:r>
    </w:p>
    <w:p>
      <w:pPr>
        <w:pStyle w:val="5"/>
        <w:rPr>
          <w:rFonts w:hint="eastAsia"/>
          <w:lang w:val="en-US" w:eastAsia="zh-CN"/>
        </w:rPr>
      </w:pPr>
      <w:r>
        <w:rPr>
          <w:rFonts w:hint="eastAsia"/>
          <w:lang w:val="en-US" w:eastAsia="zh-CN"/>
        </w:rPr>
        <w:t>检查人员随机抽取功能改进</w:t>
      </w:r>
    </w:p>
    <w:p>
      <w:pPr>
        <w:pStyle w:val="3"/>
        <w:ind w:left="0" w:leftChars="0" w:firstLine="0" w:firstLineChars="0"/>
      </w:pPr>
      <w:r>
        <w:drawing>
          <wp:inline distT="0" distB="0" distL="114300" distR="114300">
            <wp:extent cx="5264150" cy="1833880"/>
            <wp:effectExtent l="0" t="0" r="3175" b="444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7"/>
                    <a:stretch>
                      <a:fillRect/>
                    </a:stretch>
                  </pic:blipFill>
                  <pic:spPr>
                    <a:xfrm>
                      <a:off x="0" y="0"/>
                      <a:ext cx="5264150" cy="1833880"/>
                    </a:xfrm>
                    <a:prstGeom prst="rect">
                      <a:avLst/>
                    </a:prstGeom>
                    <a:noFill/>
                    <a:ln w="9525">
                      <a:noFill/>
                    </a:ln>
                  </pic:spPr>
                </pic:pic>
              </a:graphicData>
            </a:graphic>
          </wp:inline>
        </w:drawing>
      </w:r>
    </w:p>
    <w:p>
      <w:pPr>
        <w:pStyle w:val="3"/>
        <w:ind w:left="0" w:leftChars="0" w:firstLine="0" w:firstLineChars="0"/>
        <w:rPr>
          <w:rFonts w:hint="eastAsia" w:eastAsiaTheme="minorEastAsia"/>
          <w:lang w:val="en-US" w:eastAsia="zh-CN"/>
        </w:rPr>
      </w:pPr>
      <w:r>
        <w:rPr>
          <w:rFonts w:hint="eastAsia"/>
          <w:lang w:val="en-US" w:eastAsia="zh-CN"/>
        </w:rPr>
        <w:t>改进要求：人员抽取列表的设置人和设置日期应显示人员名单抽取的抽取人和抽取时间信息。</w:t>
      </w:r>
    </w:p>
    <w:p>
      <w:pPr>
        <w:pStyle w:val="5"/>
        <w:rPr>
          <w:rFonts w:hint="eastAsia"/>
          <w:lang w:val="en-US" w:eastAsia="zh-CN"/>
        </w:rPr>
      </w:pPr>
      <w:r>
        <w:rPr>
          <w:rFonts w:hint="eastAsia"/>
          <w:lang w:val="en-US" w:eastAsia="zh-CN"/>
        </w:rPr>
        <w:t>综合抽查结果录入功能改进</w:t>
      </w:r>
    </w:p>
    <w:p>
      <w:pPr>
        <w:pStyle w:val="3"/>
        <w:ind w:left="0" w:leftChars="0" w:firstLine="0" w:firstLineChars="0"/>
      </w:pPr>
      <w:r>
        <w:drawing>
          <wp:inline distT="0" distB="0" distL="114300" distR="114300">
            <wp:extent cx="5273675" cy="1558290"/>
            <wp:effectExtent l="0" t="0" r="3175" b="381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3675" cy="1558290"/>
                    </a:xfrm>
                    <a:prstGeom prst="rect">
                      <a:avLst/>
                    </a:prstGeom>
                    <a:noFill/>
                    <a:ln w="9525">
                      <a:noFill/>
                    </a:ln>
                  </pic:spPr>
                </pic:pic>
              </a:graphicData>
            </a:graphic>
          </wp:inline>
        </w:drawing>
      </w:r>
    </w:p>
    <w:p>
      <w:pPr>
        <w:pStyle w:val="3"/>
        <w:ind w:left="0" w:leftChars="0" w:firstLine="0" w:firstLineChars="0"/>
      </w:pPr>
      <w:r>
        <w:drawing>
          <wp:inline distT="0" distB="0" distL="114300" distR="114300">
            <wp:extent cx="5264785" cy="790575"/>
            <wp:effectExtent l="0" t="0" r="254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9"/>
                    <a:stretch>
                      <a:fillRect/>
                    </a:stretch>
                  </pic:blipFill>
                  <pic:spPr>
                    <a:xfrm>
                      <a:off x="0" y="0"/>
                      <a:ext cx="5264785" cy="790575"/>
                    </a:xfrm>
                    <a:prstGeom prst="rect">
                      <a:avLst/>
                    </a:prstGeom>
                    <a:noFill/>
                    <a:ln w="9525">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改进要求：</w:t>
      </w:r>
    </w:p>
    <w:p>
      <w:pPr>
        <w:pStyle w:val="3"/>
        <w:numPr>
          <w:ilvl w:val="0"/>
          <w:numId w:val="9"/>
        </w:numPr>
        <w:ind w:left="425" w:leftChars="0" w:hanging="425" w:firstLineChars="0"/>
        <w:rPr>
          <w:rFonts w:hint="eastAsia"/>
          <w:lang w:val="en-US" w:eastAsia="zh-CN"/>
        </w:rPr>
      </w:pPr>
      <w:r>
        <w:rPr>
          <w:rFonts w:hint="eastAsia"/>
          <w:lang w:val="en-US" w:eastAsia="zh-CN"/>
        </w:rPr>
        <w:t>在结果录入页面，“法定代表人”和“工商联络员”栏应显示对应的人员姓名和联系电话信息。</w:t>
      </w:r>
    </w:p>
    <w:p>
      <w:pPr>
        <w:pStyle w:val="3"/>
        <w:numPr>
          <w:ilvl w:val="0"/>
          <w:numId w:val="9"/>
        </w:numPr>
        <w:ind w:left="425" w:leftChars="0" w:hanging="425" w:firstLineChars="0"/>
        <w:rPr>
          <w:rFonts w:hint="eastAsia"/>
          <w:lang w:val="en-US" w:eastAsia="zh-CN"/>
        </w:rPr>
      </w:pPr>
      <w:r>
        <w:rPr>
          <w:rFonts w:hint="eastAsia"/>
          <w:lang w:val="en-US" w:eastAsia="zh-CN"/>
        </w:rPr>
        <w:t>检查事项栏应只显示该企业在检查情况记录表里设置的检查事项，并不是抽查任务设置信息里所有勾选的检查事项。同时提供检查事项添加，添加时可勾选36项标准的检查事项，也可以勾选“其他”，选择其他时需补充填写具体的检查事项信息。其他项可以多次添加，36项标准项只能单次添加。</w:t>
      </w:r>
      <w:bookmarkStart w:id="0" w:name="_GoBack"/>
      <w:bookmarkEnd w:id="0"/>
      <w:r>
        <w:rPr>
          <w:rFonts w:hint="eastAsia"/>
          <w:lang w:val="en-US" w:eastAsia="zh-CN"/>
        </w:rPr>
        <w:t>添加的检查事项信息栏可删除。</w:t>
      </w:r>
    </w:p>
    <w:p>
      <w:pPr>
        <w:pStyle w:val="3"/>
        <w:numPr>
          <w:ilvl w:val="0"/>
          <w:numId w:val="9"/>
        </w:numPr>
        <w:ind w:left="425" w:leftChars="0" w:hanging="425" w:firstLineChars="0"/>
        <w:rPr>
          <w:rFonts w:hint="eastAsia"/>
          <w:lang w:val="en-US" w:eastAsia="zh-CN"/>
        </w:rPr>
      </w:pPr>
      <w:r>
        <w:rPr>
          <w:rFonts w:hint="eastAsia"/>
          <w:lang w:val="en-US" w:eastAsia="zh-CN"/>
        </w:rPr>
        <w:t>“发现问题情况”和“处置情况”栏提供“全选无”功能，不填写无则必须填写具体的信息。录入框太小了，无法查看完整的录入信息。如下图类似显示</w:t>
      </w:r>
    </w:p>
    <w:p>
      <w:pPr>
        <w:pStyle w:val="3"/>
        <w:numPr>
          <w:ilvl w:val="0"/>
          <w:numId w:val="0"/>
        </w:numPr>
        <w:ind w:leftChars="0"/>
        <w:rPr>
          <w:rFonts w:hint="eastAsia"/>
          <w:lang w:val="en-US" w:eastAsia="zh-CN"/>
        </w:rPr>
      </w:pPr>
      <w:r>
        <w:drawing>
          <wp:inline distT="0" distB="0" distL="114300" distR="114300">
            <wp:extent cx="5271770" cy="1539240"/>
            <wp:effectExtent l="0" t="0" r="5080" b="381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5271770" cy="1539240"/>
                    </a:xfrm>
                    <a:prstGeom prst="rect">
                      <a:avLst/>
                    </a:prstGeom>
                    <a:noFill/>
                    <a:ln w="9525">
                      <a:noFill/>
                    </a:ln>
                  </pic:spPr>
                </pic:pic>
              </a:graphicData>
            </a:graphic>
          </wp:inline>
        </w:drawing>
      </w:r>
    </w:p>
    <w:p>
      <w:pPr>
        <w:pStyle w:val="3"/>
        <w:numPr>
          <w:ilvl w:val="0"/>
          <w:numId w:val="0"/>
        </w:numPr>
        <w:ind w:leftChars="0"/>
      </w:pPr>
      <w:r>
        <w:drawing>
          <wp:inline distT="0" distB="0" distL="114300" distR="114300">
            <wp:extent cx="5267325" cy="1103630"/>
            <wp:effectExtent l="0" t="0" r="0" b="127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1"/>
                    <a:stretch>
                      <a:fillRect/>
                    </a:stretch>
                  </pic:blipFill>
                  <pic:spPr>
                    <a:xfrm>
                      <a:off x="0" y="0"/>
                      <a:ext cx="5267325" cy="1103630"/>
                    </a:xfrm>
                    <a:prstGeom prst="rect">
                      <a:avLst/>
                    </a:prstGeom>
                    <a:noFill/>
                    <a:ln w="9525">
                      <a:noFill/>
                    </a:ln>
                  </pic:spPr>
                </pic:pic>
              </a:graphicData>
            </a:graphic>
          </wp:inline>
        </w:drawing>
      </w:r>
    </w:p>
    <w:p>
      <w:pPr>
        <w:pStyle w:val="3"/>
        <w:numPr>
          <w:ilvl w:val="0"/>
          <w:numId w:val="0"/>
        </w:numPr>
        <w:ind w:leftChars="0"/>
        <w:rPr>
          <w:rFonts w:hint="eastAsia"/>
          <w:lang w:val="en-US" w:eastAsia="zh-CN"/>
        </w:rPr>
      </w:pPr>
      <w:r>
        <w:rPr>
          <w:rFonts w:hint="eastAsia"/>
          <w:lang w:val="en-US" w:eastAsia="zh-CN"/>
        </w:rPr>
        <w:t>改进要求：</w:t>
      </w:r>
    </w:p>
    <w:p>
      <w:pPr>
        <w:pStyle w:val="3"/>
        <w:numPr>
          <w:ilvl w:val="0"/>
          <w:numId w:val="9"/>
        </w:numPr>
        <w:ind w:left="425" w:leftChars="0" w:hanging="425" w:firstLineChars="0"/>
        <w:rPr>
          <w:rFonts w:hint="eastAsia"/>
          <w:lang w:val="en-US" w:eastAsia="zh-CN"/>
        </w:rPr>
      </w:pPr>
      <w:r>
        <w:rPr>
          <w:rFonts w:hint="eastAsia"/>
          <w:lang w:val="en-US" w:eastAsia="zh-CN"/>
        </w:rPr>
        <w:t>“后续处置措施”栏增加一个选项“无需后续处置”，且一旦勾选“无需后续处置”，则自动对应显示为“已完结”</w:t>
      </w:r>
    </w:p>
    <w:p>
      <w:pPr>
        <w:pStyle w:val="3"/>
        <w:numPr>
          <w:ilvl w:val="0"/>
          <w:numId w:val="9"/>
        </w:numPr>
        <w:ind w:left="425" w:leftChars="0" w:hanging="425" w:firstLineChars="0"/>
        <w:rPr>
          <w:rFonts w:hint="eastAsia"/>
          <w:lang w:val="en-US" w:eastAsia="zh-CN"/>
        </w:rPr>
      </w:pPr>
      <w:r>
        <w:rPr>
          <w:rFonts w:hint="eastAsia"/>
          <w:lang w:val="en-US" w:eastAsia="zh-CN"/>
        </w:rPr>
        <w:t>检查执行部门默认录入人员所在的部门，可修改</w:t>
      </w:r>
    </w:p>
    <w:p>
      <w:pPr>
        <w:pStyle w:val="3"/>
        <w:numPr>
          <w:ilvl w:val="0"/>
          <w:numId w:val="0"/>
        </w:numPr>
        <w:ind w:leftChars="0"/>
        <w:rPr>
          <w:rFonts w:hint="eastAsia" w:eastAsiaTheme="minorEastAsia"/>
          <w:lang w:val="en-US" w:eastAsia="zh-CN"/>
        </w:rPr>
      </w:pPr>
    </w:p>
    <w:p>
      <w:pPr>
        <w:pStyle w:val="3"/>
        <w:numPr>
          <w:ilvl w:val="0"/>
          <w:numId w:val="0"/>
        </w:numPr>
        <w:ind w:leftChars="0"/>
        <w:rPr>
          <w:rFonts w:hint="eastAsia"/>
          <w:lang w:val="en-US" w:eastAsia="zh-CN"/>
        </w:rPr>
      </w:pPr>
    </w:p>
    <w:p>
      <w:pPr>
        <w:pStyle w:val="3"/>
        <w:numPr>
          <w:ilvl w:val="0"/>
          <w:numId w:val="0"/>
        </w:numPr>
        <w:ind w:leftChars="0"/>
        <w:rPr>
          <w:rFonts w:hint="eastAsia"/>
          <w:lang w:val="en-US" w:eastAsia="zh-CN"/>
        </w:rPr>
      </w:pPr>
    </w:p>
    <w:p>
      <w:pPr>
        <w:pStyle w:val="3"/>
        <w:ind w:left="0" w:leftChars="0" w:firstLine="0" w:firstLineChars="0"/>
        <w:rPr>
          <w:rFonts w:hint="eastAsia"/>
          <w:lang w:val="en-US" w:eastAsia="zh-CN"/>
        </w:rPr>
      </w:pPr>
    </w:p>
    <w:p>
      <w:pPr>
        <w:pStyle w:val="3"/>
        <w:ind w:left="0" w:leftChars="0" w:firstLine="0" w:firstLineChars="0"/>
        <w:rPr>
          <w:rFonts w:hint="eastAsia"/>
          <w:lang w:val="en-US" w:eastAsia="zh-CN"/>
        </w:rPr>
      </w:pPr>
    </w:p>
    <w:p>
      <w:pPr>
        <w:pStyle w:val="3"/>
        <w:ind w:left="0" w:leftChars="0" w:firstLine="0" w:firstLineChars="0"/>
        <w:rPr>
          <w:rFonts w:hint="eastAsia"/>
          <w:lang w:val="en-US" w:eastAsia="zh-CN"/>
        </w:rPr>
      </w:pPr>
    </w:p>
    <w:p>
      <w:pPr>
        <w:pStyle w:val="3"/>
        <w:numPr>
          <w:ilvl w:val="0"/>
          <w:numId w:val="0"/>
        </w:numPr>
        <w:ind w:leftChars="0"/>
        <w:rPr>
          <w:rFonts w:hint="eastAsia"/>
          <w:lang w:val="en-US" w:eastAsia="zh-CN"/>
        </w:rPr>
      </w:pPr>
    </w:p>
    <w:p>
      <w:pPr>
        <w:pStyle w:val="3"/>
        <w:numPr>
          <w:ilvl w:val="0"/>
          <w:numId w:val="0"/>
        </w:numPr>
        <w:ind w:leftChars="0"/>
        <w:rPr>
          <w:rFonts w:hint="eastAsia"/>
          <w:lang w:val="en-US" w:eastAsia="zh-CN"/>
        </w:rPr>
      </w:pPr>
    </w:p>
    <w:p>
      <w:pPr>
        <w:pStyle w:val="3"/>
        <w:rPr>
          <w:rFonts w:hint="eastAsia"/>
          <w:lang w:val="en-US" w:eastAsia="zh-CN"/>
        </w:rPr>
      </w:pPr>
    </w:p>
    <w:p>
      <w:pPr>
        <w:pStyle w:val="3"/>
        <w:ind w:left="0" w:leftChars="0" w:firstLine="0" w:firstLineChars="0"/>
        <w:rPr>
          <w:rFonts w:hint="eastAsia"/>
          <w:lang w:val="en-US" w:eastAsia="zh-CN"/>
        </w:rPr>
      </w:pPr>
    </w:p>
    <w:p>
      <w:pPr>
        <w:pStyle w:val="3"/>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swiss"/>
    <w:pitch w:val="default"/>
    <w:sig w:usb0="800002BF" w:usb1="38CF7CFA" w:usb2="00000016" w:usb3="00000000" w:csb0="00040001" w:csb1="00000000"/>
  </w:font>
  <w:font w:name="楷体_GB2312">
    <w:altName w:val="楷体"/>
    <w:panose1 w:val="02010609030101010101"/>
    <w:charset w:val="86"/>
    <w:family w:val="swiss"/>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onotype Corsiva">
    <w:altName w:val="Mongolian Baiti"/>
    <w:panose1 w:val="03010101010201010101"/>
    <w:charset w:val="00"/>
    <w:family w:val="script"/>
    <w:pitch w:val="default"/>
    <w:sig w:usb0="00000000" w:usb1="00000000" w:usb2="00000000" w:usb3="00000000" w:csb0="2000009F" w:csb1="DFD70000"/>
  </w:font>
  <w:font w:name="Franklin Gothic Book">
    <w:altName w:val="Yu Gothic UI"/>
    <w:panose1 w:val="020B0503020102020204"/>
    <w:charset w:val="00"/>
    <w:family w:val="roman"/>
    <w:pitch w:val="default"/>
    <w:sig w:usb0="00000000" w:usb1="00000000" w:usb2="00000000" w:usb3="00000000" w:csb0="2000009F" w:csb1="DFD70000"/>
  </w:font>
  <w:font w:name="华文细黑">
    <w:altName w:val="微软雅黑"/>
    <w:panose1 w:val="02010600040101010101"/>
    <w:charset w:val="86"/>
    <w:family w:val="auto"/>
    <w:pitch w:val="default"/>
    <w:sig w:usb0="00000000" w:usb1="00000000" w:usb2="00000000" w:usb3="00000000" w:csb0="0004009F" w:csb1="DFD70000"/>
  </w:font>
  <w:font w:name="Perpetua">
    <w:altName w:val="PMingLiU-ExtB"/>
    <w:panose1 w:val="02020502060401020303"/>
    <w:charset w:val="00"/>
    <w:family w:val="swiss"/>
    <w:pitch w:val="default"/>
    <w:sig w:usb0="00000000" w:usb1="00000000" w:usb2="00000000" w:usb3="00000000" w:csb0="20000001" w:csb1="00000000"/>
  </w:font>
  <w:font w:name="Arial">
    <w:panose1 w:val="020B0604020202020204"/>
    <w:charset w:val="00"/>
    <w:family w:val="swiss"/>
    <w:pitch w:val="default"/>
    <w:sig w:usb0="E0002EFF" w:usb1="C0007843" w:usb2="00000009" w:usb3="00000000" w:csb0="400001FF" w:csb1="FFFF0000"/>
  </w:font>
  <w:font w:name="Yu Gothic UI">
    <w:panose1 w:val="020B0500000000000000"/>
    <w:charset w:val="80"/>
    <w:family w:val="auto"/>
    <w:pitch w:val="default"/>
    <w:sig w:usb0="E00002FF" w:usb1="2AC7FDFF" w:usb2="00000016" w:usb3="00000000" w:csb0="2002009F" w:csb1="00000000"/>
  </w:font>
  <w:font w:name="Mongolian Baiti">
    <w:panose1 w:val="03000500000000000000"/>
    <w:charset w:val="00"/>
    <w:family w:val="auto"/>
    <w:pitch w:val="default"/>
    <w:sig w:usb0="80000023" w:usb1="00000000" w:usb2="00020000" w:usb3="00000000" w:csb0="00000001" w:csb1="00000000"/>
  </w:font>
  <w:font w:name="PMingLiU-ExtB">
    <w:panose1 w:val="02020500000000000000"/>
    <w:charset w:val="88"/>
    <w:family w:val="auto"/>
    <w:pitch w:val="default"/>
    <w:sig w:usb0="8000002F" w:usb1="02000008" w:usb2="00000000" w:usb3="00000000" w:csb0="00100001" w:csb1="00000000"/>
  </w:font>
  <w:font w:name="隶书">
    <w:altName w:val="微软雅黑"/>
    <w:panose1 w:val="02010509060101010101"/>
    <w:charset w:val="86"/>
    <w:family w:val="modern"/>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603F01FF" w:csb1="FFFF0000"/>
  </w:font>
  <w:font w:name="Century">
    <w:panose1 w:val="02040604050505020304"/>
    <w:charset w:val="00"/>
    <w:family w:val="roman"/>
    <w:pitch w:val="default"/>
    <w:sig w:usb0="00000287" w:usb1="00000000" w:usb2="00000000" w:usb3="00000000" w:csb0="2000009F" w:csb1="DFD70000"/>
  </w:font>
  <w:font w:name="Book Antiqua">
    <w:altName w:val="Segoe Print"/>
    <w:panose1 w:val="02040602050305030304"/>
    <w:charset w:val="00"/>
    <w:family w:val="roman"/>
    <w:pitch w:val="default"/>
    <w:sig w:usb0="00000000" w:usb1="00000000" w:usb2="00000000" w:usb3="00000000" w:csb0="2000009F" w:csb1="DFD70000"/>
  </w:font>
  <w:font w:name="等线">
    <w:panose1 w:val="02010600030101010101"/>
    <w:charset w:val="86"/>
    <w:family w:val="auto"/>
    <w:pitch w:val="default"/>
    <w:sig w:usb0="A00002BF" w:usb1="38CF7CFA" w:usb2="00000016" w:usb3="00000000" w:csb0="0004000F" w:csb1="00000000"/>
  </w:font>
  <w:font w:name="Latha">
    <w:altName w:val="Segoe Print"/>
    <w:panose1 w:val="020B0604020202020204"/>
    <w:charset w:val="00"/>
    <w:family w:val="swiss"/>
    <w:pitch w:val="default"/>
    <w:sig w:usb0="00000000" w:usb1="00000000" w:usb2="00000000" w:usb3="00000000" w:csb0="00000001" w:csb1="00000000"/>
  </w:font>
  <w:font w:name="华文行楷">
    <w:altName w:val="微软雅黑"/>
    <w:panose1 w:val="02010800040101010101"/>
    <w:charset w:val="86"/>
    <w:family w:val="auto"/>
    <w:pitch w:val="default"/>
    <w:sig w:usb0="00000000" w:usb1="00000000" w:usb2="00000000" w:usb3="00000000" w:csb0="00040000" w:csb1="00000000"/>
  </w:font>
  <w:font w:name="Century Schoolbook">
    <w:altName w:val="Segoe Print"/>
    <w:panose1 w:val="02040604050505020304"/>
    <w:charset w:val="00"/>
    <w:family w:val="roman"/>
    <w:pitch w:val="default"/>
    <w:sig w:usb0="00000000" w:usb1="00000000" w:usb2="00000000" w:usb3="00000000" w:csb0="2000009F" w:csb1="DFD70000"/>
  </w:font>
  <w:font w:name="Arial Narrow">
    <w:altName w:val="Arial"/>
    <w:panose1 w:val="020B0606020202030204"/>
    <w:charset w:val="00"/>
    <w:family w:val="swiss"/>
    <w:pitch w:val="default"/>
    <w:sig w:usb0="00000000" w:usb1="00000000" w:usb2="00000000" w:usb3="00000000" w:csb0="2000009F" w:csb1="DFD70000"/>
  </w:font>
  <w:font w:name="Garamond">
    <w:altName w:val="PMingLiU-ExtB"/>
    <w:panose1 w:val="02020404030301010803"/>
    <w:charset w:val="00"/>
    <w:family w:val="roman"/>
    <w:pitch w:val="default"/>
    <w:sig w:usb0="00000000" w:usb1="00000000" w:usb2="00000000" w:usb3="00000000" w:csb0="0000009F" w:csb1="DFD70000"/>
  </w:font>
  <w:font w:name="华文中宋">
    <w:altName w:val="宋体"/>
    <w:panose1 w:val="02010600040101010101"/>
    <w:charset w:val="86"/>
    <w:family w:val="auto"/>
    <w:pitch w:val="default"/>
    <w:sig w:usb0="00000000" w:usb1="00000000" w:usb2="00000000" w:usb3="00000000" w:csb0="0004009F" w:csb1="DFD70000"/>
  </w:font>
  <w:font w:name="幼圆">
    <w:altName w:val="宋体"/>
    <w:panose1 w:val="02010509060101010101"/>
    <w:charset w:val="86"/>
    <w:family w:val="modern"/>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Futura Lt">
    <w:altName w:val="Arial"/>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hruti">
    <w:altName w:val="Sitka Text"/>
    <w:panose1 w:val="020005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
    <w:altName w:val="Times New Roman"/>
    <w:panose1 w:val="00000000000000000000"/>
    <w:charset w:val="00"/>
    <w:family w:val="decorative"/>
    <w:pitch w:val="default"/>
    <w:sig w:usb0="00000000" w:usb1="00000000" w:usb2="00000000" w:usb3="00000000" w:csb0="00000001" w:csb1="00000000"/>
  </w:font>
  <w:font w:name="宋体-PUA">
    <w:altName w:val="宋体"/>
    <w:panose1 w:val="02010600030101010101"/>
    <w:charset w:val="86"/>
    <w:family w:val="auto"/>
    <w:pitch w:val="default"/>
    <w:sig w:usb0="00000000" w:usb1="00000000" w:usb2="00000000" w:usb3="00000000" w:csb0="00040000" w:csb1="00000000"/>
  </w:font>
  <w:font w:name="腾祥相思体简">
    <w:altName w:val="宋体"/>
    <w:panose1 w:val="01010104010101010101"/>
    <w:charset w:val="86"/>
    <w:family w:val="auto"/>
    <w:pitch w:val="default"/>
    <w:sig w:usb0="00000000" w:usb1="00000000" w:usb2="00000012" w:usb3="00000000" w:csb0="00040001" w:csb1="00000000"/>
  </w:font>
  <w:font w:name="腾祥嘉丽超细圆简">
    <w:altName w:val="宋体"/>
    <w:panose1 w:val="01010104010101010101"/>
    <w:charset w:val="86"/>
    <w:family w:val="auto"/>
    <w:pitch w:val="default"/>
    <w:sig w:usb0="00000000" w:usb1="00000000" w:usb2="00000012" w:usb3="00000000" w:csb0="00040001" w:csb1="00000000"/>
  </w:font>
  <w:font w:name="腾祥嘉丽细黑简">
    <w:altName w:val="黑体"/>
    <w:panose1 w:val="01010104010101010101"/>
    <w:charset w:val="86"/>
    <w:family w:val="auto"/>
    <w:pitch w:val="default"/>
    <w:sig w:usb0="00000000" w:usb1="00000000" w:usb2="00000012" w:usb3="00000000" w:csb0="00040001" w:csb1="00000000"/>
  </w:font>
  <w:font w:name="叶根友小细楷02">
    <w:altName w:val="宋体"/>
    <w:panose1 w:val="02010601030101010101"/>
    <w:charset w:val="86"/>
    <w:family w:val="auto"/>
    <w:pitch w:val="default"/>
    <w:sig w:usb0="00000000" w:usb1="00000000" w:usb2="00000000" w:usb3="00000000" w:csb0="00040000" w:csb1="00000000"/>
  </w:font>
  <w:font w:name="方正兰亭超细黑简体">
    <w:altName w:val="黑体"/>
    <w:panose1 w:val="02000000000000000000"/>
    <w:charset w:val="86"/>
    <w:family w:val="auto"/>
    <w:pitch w:val="default"/>
    <w:sig w:usb0="00000000" w:usb1="00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方正小标宋简体">
    <w:altName w:val="黑体"/>
    <w:panose1 w:val="02010601030101010101"/>
    <w:charset w:val="86"/>
    <w:family w:val="auto"/>
    <w:pitch w:val="default"/>
    <w:sig w:usb0="00000000" w:usb1="00000000" w:usb2="00000010" w:usb3="00000000" w:csb0="00040000" w:csb1="00000000"/>
  </w:font>
  <w:font w:name="方正大标宋简体">
    <w:altName w:val="宋体"/>
    <w:panose1 w:val="02010601030101010101"/>
    <w:charset w:val="86"/>
    <w:family w:val="auto"/>
    <w:pitch w:val="default"/>
    <w:sig w:usb0="00000000" w:usb1="00000000" w:usb2="00000010" w:usb3="00000000" w:csb0="00040000" w:csb1="00000000"/>
  </w:font>
  <w:font w:name="宋体-18030">
    <w:altName w:val="宋体"/>
    <w:panose1 w:val="00000000000000000000"/>
    <w:charset w:val="86"/>
    <w:family w:val="swiss"/>
    <w:pitch w:val="default"/>
    <w:sig w:usb0="00000000" w:usb1="00000000" w:usb2="00000010" w:usb3="00000000" w:csb0="00040000" w:csb1="00000000"/>
  </w:font>
  <w:font w:name="Times">
    <w:altName w:val="Times New Roman"/>
    <w:panose1 w:val="02020603050405020304"/>
    <w:charset w:val="00"/>
    <w:family w:val="modern"/>
    <w:pitch w:val="default"/>
    <w:sig w:usb0="00000000" w:usb1="00000000" w:usb2="00000000" w:usb3="00000000" w:csb0="00000001" w:csb1="00000000"/>
  </w:font>
  <w:font w:name="MS Mincho">
    <w:altName w:val="Yu Gothic UI"/>
    <w:panose1 w:val="02020609040205080304"/>
    <w:charset w:val="80"/>
    <w:family w:val="swiss"/>
    <w:pitch w:val="default"/>
    <w:sig w:usb0="00000000" w:usb1="00000000" w:usb2="00000010" w:usb3="00000000" w:csb0="4002009F" w:csb1="DFD70000"/>
  </w:font>
  <w:font w:name="方正兰亭黑简体">
    <w:altName w:val="黑体"/>
    <w:panose1 w:val="02000000000000000000"/>
    <w:charset w:val="86"/>
    <w:family w:val="auto"/>
    <w:pitch w:val="default"/>
    <w:sig w:usb0="00000000" w:usb1="00000000" w:usb2="00000000" w:usb3="00000000" w:csb0="00040000" w:csb1="00000000"/>
  </w:font>
  <w:font w:name="Sitka Text">
    <w:panose1 w:val="02000505000000020004"/>
    <w:charset w:val="00"/>
    <w:family w:val="auto"/>
    <w:pitch w:val="default"/>
    <w:sig w:usb0="A00002EF" w:usb1="4000204B" w:usb2="00000000"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华文新魏">
    <w:altName w:val="宋体"/>
    <w:panose1 w:val="02010800040101010101"/>
    <w:charset w:val="86"/>
    <w:family w:val="auto"/>
    <w:pitch w:val="default"/>
    <w:sig w:usb0="00000000" w:usb1="00000000" w:usb2="0000000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宋体-方正超大字符集">
    <w:altName w:val="宋体"/>
    <w:panose1 w:val="03000509000000000000"/>
    <w:charset w:val="86"/>
    <w:family w:val="auto"/>
    <w:pitch w:val="default"/>
    <w:sig w:usb0="00000000" w:usb1="00000000" w:usb2="00000000" w:usb3="00000000" w:csb0="00040000" w:csb1="00000000"/>
  </w:font>
  <w:font w:name="微软雅黑 Regular">
    <w:altName w:val="黑体"/>
    <w:panose1 w:val="00000000000000000000"/>
    <w:charset w:val="00"/>
    <w:family w:val="auto"/>
    <w:pitch w:val="default"/>
    <w:sig w:usb0="00000000" w:usb1="00000000" w:usb2="00000000" w:usb3="00000000" w:csb0="00000000" w:csb1="00000000"/>
  </w:font>
  <w:font w:name="Microsoft YaHei UI">
    <w:panose1 w:val="020B0503020204020204"/>
    <w:charset w:val="86"/>
    <w:family w:val="auto"/>
    <w:pitch w:val="default"/>
    <w:sig w:usb0="80000287" w:usb1="28CF3C50" w:usb2="00000016" w:usb3="00000000" w:csb0="0004001F"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Hiragino Sans GB">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微软雅黑 Light">
    <w:panose1 w:val="020B0502040204020203"/>
    <w:charset w:val="86"/>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71EC3"/>
    <w:multiLevelType w:val="multilevel"/>
    <w:tmpl w:val="27871EC3"/>
    <w:lvl w:ilvl="0" w:tentative="0">
      <w:start w:val="1"/>
      <w:numFmt w:val="chineseCountingThousand"/>
      <w:pStyle w:val="2"/>
      <w:lvlText w:val="%1."/>
      <w:lvlJc w:val="left"/>
      <w:pPr>
        <w:tabs>
          <w:tab w:val="left" w:pos="567"/>
        </w:tabs>
        <w:ind w:left="567" w:hanging="567"/>
      </w:pPr>
      <w:rPr>
        <w:rFonts w:hint="eastAsia" w:ascii="微软雅黑" w:hAnsi="微软雅黑" w:eastAsia="微软雅黑"/>
        <w:sz w:val="30"/>
      </w:rPr>
    </w:lvl>
    <w:lvl w:ilvl="1" w:tentative="0">
      <w:start w:val="1"/>
      <w:numFmt w:val="decimal"/>
      <w:pStyle w:val="5"/>
      <w:isLgl/>
      <w:lvlText w:val="%1.%2"/>
      <w:lvlJc w:val="left"/>
      <w:pPr>
        <w:tabs>
          <w:tab w:val="left" w:pos="567"/>
        </w:tabs>
        <w:ind w:left="567" w:hanging="567"/>
      </w:pPr>
      <w:rPr>
        <w:rFonts w:hint="default" w:ascii="Arial" w:hAnsi="Arial" w:eastAsia="微软雅黑" w:cs="Times New Roman"/>
        <w:i w:val="0"/>
        <w:iCs w:val="0"/>
        <w:caps w:val="0"/>
        <w:smallCaps w:val="0"/>
        <w:strike w:val="0"/>
        <w:dstrike w:val="0"/>
        <w:vanish w:val="0"/>
        <w:kern w:val="0"/>
        <w:position w:val="0"/>
        <w:u w:val="none"/>
        <w:vertAlign w:val="baseline"/>
      </w:rPr>
    </w:lvl>
    <w:lvl w:ilvl="2" w:tentative="0">
      <w:start w:val="1"/>
      <w:numFmt w:val="decimal"/>
      <w:pStyle w:val="6"/>
      <w:isLgl/>
      <w:lvlText w:val="%1.%2.%3"/>
      <w:lvlJc w:val="left"/>
      <w:pPr>
        <w:tabs>
          <w:tab w:val="left" w:pos="567"/>
        </w:tabs>
        <w:ind w:left="567" w:hanging="567"/>
      </w:pPr>
      <w:rPr>
        <w:rFonts w:hint="default" w:ascii="Arial" w:hAnsi="Arial" w:eastAsia="微软雅黑"/>
        <w:sz w:val="24"/>
      </w:rPr>
    </w:lvl>
    <w:lvl w:ilvl="3" w:tentative="0">
      <w:start w:val="1"/>
      <w:numFmt w:val="decimal"/>
      <w:isLgl/>
      <w:lvlText w:val="%1.%2.%3.%4"/>
      <w:lvlJc w:val="left"/>
      <w:pPr>
        <w:tabs>
          <w:tab w:val="left" w:pos="851"/>
        </w:tabs>
        <w:ind w:left="851" w:hanging="851"/>
      </w:pPr>
      <w:rPr>
        <w:rFonts w:hint="default" w:ascii="Arial" w:hAnsi="Arial" w:eastAsia="微软雅黑"/>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591EA240"/>
    <w:multiLevelType w:val="singleLevel"/>
    <w:tmpl w:val="591EA240"/>
    <w:lvl w:ilvl="0" w:tentative="0">
      <w:start w:val="1"/>
      <w:numFmt w:val="decimal"/>
      <w:suff w:val="nothing"/>
      <w:lvlText w:val="%1、"/>
      <w:lvlJc w:val="left"/>
    </w:lvl>
  </w:abstractNum>
  <w:abstractNum w:abstractNumId="2">
    <w:nsid w:val="591EAF40"/>
    <w:multiLevelType w:val="singleLevel"/>
    <w:tmpl w:val="591EAF40"/>
    <w:lvl w:ilvl="0" w:tentative="0">
      <w:start w:val="1"/>
      <w:numFmt w:val="decimal"/>
      <w:suff w:val="nothing"/>
      <w:lvlText w:val="%1、"/>
      <w:lvlJc w:val="left"/>
    </w:lvl>
  </w:abstractNum>
  <w:abstractNum w:abstractNumId="3">
    <w:nsid w:val="592D8E4A"/>
    <w:multiLevelType w:val="singleLevel"/>
    <w:tmpl w:val="592D8E4A"/>
    <w:lvl w:ilvl="0" w:tentative="0">
      <w:start w:val="1"/>
      <w:numFmt w:val="decimal"/>
      <w:lvlText w:val="%1."/>
      <w:lvlJc w:val="left"/>
      <w:pPr>
        <w:ind w:left="425" w:leftChars="0" w:hanging="425" w:firstLineChars="0"/>
      </w:pPr>
      <w:rPr>
        <w:rFonts w:hint="default"/>
      </w:rPr>
    </w:lvl>
  </w:abstractNum>
  <w:abstractNum w:abstractNumId="4">
    <w:nsid w:val="592D91AC"/>
    <w:multiLevelType w:val="singleLevel"/>
    <w:tmpl w:val="592D91AC"/>
    <w:lvl w:ilvl="0" w:tentative="0">
      <w:start w:val="1"/>
      <w:numFmt w:val="decimal"/>
      <w:lvlText w:val="%1."/>
      <w:lvlJc w:val="left"/>
      <w:pPr>
        <w:ind w:left="425" w:leftChars="0" w:hanging="425" w:firstLineChars="0"/>
      </w:pPr>
      <w:rPr>
        <w:rFonts w:hint="default"/>
      </w:rPr>
    </w:lvl>
  </w:abstractNum>
  <w:abstractNum w:abstractNumId="5">
    <w:nsid w:val="592D9378"/>
    <w:multiLevelType w:val="singleLevel"/>
    <w:tmpl w:val="592D9378"/>
    <w:lvl w:ilvl="0" w:tentative="0">
      <w:start w:val="1"/>
      <w:numFmt w:val="decimal"/>
      <w:lvlText w:val="%1."/>
      <w:lvlJc w:val="left"/>
      <w:pPr>
        <w:ind w:left="425" w:leftChars="0" w:hanging="425" w:firstLineChars="0"/>
      </w:pPr>
      <w:rPr>
        <w:rFonts w:hint="default"/>
      </w:rPr>
    </w:lvl>
  </w:abstractNum>
  <w:abstractNum w:abstractNumId="6">
    <w:nsid w:val="592D9633"/>
    <w:multiLevelType w:val="singleLevel"/>
    <w:tmpl w:val="592D9633"/>
    <w:lvl w:ilvl="0" w:tentative="0">
      <w:start w:val="1"/>
      <w:numFmt w:val="decimal"/>
      <w:lvlText w:val="%1."/>
      <w:lvlJc w:val="left"/>
      <w:pPr>
        <w:ind w:left="425" w:leftChars="0" w:hanging="425" w:firstLineChars="0"/>
      </w:pPr>
      <w:rPr>
        <w:rFonts w:hint="default"/>
      </w:rPr>
    </w:lvl>
  </w:abstractNum>
  <w:abstractNum w:abstractNumId="7">
    <w:nsid w:val="592D99FC"/>
    <w:multiLevelType w:val="singleLevel"/>
    <w:tmpl w:val="592D99FC"/>
    <w:lvl w:ilvl="0" w:tentative="0">
      <w:start w:val="1"/>
      <w:numFmt w:val="decimal"/>
      <w:lvlText w:val="%1."/>
      <w:lvlJc w:val="left"/>
      <w:pPr>
        <w:ind w:left="425" w:leftChars="0" w:hanging="425" w:firstLineChars="0"/>
      </w:pPr>
      <w:rPr>
        <w:rFonts w:hint="default"/>
      </w:rPr>
    </w:lvl>
  </w:abstractNum>
  <w:abstractNum w:abstractNumId="8">
    <w:nsid w:val="592DA326"/>
    <w:multiLevelType w:val="singleLevel"/>
    <w:tmpl w:val="592DA326"/>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8"/>
  </w:num>
  <w:num w:numId="5">
    <w:abstractNumId w:val="3"/>
  </w:num>
  <w:num w:numId="6">
    <w:abstractNumId w:val="4"/>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24193"/>
    <w:rsid w:val="019A1B0D"/>
    <w:rsid w:val="02103918"/>
    <w:rsid w:val="029B6269"/>
    <w:rsid w:val="03241115"/>
    <w:rsid w:val="07975D28"/>
    <w:rsid w:val="08D80646"/>
    <w:rsid w:val="09483DED"/>
    <w:rsid w:val="0FA24A8D"/>
    <w:rsid w:val="13A1699E"/>
    <w:rsid w:val="13F41F16"/>
    <w:rsid w:val="15112A68"/>
    <w:rsid w:val="151C393C"/>
    <w:rsid w:val="179A5A22"/>
    <w:rsid w:val="18DF4137"/>
    <w:rsid w:val="18E97A05"/>
    <w:rsid w:val="19275F5E"/>
    <w:rsid w:val="19804524"/>
    <w:rsid w:val="19EA6A65"/>
    <w:rsid w:val="1AC378A3"/>
    <w:rsid w:val="1C067873"/>
    <w:rsid w:val="1CDA78F5"/>
    <w:rsid w:val="1D906D77"/>
    <w:rsid w:val="1E0B7743"/>
    <w:rsid w:val="1F485137"/>
    <w:rsid w:val="219346D2"/>
    <w:rsid w:val="23CC5A10"/>
    <w:rsid w:val="23F7018E"/>
    <w:rsid w:val="243C5FA9"/>
    <w:rsid w:val="24D11FEA"/>
    <w:rsid w:val="24DA3ADC"/>
    <w:rsid w:val="25C42BE1"/>
    <w:rsid w:val="260F05EE"/>
    <w:rsid w:val="274B1893"/>
    <w:rsid w:val="29A022FB"/>
    <w:rsid w:val="29E22306"/>
    <w:rsid w:val="2A226343"/>
    <w:rsid w:val="2AD770E9"/>
    <w:rsid w:val="2D2521A1"/>
    <w:rsid w:val="2D2E651F"/>
    <w:rsid w:val="30EC2B76"/>
    <w:rsid w:val="336C756B"/>
    <w:rsid w:val="33DD1112"/>
    <w:rsid w:val="351E18A4"/>
    <w:rsid w:val="35931B7A"/>
    <w:rsid w:val="3A2D634F"/>
    <w:rsid w:val="3A742B59"/>
    <w:rsid w:val="3B34156B"/>
    <w:rsid w:val="3B9F5A61"/>
    <w:rsid w:val="3C2014F3"/>
    <w:rsid w:val="3ED522D9"/>
    <w:rsid w:val="3F7673A2"/>
    <w:rsid w:val="40087F64"/>
    <w:rsid w:val="40496104"/>
    <w:rsid w:val="40517461"/>
    <w:rsid w:val="407608AA"/>
    <w:rsid w:val="416445CD"/>
    <w:rsid w:val="41E26FF0"/>
    <w:rsid w:val="41FB2D47"/>
    <w:rsid w:val="42762EFF"/>
    <w:rsid w:val="432B5CA1"/>
    <w:rsid w:val="4361046C"/>
    <w:rsid w:val="44505684"/>
    <w:rsid w:val="44832196"/>
    <w:rsid w:val="450B6C6F"/>
    <w:rsid w:val="48860BC2"/>
    <w:rsid w:val="493D7E8A"/>
    <w:rsid w:val="49B931F0"/>
    <w:rsid w:val="49D94DE1"/>
    <w:rsid w:val="4B6E0D5C"/>
    <w:rsid w:val="4D576233"/>
    <w:rsid w:val="4E336B5C"/>
    <w:rsid w:val="540849A7"/>
    <w:rsid w:val="5457273C"/>
    <w:rsid w:val="56D43FD7"/>
    <w:rsid w:val="57AD5EFD"/>
    <w:rsid w:val="57C2492B"/>
    <w:rsid w:val="594D24DD"/>
    <w:rsid w:val="59584795"/>
    <w:rsid w:val="59A83981"/>
    <w:rsid w:val="5A331E09"/>
    <w:rsid w:val="5A384619"/>
    <w:rsid w:val="5BB43B19"/>
    <w:rsid w:val="5C0A6A1A"/>
    <w:rsid w:val="5C1A3189"/>
    <w:rsid w:val="5CE33C0E"/>
    <w:rsid w:val="5DFE0605"/>
    <w:rsid w:val="5E595036"/>
    <w:rsid w:val="5EDC1C28"/>
    <w:rsid w:val="5EE914F9"/>
    <w:rsid w:val="5EFD04E3"/>
    <w:rsid w:val="5F15420F"/>
    <w:rsid w:val="600622C6"/>
    <w:rsid w:val="60950139"/>
    <w:rsid w:val="630C7840"/>
    <w:rsid w:val="636461F1"/>
    <w:rsid w:val="64487BC7"/>
    <w:rsid w:val="64D842E5"/>
    <w:rsid w:val="651A3272"/>
    <w:rsid w:val="66B7295C"/>
    <w:rsid w:val="67A26B6E"/>
    <w:rsid w:val="67DC1FA8"/>
    <w:rsid w:val="67E10BCC"/>
    <w:rsid w:val="67E13062"/>
    <w:rsid w:val="68131DBA"/>
    <w:rsid w:val="6A241429"/>
    <w:rsid w:val="6BA9058A"/>
    <w:rsid w:val="6F957FC0"/>
    <w:rsid w:val="73CB3EB1"/>
    <w:rsid w:val="745845B5"/>
    <w:rsid w:val="76412436"/>
    <w:rsid w:val="77A752DA"/>
    <w:rsid w:val="78125AB2"/>
    <w:rsid w:val="78D24B42"/>
    <w:rsid w:val="798F5DD4"/>
    <w:rsid w:val="79A4421D"/>
    <w:rsid w:val="7B8D0F33"/>
    <w:rsid w:val="7D6A0A39"/>
    <w:rsid w:val="7DC937D8"/>
    <w:rsid w:val="7F5A280B"/>
    <w:rsid w:val="7F6107E1"/>
    <w:rsid w:val="7FCE6A5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numPr>
        <w:ilvl w:val="0"/>
        <w:numId w:val="1"/>
      </w:numPr>
      <w:spacing w:before="300" w:after="40"/>
      <w:ind w:left="0" w:firstLine="0"/>
      <w:outlineLvl w:val="0"/>
    </w:pPr>
    <w:rPr>
      <w:rFonts w:ascii="Franklin Gothic Book" w:hAnsi="Franklin Gothic Book"/>
      <w:b/>
      <w:bCs/>
      <w:color w:val="9C3511"/>
      <w:spacing w:val="20"/>
      <w:sz w:val="30"/>
      <w:szCs w:val="28"/>
    </w:rPr>
  </w:style>
  <w:style w:type="paragraph" w:styleId="5">
    <w:name w:val="heading 2"/>
    <w:basedOn w:val="1"/>
    <w:next w:val="3"/>
    <w:unhideWhenUsed/>
    <w:qFormat/>
    <w:uiPriority w:val="0"/>
    <w:pPr>
      <w:numPr>
        <w:ilvl w:val="1"/>
        <w:numId w:val="1"/>
      </w:numPr>
      <w:spacing w:before="240" w:after="40"/>
      <w:ind w:left="0" w:firstLine="0"/>
      <w:outlineLvl w:val="1"/>
    </w:pPr>
    <w:rPr>
      <w:rFonts w:ascii="Franklin Gothic Book" w:hAnsi="Franklin Gothic Book"/>
      <w:b/>
      <w:bCs/>
      <w:color w:val="9C3511"/>
      <w:spacing w:val="20"/>
      <w:sz w:val="28"/>
    </w:rPr>
  </w:style>
  <w:style w:type="paragraph" w:styleId="6">
    <w:name w:val="heading 3"/>
    <w:basedOn w:val="1"/>
    <w:next w:val="3"/>
    <w:unhideWhenUsed/>
    <w:qFormat/>
    <w:uiPriority w:val="0"/>
    <w:pPr>
      <w:numPr>
        <w:ilvl w:val="2"/>
        <w:numId w:val="1"/>
      </w:numPr>
      <w:spacing w:before="200" w:after="40"/>
      <w:ind w:left="0" w:firstLine="0"/>
      <w:outlineLvl w:val="2"/>
    </w:pPr>
    <w:rPr>
      <w:rFonts w:ascii="Franklin Gothic Book" w:hAnsi="Franklin Gothic Book"/>
      <w:b/>
      <w:bCs/>
      <w:color w:val="993300"/>
      <w:spacing w:val="20"/>
      <w:sz w:val="24"/>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3">
    <w:name w:val="Body Text First Indent"/>
    <w:basedOn w:val="4"/>
    <w:qFormat/>
    <w:uiPriority w:val="0"/>
    <w:pPr>
      <w:spacing w:after="160"/>
      <w:ind w:firstLine="250" w:firstLineChars="250"/>
    </w:pPr>
  </w:style>
  <w:style w:type="paragraph" w:styleId="4">
    <w:name w:val="Body Text"/>
    <w:basedOn w:val="1"/>
    <w:qFormat/>
    <w:uiPriority w:val="0"/>
    <w:pPr>
      <w:spacing w:after="120"/>
    </w:pPr>
  </w:style>
  <w:style w:type="paragraph" w:styleId="7">
    <w:name w:val="Normal (Web)"/>
    <w:basedOn w:val="1"/>
    <w:qFormat/>
    <w:uiPriority w:val="0"/>
    <w:rPr>
      <w:sz w:val="24"/>
    </w:rPr>
  </w:style>
  <w:style w:type="character" w:styleId="9">
    <w:name w:val="Strong"/>
    <w:basedOn w:val="8"/>
    <w:qFormat/>
    <w:uiPriority w:val="0"/>
    <w:rPr>
      <w:b/>
    </w:rPr>
  </w:style>
  <w:style w:type="character" w:styleId="10">
    <w:name w:val="FollowedHyperlink"/>
    <w:basedOn w:val="8"/>
    <w:qFormat/>
    <w:uiPriority w:val="0"/>
    <w:rPr>
      <w:color w:val="800080"/>
      <w:u w:val="none"/>
    </w:rPr>
  </w:style>
  <w:style w:type="character" w:styleId="11">
    <w:name w:val="HTML Typewriter"/>
    <w:basedOn w:val="8"/>
    <w:qFormat/>
    <w:uiPriority w:val="0"/>
    <w:rPr>
      <w:rFonts w:ascii="Courier New" w:hAnsi="Courier New"/>
      <w:sz w:val="20"/>
    </w:rPr>
  </w:style>
  <w:style w:type="character" w:styleId="12">
    <w:name w:val="Hyperlink"/>
    <w:basedOn w:val="8"/>
    <w:qFormat/>
    <w:uiPriority w:val="0"/>
    <w:rPr>
      <w:color w:val="0000FF"/>
      <w:u w:val="non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5">
    <w:name w:val="first-child"/>
    <w:basedOn w:val="8"/>
    <w:qFormat/>
    <w:uiPriority w:val="0"/>
  </w:style>
  <w:style w:type="character" w:customStyle="1" w:styleId="16">
    <w:name w:val="hover5"/>
    <w:basedOn w:val="8"/>
    <w:qFormat/>
    <w:uiPriority w:val="0"/>
    <w:rPr>
      <w:shd w:val="clear" w:fill="F3F3F3"/>
    </w:rPr>
  </w:style>
  <w:style w:type="character" w:customStyle="1" w:styleId="17">
    <w:name w:val="hover6"/>
    <w:basedOn w:val="8"/>
    <w:qFormat/>
    <w:uiPriority w:val="0"/>
    <w:rPr>
      <w:sz w:val="10"/>
      <w:szCs w:val="10"/>
    </w:rPr>
  </w:style>
  <w:style w:type="character" w:customStyle="1" w:styleId="18">
    <w:name w:val="hover7"/>
    <w:basedOn w:val="8"/>
    <w:qFormat/>
    <w:uiPriority w:val="0"/>
    <w:rPr>
      <w:shd w:val="clear" w:fill="F3F3F3"/>
    </w:rPr>
  </w:style>
  <w:style w:type="character" w:customStyle="1" w:styleId="19">
    <w:name w:val="layui-layer-tabnow"/>
    <w:basedOn w:val="8"/>
    <w:qFormat/>
    <w:uiPriority w:val="0"/>
    <w:rPr>
      <w:bdr w:val="single" w:color="CCCCCC" w:sz="2" w:space="0"/>
      <w:shd w:val="clear" w:fill="FFFFFF"/>
    </w:rPr>
  </w:style>
  <w:style w:type="character" w:customStyle="1" w:styleId="20">
    <w:name w:val="hover11"/>
    <w:basedOn w:val="8"/>
    <w:qFormat/>
    <w:uiPriority w:val="0"/>
    <w:rPr>
      <w:color w:val="FFFFFF"/>
      <w:shd w:val="clear" w:fill="D2AA64"/>
    </w:rPr>
  </w:style>
  <w:style w:type="character" w:customStyle="1" w:styleId="21">
    <w:name w:val="hover12"/>
    <w:basedOn w:val="8"/>
    <w:qFormat/>
    <w:uiPriority w:val="0"/>
    <w:rPr>
      <w:shd w:val="clear" w:fill="F3F3F3"/>
    </w:rPr>
  </w:style>
  <w:style w:type="character" w:customStyle="1" w:styleId="22">
    <w:name w:val="hover13"/>
    <w:basedOn w:val="8"/>
    <w:qFormat/>
    <w:uiPriority w:val="0"/>
    <w:rPr>
      <w:sz w:val="10"/>
      <w:szCs w:val="10"/>
    </w:rPr>
  </w:style>
  <w:style w:type="character" w:customStyle="1" w:styleId="23">
    <w:name w:val="hover14"/>
    <w:basedOn w:val="8"/>
    <w:qFormat/>
    <w:uiPriority w:val="0"/>
    <w:rPr>
      <w:shd w:val="clear" w:fill="F3F3F3"/>
    </w:rPr>
  </w:style>
  <w:style w:type="character" w:customStyle="1" w:styleId="24">
    <w:name w:val="current3"/>
    <w:basedOn w:val="8"/>
    <w:qFormat/>
    <w:uiPriority w:val="0"/>
    <w:rPr>
      <w:color w:val="FFFFFF"/>
      <w:shd w:val="clear" w:fill="D2AA64"/>
    </w:rPr>
  </w:style>
  <w:style w:type="character" w:customStyle="1" w:styleId="25">
    <w:name w:val="first-child1"/>
    <w:basedOn w:val="8"/>
    <w:qFormat/>
    <w:uiPriority w:val="0"/>
  </w:style>
  <w:style w:type="character" w:customStyle="1" w:styleId="26">
    <w:name w:val="first-child2"/>
    <w:basedOn w:val="8"/>
    <w:qFormat/>
    <w:uiPriority w:val="0"/>
  </w:style>
  <w:style w:type="character" w:customStyle="1" w:styleId="27">
    <w:name w:val="light1"/>
    <w:basedOn w:val="8"/>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carrie</dc:creator>
  <cp:lastModifiedBy>黄凌玲</cp:lastModifiedBy>
  <dcterms:modified xsi:type="dcterms:W3CDTF">2017-05-31T00:34:07Z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