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sz w:val="36"/>
          <w:szCs w:val="36"/>
          <w:lang w:val="en-US" w:eastAsia="zh-CN"/>
        </w:rPr>
      </w:pPr>
      <w:r>
        <w:rPr>
          <w:rFonts w:hint="eastAsia"/>
          <w:sz w:val="36"/>
          <w:szCs w:val="36"/>
          <w:lang w:val="en-US" w:eastAsia="zh-CN"/>
        </w:rPr>
        <w:t>警示系统-经营异常名录统计功能需求</w:t>
      </w:r>
    </w:p>
    <w:p/>
    <w:p>
      <w:pPr>
        <w:pStyle w:val="2"/>
      </w:pPr>
      <w:r>
        <w:rPr>
          <w:rFonts w:hint="eastAsia"/>
          <w:lang w:val="en-US" w:eastAsia="zh-CN"/>
        </w:rPr>
        <w:t>功能需求</w:t>
      </w:r>
      <w:bookmarkStart w:id="1" w:name="_GoBack"/>
      <w:bookmarkEnd w:id="1"/>
    </w:p>
    <w:p>
      <w:pPr>
        <w:rPr>
          <w:b/>
          <w:bCs/>
        </w:rPr>
      </w:pPr>
      <w:r>
        <w:drawing>
          <wp:inline distT="0" distB="0" distL="114300" distR="114300">
            <wp:extent cx="4862830" cy="199580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62830" cy="199580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需求说明：</w:t>
      </w:r>
    </w:p>
    <w:p>
      <w:pPr>
        <w:keepNext w:val="0"/>
        <w:keepLines w:val="0"/>
        <w:widowControl/>
        <w:numPr>
          <w:ilvl w:val="0"/>
          <w:numId w:val="2"/>
        </w:numPr>
        <w:suppressLineNumbers w:val="0"/>
        <w:ind w:left="425" w:leftChars="0" w:hanging="425" w:firstLineChars="0"/>
        <w:jc w:val="left"/>
        <w:rPr>
          <w:rFonts w:hint="eastAsia"/>
          <w:lang w:val="en-US" w:eastAsia="zh-CN"/>
        </w:rPr>
      </w:pPr>
      <w:r>
        <w:rPr>
          <w:rFonts w:hint="eastAsia"/>
          <w:lang w:val="en-US" w:eastAsia="zh-CN"/>
        </w:rPr>
        <w:t>查询条件“主体类别”单选项：企业、农专社、个体户，默认选中企业。</w:t>
      </w:r>
    </w:p>
    <w:p>
      <w:pPr>
        <w:keepNext w:val="0"/>
        <w:keepLines w:val="0"/>
        <w:widowControl/>
        <w:numPr>
          <w:ilvl w:val="0"/>
          <w:numId w:val="2"/>
        </w:numPr>
        <w:suppressLineNumbers w:val="0"/>
        <w:ind w:left="425" w:leftChars="0" w:hanging="425" w:firstLineChars="0"/>
        <w:jc w:val="left"/>
        <w:rPr>
          <w:rFonts w:hint="eastAsia"/>
          <w:lang w:val="en-US" w:eastAsia="zh-CN"/>
        </w:rPr>
      </w:pPr>
      <w:r>
        <w:rPr>
          <w:rFonts w:hint="eastAsia"/>
          <w:lang w:val="en-US" w:eastAsia="zh-CN"/>
        </w:rPr>
        <w:t>查询条件“统计日期”默认显示当前自然年度1月1日至当前日期，如2017-1-1至当前</w:t>
      </w:r>
    </w:p>
    <w:p>
      <w:pPr>
        <w:keepNext w:val="0"/>
        <w:keepLines w:val="0"/>
        <w:widowControl/>
        <w:numPr>
          <w:ilvl w:val="0"/>
          <w:numId w:val="2"/>
        </w:numPr>
        <w:suppressLineNumbers w:val="0"/>
        <w:ind w:left="425" w:leftChars="0" w:hanging="425" w:firstLineChars="0"/>
        <w:jc w:val="left"/>
        <w:rPr>
          <w:rFonts w:hint="eastAsia"/>
          <w:lang w:val="en-US" w:eastAsia="zh-CN"/>
        </w:rPr>
      </w:pPr>
      <w:r>
        <w:rPr>
          <w:rFonts w:hint="eastAsia"/>
          <w:lang w:val="en-US" w:eastAsia="zh-CN"/>
        </w:rPr>
        <w:t>查询条件“统计范围”选项为“全省、省局、杭州、宁波、温州、湖州、嘉兴、绍兴、金华、衢州、舟山、台州、丽水”，可复选，默认登录人员所在部门地区，如登录人员为省局，则默认为省局，登录人员为宁波市局，则默认宁波，登录人员为杭州江干局，则默认为杭州。登录人员对统计范围的选项列表与人员用户管理里的数据查询权限匹配，如登录人员为“全省”，则可选所有地区，如登录人员为“本市、本局、本所”，则只有本地对应的地区一个选项。</w:t>
      </w:r>
    </w:p>
    <w:p>
      <w:pPr>
        <w:keepNext w:val="0"/>
        <w:keepLines w:val="0"/>
        <w:widowControl/>
        <w:numPr>
          <w:ilvl w:val="0"/>
          <w:numId w:val="2"/>
        </w:numPr>
        <w:suppressLineNumbers w:val="0"/>
        <w:ind w:left="425" w:leftChars="0" w:hanging="425" w:firstLineChars="0"/>
        <w:jc w:val="left"/>
        <w:rPr>
          <w:rFonts w:hint="eastAsia"/>
          <w:lang w:val="en-US" w:eastAsia="zh-CN"/>
        </w:rPr>
      </w:pPr>
      <w:r>
        <w:rPr>
          <w:rFonts w:hint="eastAsia"/>
          <w:lang w:val="en-US" w:eastAsia="zh-CN"/>
        </w:rPr>
        <w:t>查询条件“统计层级”选项为“按地区、按登记机关、按管辖单位”，单选项。登录人员对统计层级的选项列表与人员用户管理里的数据查询权限匹配，如登录人员为“全省”，则可选项有“按地区、按登记机关、按管辖单位”，如登录人员为“本市、本局”，则可选项有“按登记机关、按管辖单位”，如登录人员为“本所”则只有“按管辖单位”一个选项。</w:t>
      </w:r>
    </w:p>
    <w:p>
      <w:pPr>
        <w:keepNext w:val="0"/>
        <w:keepLines w:val="0"/>
        <w:widowControl/>
        <w:numPr>
          <w:ilvl w:val="0"/>
          <w:numId w:val="2"/>
        </w:numPr>
        <w:suppressLineNumbers w:val="0"/>
        <w:ind w:left="425" w:leftChars="0" w:hanging="425" w:firstLineChars="0"/>
        <w:jc w:val="left"/>
        <w:rPr>
          <w:rFonts w:hint="eastAsia"/>
          <w:color w:val="FF0000"/>
          <w:lang w:val="en-US" w:eastAsia="zh-CN"/>
        </w:rPr>
      </w:pPr>
      <w:bookmarkStart w:id="0" w:name="OLE_LINK1"/>
      <w:r>
        <w:rPr>
          <w:rFonts w:hint="eastAsia"/>
          <w:color w:val="FF0000"/>
          <w:lang w:val="en-US" w:eastAsia="zh-CN"/>
        </w:rPr>
        <w:t>数据说明：</w:t>
      </w:r>
    </w:p>
    <w:p>
      <w:pPr>
        <w:keepNext w:val="0"/>
        <w:keepLines w:val="0"/>
        <w:widowControl/>
        <w:numPr>
          <w:ilvl w:val="0"/>
          <w:numId w:val="0"/>
        </w:numPr>
        <w:suppressLineNumbers w:val="0"/>
        <w:ind w:leftChars="0"/>
        <w:jc w:val="left"/>
        <w:rPr>
          <w:rFonts w:hint="eastAsia"/>
          <w:color w:val="FF0000"/>
          <w:lang w:val="en-US" w:eastAsia="zh-CN"/>
        </w:rPr>
      </w:pPr>
      <w:r>
        <w:rPr>
          <w:rFonts w:hint="eastAsia"/>
          <w:color w:val="FF0000"/>
          <w:lang w:val="en-US" w:eastAsia="zh-CN"/>
        </w:rPr>
        <w:t>1、一家企业可能因不同原因被列入异常或因不同的理由被移出异常，列入或移出异常总户数不一定等于各类原因列入或移出异常户数之和。列入、移出、撤销“户数”为统计时点内有过列入、移出、撤销记录的企业户数，与企业当前登记状态如已注吊销或迁出无关。</w:t>
      </w:r>
    </w:p>
    <w:p>
      <w:pPr>
        <w:keepNext w:val="0"/>
        <w:keepLines w:val="0"/>
        <w:widowControl/>
        <w:numPr>
          <w:ilvl w:val="0"/>
          <w:numId w:val="0"/>
        </w:numPr>
        <w:suppressLineNumbers w:val="0"/>
        <w:ind w:leftChars="0"/>
        <w:jc w:val="left"/>
        <w:rPr>
          <w:rFonts w:hint="eastAsia"/>
          <w:color w:val="FF0000"/>
          <w:lang w:val="en-US" w:eastAsia="zh-CN"/>
        </w:rPr>
      </w:pPr>
      <w:r>
        <w:rPr>
          <w:rFonts w:hint="eastAsia"/>
          <w:color w:val="FF0000"/>
          <w:lang w:val="en-US" w:eastAsia="zh-CN"/>
        </w:rPr>
        <w:t>2、“总列入（标记）经营异常”条数 -“列入（标记）后更正撤销”条数=“列入（标记）经营异常”条数；“列入（标记）经营异常”条数等于各类列入经营异常原因条数之和；“移出（恢复）经营异常”条数等于各类移出经营异常原因条数之和。</w:t>
      </w:r>
    </w:p>
    <w:bookmarkEnd w:id="0"/>
    <w:p>
      <w:pPr>
        <w:numPr>
          <w:ilvl w:val="0"/>
          <w:numId w:val="0"/>
        </w:numPr>
        <w:rPr>
          <w:rFonts w:hint="eastAsia"/>
          <w:lang w:val="en-US" w:eastAsia="zh-CN"/>
        </w:rPr>
      </w:pPr>
    </w:p>
    <w:p>
      <w:pPr>
        <w:numPr>
          <w:ilvl w:val="0"/>
          <w:numId w:val="2"/>
        </w:numPr>
        <w:ind w:left="425" w:leftChars="0" w:hanging="425" w:firstLineChars="0"/>
        <w:rPr>
          <w:rFonts w:hint="eastAsia"/>
          <w:lang w:val="en-US" w:eastAsia="zh-CN"/>
        </w:rPr>
      </w:pPr>
      <w:r>
        <w:rPr>
          <w:rFonts w:hint="eastAsia"/>
          <w:lang w:val="en-US" w:eastAsia="zh-CN"/>
        </w:rPr>
        <w:t>统计列表项依序为：行次，地区，部门，“总列入（标记）经营异常”户数/条数，“列入（标记）后更正撤销”户数/条数，“列入（标记）经营异常”户数/条数，“移出（恢复）经营异常”户数/条数，列入（标记）经营异常原因，移出（恢复）经营异常理由。</w:t>
      </w:r>
    </w:p>
    <w:p>
      <w:pPr>
        <w:numPr>
          <w:ilvl w:val="0"/>
          <w:numId w:val="3"/>
        </w:numPr>
        <w:ind w:left="425" w:leftChars="0" w:hanging="425" w:firstLineChars="0"/>
        <w:rPr>
          <w:rFonts w:hint="eastAsia"/>
          <w:lang w:val="en-US" w:eastAsia="zh-CN"/>
        </w:rPr>
      </w:pPr>
      <w:r>
        <w:rPr>
          <w:rFonts w:hint="eastAsia"/>
          <w:lang w:val="en-US" w:eastAsia="zh-CN"/>
        </w:rPr>
        <w:t>“列入（标记）经营异常原因”统计项：“未按时年报”户数/条数，“拒不公示信息”户数/条数，“公示虚假信息”户数/条数，“查无下落”户数/条数。</w:t>
      </w:r>
    </w:p>
    <w:p>
      <w:pPr>
        <w:numPr>
          <w:ilvl w:val="0"/>
          <w:numId w:val="3"/>
        </w:numPr>
        <w:ind w:left="425" w:leftChars="0" w:hanging="425" w:firstLineChars="0"/>
        <w:rPr>
          <w:rFonts w:hint="eastAsia"/>
          <w:lang w:val="en-US" w:eastAsia="zh-CN"/>
        </w:rPr>
      </w:pPr>
      <w:r>
        <w:rPr>
          <w:rFonts w:hint="eastAsia"/>
          <w:lang w:val="en-US" w:eastAsia="zh-CN"/>
        </w:rPr>
        <w:t>“移出（恢复）经营异常理由”统计项：“已补报年报”户数/条数，“已履行公示义务”户数/条数，“已更正公示信息”户数/条数，“已变更登记住所”户数/条数，“重新取得联系”户数/条数，“列入严违名单移出”户数/条数，“注销/个转企移出”户数/条数。</w:t>
      </w:r>
    </w:p>
    <w:p>
      <w:pPr>
        <w:numPr>
          <w:ilvl w:val="0"/>
          <w:numId w:val="0"/>
        </w:numPr>
        <w:ind w:leftChars="0"/>
        <w:rPr>
          <w:rFonts w:hint="eastAsia"/>
          <w:lang w:val="en-US" w:eastAsia="zh-CN"/>
        </w:rPr>
      </w:pPr>
      <w:r>
        <w:rPr>
          <w:rFonts w:hint="eastAsia"/>
          <w:lang w:val="en-US" w:eastAsia="zh-CN"/>
        </w:rPr>
        <w:t>注：</w:t>
      </w:r>
    </w:p>
    <w:p>
      <w:pPr>
        <w:numPr>
          <w:ilvl w:val="0"/>
          <w:numId w:val="4"/>
        </w:numPr>
        <w:ind w:leftChars="0"/>
        <w:rPr>
          <w:rFonts w:hint="eastAsia"/>
          <w:lang w:val="en-US" w:eastAsia="zh-CN"/>
        </w:rPr>
      </w:pPr>
      <w:r>
        <w:rPr>
          <w:rFonts w:hint="eastAsia"/>
          <w:lang w:val="en-US" w:eastAsia="zh-CN"/>
        </w:rPr>
        <w:t>部门栏显示登记机关或管辖单位简称，文字左对齐；其余文字栏中对齐，数据栏数字右对齐带千分位，百分数保持2位小数点。</w:t>
      </w:r>
    </w:p>
    <w:p>
      <w:pPr>
        <w:numPr>
          <w:ilvl w:val="0"/>
          <w:numId w:val="4"/>
        </w:numPr>
        <w:ind w:leftChars="0"/>
        <w:rPr>
          <w:rFonts w:hint="eastAsia"/>
          <w:lang w:val="en-US" w:eastAsia="zh-CN"/>
        </w:rPr>
      </w:pPr>
      <w:r>
        <w:rPr>
          <w:rFonts w:hint="eastAsia"/>
          <w:lang w:val="en-US" w:eastAsia="zh-CN"/>
        </w:rPr>
        <w:t>个体户不涉及的统计项均为0，不涉及的统计项有：“拒不公示信息”户数/条数，“已履行公示义务”户数/条数，“列入严违名单移出”户数/条数。</w:t>
      </w:r>
    </w:p>
    <w:p>
      <w:pPr>
        <w:numPr>
          <w:ilvl w:val="0"/>
          <w:numId w:val="4"/>
        </w:numPr>
        <w:ind w:leftChars="0"/>
        <w:rPr>
          <w:rFonts w:hint="eastAsia"/>
          <w:lang w:val="en-US" w:eastAsia="zh-CN"/>
        </w:rPr>
      </w:pPr>
      <w:r>
        <w:rPr>
          <w:rFonts w:hint="eastAsia"/>
          <w:lang w:val="en-US" w:eastAsia="zh-CN"/>
        </w:rPr>
        <w:t>支持各个统计项排序。</w:t>
      </w:r>
    </w:p>
    <w:p>
      <w:pPr>
        <w:numPr>
          <w:ilvl w:val="0"/>
          <w:numId w:val="4"/>
        </w:numPr>
        <w:ind w:leftChars="0"/>
        <w:rPr>
          <w:rFonts w:hint="eastAsia"/>
          <w:lang w:val="en-US" w:eastAsia="zh-CN"/>
        </w:rPr>
      </w:pPr>
      <w:r>
        <w:rPr>
          <w:rFonts w:hint="eastAsia"/>
          <w:lang w:val="en-US" w:eastAsia="zh-CN"/>
        </w:rPr>
        <w:t>支持统计报表导出。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Corsiva">
    <w:altName w:val="Mongolian Baiti"/>
    <w:panose1 w:val="03010101010201010101"/>
    <w:charset w:val="00"/>
    <w:family w:val="script"/>
    <w:pitch w:val="default"/>
    <w:sig w:usb0="00000000" w:usb1="00000000" w:usb2="00000000" w:usb3="00000000" w:csb0="2000009F" w:csb1="DFD70000"/>
  </w:font>
  <w:font w:name="Franklin Gothic Book">
    <w:altName w:val="Yu Gothic UI"/>
    <w:panose1 w:val="020B0503020102020204"/>
    <w:charset w:val="00"/>
    <w:family w:val="roman"/>
    <w:pitch w:val="default"/>
    <w:sig w:usb0="00000000" w:usb1="00000000" w:usb2="00000000" w:usb3="00000000" w:csb0="2000009F" w:csb1="DFD70000"/>
  </w:font>
  <w:font w:name="华文细黑">
    <w:altName w:val="微软雅黑"/>
    <w:panose1 w:val="02010600040101010101"/>
    <w:charset w:val="86"/>
    <w:family w:val="auto"/>
    <w:pitch w:val="default"/>
    <w:sig w:usb0="00000000" w:usb1="00000000" w:usb2="00000000" w:usb3="00000000" w:csb0="0004009F" w:csb1="DFD70000"/>
  </w:font>
  <w:font w:name="Perpetua">
    <w:altName w:val="PMingLiU-ExtB"/>
    <w:panose1 w:val="02020502060401020303"/>
    <w:charset w:val="00"/>
    <w:family w:val="swiss"/>
    <w:pitch w:val="default"/>
    <w:sig w:usb0="00000000" w:usb1="00000000" w:usb2="00000000" w:usb3="00000000" w:csb0="20000001"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隶书">
    <w:altName w:val="微软雅黑"/>
    <w:panose1 w:val="02010509060101010101"/>
    <w:charset w:val="86"/>
    <w:family w:val="modern"/>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603F01FF" w:csb1="FFFF0000"/>
  </w:font>
  <w:font w:name="Century">
    <w:altName w:val="Times New Roman"/>
    <w:panose1 w:val="02040604050505020304"/>
    <w:charset w:val="00"/>
    <w:family w:val="roman"/>
    <w:pitch w:val="default"/>
    <w:sig w:usb0="00000000" w:usb1="00000000" w:usb2="00000000" w:usb3="00000000" w:csb0="2000009F" w:csb1="DFD70000"/>
  </w:font>
  <w:font w:name="Book Antiqua">
    <w:altName w:val="Segoe Print"/>
    <w:panose1 w:val="02040602050305030304"/>
    <w:charset w:val="00"/>
    <w:family w:val="roman"/>
    <w:pitch w:val="default"/>
    <w:sig w:usb0="00000000"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Latha">
    <w:altName w:val="Segoe Print"/>
    <w:panose1 w:val="020B0604020202020204"/>
    <w:charset w:val="00"/>
    <w:family w:val="swiss"/>
    <w:pitch w:val="default"/>
    <w:sig w:usb0="00000000" w:usb1="00000000" w:usb2="00000000" w:usb3="00000000" w:csb0="00000001" w:csb1="00000000"/>
  </w:font>
  <w:font w:name="华文行楷">
    <w:altName w:val="微软雅黑"/>
    <w:panose1 w:val="02010800040101010101"/>
    <w:charset w:val="86"/>
    <w:family w:val="auto"/>
    <w:pitch w:val="default"/>
    <w:sig w:usb0="00000000" w:usb1="00000000" w:usb2="00000000" w:usb3="00000000" w:csb0="00040000" w:csb1="00000000"/>
  </w:font>
  <w:font w:name="Century Schoolbook">
    <w:altName w:val="Segoe Print"/>
    <w:panose1 w:val="02040604050505020304"/>
    <w:charset w:val="00"/>
    <w:family w:val="roman"/>
    <w:pitch w:val="default"/>
    <w:sig w:usb0="00000000" w:usb1="00000000" w:usb2="00000000" w:usb3="00000000" w:csb0="2000009F" w:csb1="DFD70000"/>
  </w:font>
  <w:font w:name="Arial Narrow">
    <w:altName w:val="Arial"/>
    <w:panose1 w:val="020B0606020202030204"/>
    <w:charset w:val="00"/>
    <w:family w:val="swiss"/>
    <w:pitch w:val="default"/>
    <w:sig w:usb0="00000000" w:usb1="00000000" w:usb2="00000000" w:usb3="00000000" w:csb0="2000009F" w:csb1="DFD70000"/>
  </w:font>
  <w:font w:name="Garamond">
    <w:altName w:val="PMingLiU-ExtB"/>
    <w:panose1 w:val="02020404030301010803"/>
    <w:charset w:val="00"/>
    <w:family w:val="roman"/>
    <w:pitch w:val="default"/>
    <w:sig w:usb0="00000000" w:usb1="00000000" w:usb2="00000000" w:usb3="00000000" w:csb0="0000009F" w:csb1="DFD70000"/>
  </w:font>
  <w:font w:name="华文中宋">
    <w:altName w:val="宋体"/>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modern"/>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Futura Lt">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hruti">
    <w:altName w:val="Sitka Text"/>
    <w:panose1 w:val="020005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
    <w:altName w:val="Times New Roman"/>
    <w:panose1 w:val="00000000000000000000"/>
    <w:charset w:val="00"/>
    <w:family w:val="decorative"/>
    <w:pitch w:val="default"/>
    <w:sig w:usb0="00000000" w:usb1="00000000" w:usb2="00000000" w:usb3="00000000" w:csb0="00000001" w:csb1="00000000"/>
  </w:font>
  <w:font w:name="宋体-PUA">
    <w:altName w:val="宋体"/>
    <w:panose1 w:val="02010600030101010101"/>
    <w:charset w:val="86"/>
    <w:family w:val="auto"/>
    <w:pitch w:val="default"/>
    <w:sig w:usb0="00000000" w:usb1="00000000" w:usb2="00000000" w:usb3="00000000" w:csb0="00040000" w:csb1="00000000"/>
  </w:font>
  <w:font w:name="腾祥相思体简">
    <w:altName w:val="宋体"/>
    <w:panose1 w:val="01010104010101010101"/>
    <w:charset w:val="86"/>
    <w:family w:val="auto"/>
    <w:pitch w:val="default"/>
    <w:sig w:usb0="00000000" w:usb1="00000000" w:usb2="00000012" w:usb3="00000000" w:csb0="00040001" w:csb1="00000000"/>
  </w:font>
  <w:font w:name="腾祥嘉丽超细圆简">
    <w:altName w:val="宋体"/>
    <w:panose1 w:val="01010104010101010101"/>
    <w:charset w:val="86"/>
    <w:family w:val="auto"/>
    <w:pitch w:val="default"/>
    <w:sig w:usb0="00000000" w:usb1="00000000" w:usb2="00000012" w:usb3="00000000" w:csb0="00040001" w:csb1="00000000"/>
  </w:font>
  <w:font w:name="腾祥嘉丽细黑简">
    <w:altName w:val="黑体"/>
    <w:panose1 w:val="01010104010101010101"/>
    <w:charset w:val="86"/>
    <w:family w:val="auto"/>
    <w:pitch w:val="default"/>
    <w:sig w:usb0="00000000" w:usb1="00000000" w:usb2="00000012" w:usb3="00000000" w:csb0="00040001" w:csb1="00000000"/>
  </w:font>
  <w:font w:name="叶根友小细楷02">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小标宋简体">
    <w:altName w:val="黑体"/>
    <w:panose1 w:val="02010601030101010101"/>
    <w:charset w:val="86"/>
    <w:family w:val="auto"/>
    <w:pitch w:val="default"/>
    <w:sig w:usb0="00000000" w:usb1="00000000" w:usb2="00000010" w:usb3="00000000" w:csb0="00040000" w:csb1="00000000"/>
  </w:font>
  <w:font w:name="方正大标宋简体">
    <w:altName w:val="宋体"/>
    <w:panose1 w:val="02010601030101010101"/>
    <w:charset w:val="86"/>
    <w:family w:val="auto"/>
    <w:pitch w:val="default"/>
    <w:sig w:usb0="00000000" w:usb1="00000000" w:usb2="00000010" w:usb3="00000000" w:csb0="00040000" w:csb1="00000000"/>
  </w:font>
  <w:font w:name="宋体-18030">
    <w:altName w:val="宋体"/>
    <w:panose1 w:val="00000000000000000000"/>
    <w:charset w:val="86"/>
    <w:family w:val="swiss"/>
    <w:pitch w:val="default"/>
    <w:sig w:usb0="00000000" w:usb1="00000000" w:usb2="00000010" w:usb3="00000000" w:csb0="00040000" w:csb1="00000000"/>
  </w:font>
  <w:font w:name="Times">
    <w:altName w:val="Times New Roman"/>
    <w:panose1 w:val="02020603050405020304"/>
    <w:charset w:val="00"/>
    <w:family w:val="modern"/>
    <w:pitch w:val="default"/>
    <w:sig w:usb0="00000000" w:usb1="00000000" w:usb2="00000000" w:usb3="00000000" w:csb0="00000001" w:csb1="00000000"/>
  </w:font>
  <w:font w:name="MS Mincho">
    <w:altName w:val="Yu Gothic UI"/>
    <w:panose1 w:val="02020609040205080304"/>
    <w:charset w:val="80"/>
    <w:family w:val="swiss"/>
    <w:pitch w:val="default"/>
    <w:sig w:usb0="00000000" w:usb1="00000000" w:usb2="00000010" w:usb3="00000000" w:csb0="4002009F" w:csb1="DFD70000"/>
  </w:font>
  <w:font w:name="方正兰亭黑简体">
    <w:altName w:val="黑体"/>
    <w:panose1 w:val="02000000000000000000"/>
    <w:charset w:val="86"/>
    <w:family w:val="auto"/>
    <w:pitch w:val="default"/>
    <w:sig w:usb0="00000000" w:usb1="00000000" w:usb2="00000000" w:usb3="00000000" w:csb0="00040000" w:csb1="00000000"/>
  </w:font>
  <w:font w:name="Sitka Text">
    <w:panose1 w:val="02000505000000020004"/>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雅黑 Regular">
    <w:altName w:val="黑体"/>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1EC3"/>
    <w:multiLevelType w:val="multilevel"/>
    <w:tmpl w:val="27871EC3"/>
    <w:lvl w:ilvl="0" w:tentative="0">
      <w:start w:val="1"/>
      <w:numFmt w:val="chineseCountingThousand"/>
      <w:pStyle w:val="2"/>
      <w:lvlText w:val="%1."/>
      <w:lvlJc w:val="left"/>
      <w:pPr>
        <w:tabs>
          <w:tab w:val="left" w:pos="567"/>
        </w:tabs>
        <w:ind w:left="567" w:hanging="567"/>
      </w:pPr>
      <w:rPr>
        <w:rFonts w:hint="eastAsia" w:ascii="微软雅黑" w:hAnsi="微软雅黑" w:eastAsia="微软雅黑"/>
        <w:sz w:val="30"/>
      </w:rPr>
    </w:lvl>
    <w:lvl w:ilvl="1" w:tentative="0">
      <w:start w:val="1"/>
      <w:numFmt w:val="decimal"/>
      <w:pStyle w:val="5"/>
      <w:isLgl/>
      <w:lvlText w:val="%1.%2"/>
      <w:lvlJc w:val="left"/>
      <w:pPr>
        <w:tabs>
          <w:tab w:val="left" w:pos="567"/>
        </w:tabs>
        <w:ind w:left="567" w:hanging="567"/>
      </w:pPr>
      <w:rPr>
        <w:rFonts w:hint="default" w:ascii="Arial" w:hAnsi="Arial" w:eastAsia="微软雅黑" w:cs="Times New Roman"/>
        <w:i w:val="0"/>
        <w:iCs w:val="0"/>
        <w:caps w:val="0"/>
        <w:smallCaps w:val="0"/>
        <w:strike w:val="0"/>
        <w:dstrike w:val="0"/>
        <w:vanish w:val="0"/>
        <w:kern w:val="0"/>
        <w:position w:val="0"/>
        <w:u w:val="none"/>
        <w:vertAlign w:val="baseline"/>
      </w:rPr>
    </w:lvl>
    <w:lvl w:ilvl="2" w:tentative="0">
      <w:start w:val="1"/>
      <w:numFmt w:val="decimal"/>
      <w:isLgl/>
      <w:lvlText w:val="%1.%2.%3"/>
      <w:lvlJc w:val="left"/>
      <w:pPr>
        <w:tabs>
          <w:tab w:val="left" w:pos="567"/>
        </w:tabs>
        <w:ind w:left="567" w:hanging="567"/>
      </w:pPr>
      <w:rPr>
        <w:rFonts w:hint="default" w:ascii="Arial" w:hAnsi="Arial" w:eastAsia="微软雅黑"/>
        <w:sz w:val="24"/>
      </w:rPr>
    </w:lvl>
    <w:lvl w:ilvl="3" w:tentative="0">
      <w:start w:val="1"/>
      <w:numFmt w:val="decimal"/>
      <w:isLgl/>
      <w:lvlText w:val="%1.%2.%3.%4"/>
      <w:lvlJc w:val="left"/>
      <w:pPr>
        <w:tabs>
          <w:tab w:val="left" w:pos="851"/>
        </w:tabs>
        <w:ind w:left="851" w:hanging="851"/>
      </w:pPr>
      <w:rPr>
        <w:rFonts w:hint="default" w:ascii="Arial" w:hAnsi="Arial" w:eastAsia="微软雅黑"/>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5874A0AB"/>
    <w:multiLevelType w:val="singleLevel"/>
    <w:tmpl w:val="5874A0AB"/>
    <w:lvl w:ilvl="0" w:tentative="0">
      <w:start w:val="1"/>
      <w:numFmt w:val="decimal"/>
      <w:lvlText w:val="%1)"/>
      <w:lvlJc w:val="left"/>
      <w:pPr>
        <w:ind w:left="425" w:leftChars="0" w:hanging="425" w:firstLineChars="0"/>
      </w:pPr>
      <w:rPr>
        <w:rFonts w:hint="default"/>
      </w:rPr>
    </w:lvl>
  </w:abstractNum>
  <w:abstractNum w:abstractNumId="2">
    <w:nsid w:val="5874A6F8"/>
    <w:multiLevelType w:val="singleLevel"/>
    <w:tmpl w:val="5874A6F8"/>
    <w:lvl w:ilvl="0" w:tentative="0">
      <w:start w:val="1"/>
      <w:numFmt w:val="decimal"/>
      <w:suff w:val="nothing"/>
      <w:lvlText w:val="%1、"/>
      <w:lvlJc w:val="left"/>
    </w:lvl>
  </w:abstractNum>
  <w:abstractNum w:abstractNumId="3">
    <w:nsid w:val="5885BC07"/>
    <w:multiLevelType w:val="singleLevel"/>
    <w:tmpl w:val="5885BC07"/>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A1B0D"/>
    <w:rsid w:val="02C17A0B"/>
    <w:rsid w:val="0D4C4ABB"/>
    <w:rsid w:val="15146F05"/>
    <w:rsid w:val="1C067873"/>
    <w:rsid w:val="23CC5A10"/>
    <w:rsid w:val="37620683"/>
    <w:rsid w:val="3C1E4FC5"/>
    <w:rsid w:val="3D671746"/>
    <w:rsid w:val="407608AA"/>
    <w:rsid w:val="41E26FF0"/>
    <w:rsid w:val="44832196"/>
    <w:rsid w:val="450B6C6F"/>
    <w:rsid w:val="48860BC2"/>
    <w:rsid w:val="493D7E8A"/>
    <w:rsid w:val="5A331E09"/>
    <w:rsid w:val="5EE914F9"/>
    <w:rsid w:val="64D842E5"/>
    <w:rsid w:val="67A26B6E"/>
    <w:rsid w:val="6F957FC0"/>
    <w:rsid w:val="77480DA2"/>
    <w:rsid w:val="799C067A"/>
    <w:rsid w:val="7C0D3330"/>
    <w:rsid w:val="7D6A0A39"/>
    <w:rsid w:val="7DB007F5"/>
    <w:rsid w:val="7F0931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numPr>
        <w:ilvl w:val="0"/>
        <w:numId w:val="1"/>
      </w:numPr>
      <w:spacing w:before="300" w:after="40"/>
      <w:ind w:left="0" w:firstLine="0"/>
      <w:outlineLvl w:val="0"/>
    </w:pPr>
    <w:rPr>
      <w:rFonts w:ascii="Franklin Gothic Book" w:hAnsi="Franklin Gothic Book"/>
      <w:b/>
      <w:bCs/>
      <w:color w:val="9C3511"/>
      <w:spacing w:val="20"/>
      <w:sz w:val="30"/>
      <w:szCs w:val="28"/>
    </w:rPr>
  </w:style>
  <w:style w:type="paragraph" w:styleId="5">
    <w:name w:val="heading 2"/>
    <w:basedOn w:val="1"/>
    <w:next w:val="3"/>
    <w:unhideWhenUsed/>
    <w:qFormat/>
    <w:uiPriority w:val="0"/>
    <w:pPr>
      <w:numPr>
        <w:ilvl w:val="1"/>
        <w:numId w:val="1"/>
      </w:numPr>
      <w:spacing w:before="240" w:after="40"/>
      <w:ind w:left="0" w:firstLine="0"/>
      <w:outlineLvl w:val="1"/>
    </w:pPr>
    <w:rPr>
      <w:rFonts w:ascii="Franklin Gothic Book" w:hAnsi="Franklin Gothic Book"/>
      <w:b/>
      <w:bCs/>
      <w:color w:val="9C3511"/>
      <w:spacing w:val="20"/>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spacing w:after="160"/>
      <w:ind w:firstLine="250" w:firstLineChars="250"/>
    </w:pPr>
  </w:style>
  <w:style w:type="paragraph" w:styleId="4">
    <w:name w:val="Body Text"/>
    <w:basedOn w:val="1"/>
    <w:qFormat/>
    <w:uiPriority w:val="0"/>
    <w:pPr>
      <w:spacing w:after="1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carrie</dc:creator>
  <cp:lastModifiedBy>黄凌玲</cp:lastModifiedBy>
  <dcterms:modified xsi:type="dcterms:W3CDTF">2017-01-23T08:48:51Z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