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r>
        <w:rPr>
          <w:rFonts w:hint="eastAsia"/>
          <w:sz w:val="36"/>
          <w:szCs w:val="36"/>
        </w:rPr>
        <w:t>警示系统-</w:t>
      </w:r>
      <w:r>
        <w:rPr>
          <w:rFonts w:hint="eastAsia"/>
          <w:sz w:val="36"/>
          <w:szCs w:val="36"/>
          <w:lang w:eastAsia="zh-CN"/>
        </w:rPr>
        <w:t>首页展示</w:t>
      </w:r>
      <w:r>
        <w:rPr>
          <w:rFonts w:hint="eastAsia"/>
          <w:sz w:val="36"/>
          <w:szCs w:val="36"/>
        </w:rPr>
        <w:t>信息需求</w:t>
      </w:r>
      <w:r>
        <w:rPr>
          <w:rFonts w:hint="eastAsia"/>
          <w:sz w:val="36"/>
          <w:szCs w:val="36"/>
          <w:lang w:eastAsia="zh-CN"/>
        </w:rPr>
        <w:t>（</w:t>
      </w:r>
      <w:r>
        <w:rPr>
          <w:rFonts w:hint="eastAsia"/>
          <w:sz w:val="36"/>
          <w:szCs w:val="36"/>
          <w:lang w:val="en-US" w:eastAsia="zh-CN"/>
        </w:rPr>
        <w:t>1）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eastAsia="宋体" w:cs="宋体"/>
          <w:lang w:val="en-US" w:eastAsia="zh-CN"/>
        </w:rPr>
      </w:pPr>
      <w:r>
        <w:rPr>
          <w:rFonts w:hint="eastAsia" w:ascii="宋体" w:cs="宋体"/>
          <w:lang w:val="en-US" w:eastAsia="zh-CN"/>
        </w:rPr>
        <w:t xml:space="preserve">    </w:t>
      </w:r>
    </w:p>
    <w:p>
      <w:pPr>
        <w:pStyle w:val="2"/>
      </w:pPr>
      <w:r>
        <w:rPr>
          <w:rFonts w:hint="eastAsia" w:ascii="宋体" w:hAnsi="宋体" w:cs="宋体"/>
        </w:rPr>
        <w:t>功能</w:t>
      </w:r>
      <w:r>
        <w:rPr>
          <w:rFonts w:hint="eastAsia" w:ascii="宋体" w:hAnsi="宋体" w:cs="宋体"/>
          <w:lang w:val="en-US" w:eastAsia="zh-CN"/>
        </w:rPr>
        <w:t>需求</w:t>
      </w:r>
    </w:p>
    <w:p>
      <w:pPr>
        <w:pStyle w:val="5"/>
      </w:pPr>
      <w:r>
        <w:rPr>
          <w:rFonts w:hint="eastAsia"/>
          <w:lang w:val="en-US" w:eastAsia="zh-CN"/>
        </w:rPr>
        <w:t>首页待办工作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本期先实现“待办工作”栏中“年报公示”和“经营异常”两块信息的待办任务信息提醒，要求提醒信息在刷新页面后就会更新。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1770" cy="3266440"/>
            <wp:effectExtent l="0" t="0" r="5080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  <w:lang w:val="en-US" w:eastAsia="zh-CN"/>
        </w:rPr>
        <w:t>待办工作-年报公示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年报公示待办任务信息分为“年报敏感词”和“年报修改申请”两项信息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待处理任务数量与登录人员对应关系如下：</w:t>
      </w:r>
    </w:p>
    <w:tbl>
      <w:tblPr>
        <w:tblStyle w:val="15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823"/>
        <w:gridCol w:w="1822"/>
        <w:gridCol w:w="16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提示项</w:t>
            </w:r>
          </w:p>
        </w:tc>
        <w:tc>
          <w:tcPr>
            <w:tcW w:w="1823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省局人员</w:t>
            </w:r>
          </w:p>
        </w:tc>
        <w:tc>
          <w:tcPr>
            <w:tcW w:w="1822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市局人员</w:t>
            </w:r>
          </w:p>
        </w:tc>
        <w:tc>
          <w:tcPr>
            <w:tcW w:w="1680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县局人员</w:t>
            </w:r>
          </w:p>
        </w:tc>
        <w:tc>
          <w:tcPr>
            <w:tcW w:w="1830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工商所人员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年报敏感词待审核</w:t>
            </w:r>
          </w:p>
        </w:tc>
        <w:tc>
          <w:tcPr>
            <w:tcW w:w="1823" w:type="dxa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当前涉及此业务的省局登记企业数量</w:t>
            </w:r>
          </w:p>
        </w:tc>
        <w:tc>
          <w:tcPr>
            <w:tcW w:w="1822" w:type="dxa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当前涉及此业务的市局登记企业数量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当前涉及此业务的县局登记企业数量</w:t>
            </w:r>
          </w:p>
        </w:tc>
        <w:tc>
          <w:tcPr>
            <w:tcW w:w="1830" w:type="dxa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当前涉及此业务本局登记的本所管辖企业数量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年报修改申请待审核</w:t>
            </w:r>
          </w:p>
        </w:tc>
        <w:tc>
          <w:tcPr>
            <w:tcW w:w="1823" w:type="dxa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1822" w:type="dxa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1830" w:type="dxa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注：待处理任务数量信息与登录人员是否有该项任务处理权限对应，若有则显示具体的数量信息，若无则数量信息横线显示，不显示具体数量信息。</w:t>
      </w:r>
    </w:p>
    <w:p>
      <w:pPr>
        <w:pStyle w:val="6"/>
      </w:pPr>
      <w:r>
        <w:rPr>
          <w:rFonts w:hint="eastAsia"/>
          <w:lang w:val="en-US" w:eastAsia="zh-CN"/>
        </w:rPr>
        <w:t>待办工作-经营异常</w:t>
      </w:r>
    </w:p>
    <w:p>
      <w:pPr>
        <w:pStyle w:val="3"/>
        <w:numPr>
          <w:ilvl w:val="0"/>
          <w:numId w:val="3"/>
        </w:numPr>
        <w:ind w:left="425" w:leftChars="0" w:hanging="425" w:firstLineChars="0"/>
      </w:pPr>
      <w:r>
        <w:rPr>
          <w:rFonts w:hint="eastAsia"/>
          <w:lang w:val="en-US" w:eastAsia="zh-CN"/>
        </w:rPr>
        <w:t>经营异常待办任务信息分为“企业”和“农专社”、“个体户”三项信息</w:t>
      </w:r>
    </w:p>
    <w:p>
      <w:pPr>
        <w:pStyle w:val="3"/>
        <w:numPr>
          <w:ilvl w:val="0"/>
          <w:numId w:val="3"/>
        </w:numPr>
        <w:ind w:left="425" w:leftChars="0" w:hanging="425" w:firstLineChars="0"/>
      </w:pPr>
      <w:r>
        <w:rPr>
          <w:rFonts w:hint="eastAsia"/>
          <w:lang w:val="en-US" w:eastAsia="zh-CN"/>
        </w:rPr>
        <w:t>待处理任务数量与登录人员对应关系如下</w:t>
      </w:r>
    </w:p>
    <w:tbl>
      <w:tblPr>
        <w:tblStyle w:val="15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823"/>
        <w:gridCol w:w="1822"/>
        <w:gridCol w:w="16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提示项</w:t>
            </w:r>
          </w:p>
        </w:tc>
        <w:tc>
          <w:tcPr>
            <w:tcW w:w="1823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省局人员</w:t>
            </w:r>
          </w:p>
        </w:tc>
        <w:tc>
          <w:tcPr>
            <w:tcW w:w="1822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市局人员</w:t>
            </w:r>
          </w:p>
        </w:tc>
        <w:tc>
          <w:tcPr>
            <w:tcW w:w="1680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县局人员</w:t>
            </w:r>
          </w:p>
        </w:tc>
        <w:tc>
          <w:tcPr>
            <w:tcW w:w="1830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工商所人员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</w:t>
            </w:r>
          </w:p>
        </w:tc>
        <w:tc>
          <w:tcPr>
            <w:tcW w:w="1823" w:type="dxa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当前涉及此业务的省局登记企业经营异常申请待审核（列入申请待审核+移出申请待审核+撤销申请待审核）数量</w:t>
            </w:r>
          </w:p>
        </w:tc>
        <w:tc>
          <w:tcPr>
            <w:tcW w:w="1822" w:type="dxa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当前涉及此业务的市局登记企业经营异常申请待审核（列入申请待审核+移出申请待审核+撤销申请待审核）数量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当前涉及此业务的县局登记企业经营异常申请待审核（列入申请待审核+移出申请待审核+撤销申请待审核）数量</w:t>
            </w:r>
          </w:p>
        </w:tc>
        <w:tc>
          <w:tcPr>
            <w:tcW w:w="1830" w:type="dxa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当前涉及此业务本局登记的本所管辖企业经营异常申请待审核（列入申请待审核+移出申请待审核+撤销申请待审核）数量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农专社</w:t>
            </w:r>
          </w:p>
        </w:tc>
        <w:tc>
          <w:tcPr>
            <w:tcW w:w="1823" w:type="dxa"/>
            <w:vMerge w:val="continue"/>
            <w:tcBorders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highlight w:val="lightGray"/>
                <w:vertAlign w:val="baseline"/>
              </w:rPr>
            </w:pPr>
          </w:p>
        </w:tc>
        <w:tc>
          <w:tcPr>
            <w:tcW w:w="1822" w:type="dxa"/>
            <w:vMerge w:val="continue"/>
            <w:tcBorders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highlight w:val="lightGray"/>
                <w:vertAlign w:val="baseline"/>
              </w:rPr>
            </w:pPr>
          </w:p>
        </w:tc>
        <w:tc>
          <w:tcPr>
            <w:tcW w:w="1680" w:type="dxa"/>
            <w:vMerge w:val="continue"/>
            <w:tcBorders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highlight w:val="lightGray"/>
                <w:vertAlign w:val="baseline"/>
              </w:rPr>
            </w:pPr>
          </w:p>
        </w:tc>
        <w:tc>
          <w:tcPr>
            <w:tcW w:w="1830" w:type="dxa"/>
            <w:vMerge w:val="continue"/>
            <w:tcBorders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highlight w:val="lightGray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个体户</w:t>
            </w:r>
          </w:p>
        </w:tc>
        <w:tc>
          <w:tcPr>
            <w:tcW w:w="1823" w:type="dxa"/>
            <w:vMerge w:val="continue"/>
            <w:tcBorders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highlight w:val="lightGray"/>
                <w:vertAlign w:val="baseline"/>
              </w:rPr>
            </w:pPr>
          </w:p>
        </w:tc>
        <w:tc>
          <w:tcPr>
            <w:tcW w:w="1822" w:type="dxa"/>
            <w:vMerge w:val="continue"/>
            <w:tcBorders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highlight w:val="lightGray"/>
                <w:vertAlign w:val="baseline"/>
              </w:rPr>
            </w:pPr>
          </w:p>
        </w:tc>
        <w:tc>
          <w:tcPr>
            <w:tcW w:w="1680" w:type="dxa"/>
            <w:vMerge w:val="continue"/>
            <w:tcBorders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highlight w:val="lightGray"/>
                <w:vertAlign w:val="baseline"/>
              </w:rPr>
            </w:pPr>
          </w:p>
        </w:tc>
        <w:tc>
          <w:tcPr>
            <w:tcW w:w="1830" w:type="dxa"/>
            <w:vMerge w:val="continue"/>
            <w:tcBorders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highlight w:val="lightGray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</w:pPr>
      <w:r>
        <w:rPr>
          <w:rFonts w:hint="eastAsia"/>
          <w:lang w:val="en-US" w:eastAsia="zh-CN"/>
        </w:rPr>
        <w:t>首页工作提示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本期先实现“工作提示”栏中“登记事项”信息的工作信息提醒，要求工作提示信息为截止昨天的统计信息。</w:t>
      </w: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“更新时间”改为：“更新日期：2017-3-9”  （显示为昨天的日期）</w:t>
      </w: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工作提示数据都按照人员所在部门的企业范围进行统计。只显示的数量。</w:t>
      </w:r>
    </w:p>
    <w:tbl>
      <w:tblPr>
        <w:tblStyle w:val="15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1933"/>
        <w:gridCol w:w="1950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省局人员</w:t>
            </w:r>
          </w:p>
        </w:tc>
        <w:tc>
          <w:tcPr>
            <w:tcW w:w="1933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市局人员</w:t>
            </w:r>
          </w:p>
        </w:tc>
        <w:tc>
          <w:tcPr>
            <w:tcW w:w="1950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县局人员</w:t>
            </w:r>
          </w:p>
        </w:tc>
        <w:tc>
          <w:tcPr>
            <w:tcW w:w="2125" w:type="dxa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工商所人员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2" w:type="dxa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省局登记企业涉及的工作提示数量</w:t>
            </w:r>
          </w:p>
        </w:tc>
        <w:tc>
          <w:tcPr>
            <w:tcW w:w="1933" w:type="dxa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市局登记企业涉及的工作提示数量</w:t>
            </w:r>
          </w:p>
        </w:tc>
        <w:tc>
          <w:tcPr>
            <w:tcW w:w="1950" w:type="dxa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县局登记企业涉及的工作提示数量</w:t>
            </w:r>
          </w:p>
        </w:tc>
        <w:tc>
          <w:tcPr>
            <w:tcW w:w="2125" w:type="dxa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本所管辖企业涉及的工作提示数量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2" w:type="dxa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1933" w:type="dxa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1950" w:type="dxa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125" w:type="dxa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</w:tbl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2405" cy="1744345"/>
            <wp:effectExtent l="0" t="0" r="444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  <w:lang w:val="en-US" w:eastAsia="zh-CN"/>
        </w:rPr>
        <w:t>工作提示-登记事项</w:t>
      </w: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工作提示示例：</w:t>
      </w:r>
    </w:p>
    <w:p>
      <w:pPr>
        <w:pStyle w:val="3"/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许可证即将到期（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ascii="Arial" w:hAnsi="Arial" w:cs="Arial"/>
          <w:lang w:val="en-US" w:eastAsia="zh-CN"/>
        </w:rPr>
        <w:t>30天）</w:t>
      </w:r>
      <w:r>
        <w:rPr>
          <w:rFonts w:hint="eastAsia"/>
          <w:lang w:val="en-US" w:eastAsia="zh-CN"/>
        </w:rPr>
        <w:t xml:space="preserve">[ </w:t>
      </w:r>
      <w:r>
        <w:rPr>
          <w:rFonts w:hint="eastAsia" w:ascii="Arial" w:hAnsi="Arial" w:cs="Arial"/>
          <w:color w:val="FF0000"/>
          <w:lang w:val="en-US" w:eastAsia="zh-CN"/>
        </w:rPr>
        <w:t>34</w:t>
      </w:r>
      <w:r>
        <w:rPr>
          <w:rFonts w:hint="eastAsia" w:ascii="Arial" w:hAnsi="Arial" w:cs="Arial"/>
          <w:lang w:val="en-US" w:eastAsia="zh-CN"/>
        </w:rPr>
        <w:t xml:space="preserve"> ]（</w:t>
      </w:r>
      <w:r>
        <w:rPr>
          <w:rFonts w:hint="eastAsia"/>
          <w:lang w:val="en-US" w:eastAsia="zh-CN"/>
        </w:rPr>
        <w:t>部门公示）</w:t>
      </w:r>
    </w:p>
    <w:p>
      <w:pPr>
        <w:pStyle w:val="3"/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许可证已到期[ </w:t>
      </w:r>
      <w:r>
        <w:rPr>
          <w:rFonts w:hint="eastAsia" w:ascii="Arial" w:hAnsi="Arial" w:cs="Arial"/>
          <w:color w:val="FF0000"/>
          <w:lang w:val="en-US" w:eastAsia="zh-CN"/>
        </w:rPr>
        <w:t>34</w:t>
      </w:r>
      <w:r>
        <w:rPr>
          <w:rFonts w:hint="eastAsia" w:ascii="Arial" w:hAnsi="Arial" w:cs="Arial"/>
          <w:lang w:val="en-US" w:eastAsia="zh-CN"/>
        </w:rPr>
        <w:t xml:space="preserve"> ]（</w:t>
      </w:r>
      <w:r>
        <w:rPr>
          <w:rFonts w:hint="eastAsia"/>
          <w:lang w:val="en-US" w:eastAsia="zh-CN"/>
        </w:rPr>
        <w:t>部门公示）</w:t>
      </w:r>
    </w:p>
    <w:p>
      <w:pPr>
        <w:pStyle w:val="3"/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许可证即将到期（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ascii="Arial" w:hAnsi="Arial" w:cs="Arial"/>
          <w:lang w:val="en-US" w:eastAsia="zh-CN"/>
        </w:rPr>
        <w:t>30天）</w:t>
      </w:r>
      <w:r>
        <w:rPr>
          <w:rFonts w:hint="eastAsia"/>
          <w:lang w:val="en-US" w:eastAsia="zh-CN"/>
        </w:rPr>
        <w:t xml:space="preserve">[ </w:t>
      </w:r>
      <w:r>
        <w:rPr>
          <w:rFonts w:hint="eastAsia" w:ascii="Arial" w:hAnsi="Arial" w:cs="Arial"/>
          <w:color w:val="FF0000"/>
          <w:lang w:val="en-US" w:eastAsia="zh-CN"/>
        </w:rPr>
        <w:t>34</w:t>
      </w:r>
      <w:r>
        <w:rPr>
          <w:rFonts w:hint="eastAsia" w:ascii="Arial" w:hAnsi="Arial" w:cs="Arial"/>
          <w:lang w:val="en-US" w:eastAsia="zh-CN"/>
        </w:rPr>
        <w:t xml:space="preserve"> ]（</w:t>
      </w:r>
      <w:r>
        <w:rPr>
          <w:rFonts w:hint="eastAsia"/>
          <w:lang w:val="en-US" w:eastAsia="zh-CN"/>
        </w:rPr>
        <w:t>企业公示）</w:t>
      </w:r>
    </w:p>
    <w:p>
      <w:pPr>
        <w:pStyle w:val="3"/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许可证已到期[ </w:t>
      </w:r>
      <w:r>
        <w:rPr>
          <w:rFonts w:hint="eastAsia" w:ascii="Arial" w:hAnsi="Arial" w:cs="Arial"/>
          <w:color w:val="FF0000"/>
          <w:lang w:val="en-US" w:eastAsia="zh-CN"/>
        </w:rPr>
        <w:t>34</w:t>
      </w:r>
      <w:r>
        <w:rPr>
          <w:rFonts w:hint="eastAsia" w:ascii="Arial" w:hAnsi="Arial" w:cs="Arial"/>
          <w:lang w:val="en-US" w:eastAsia="zh-CN"/>
        </w:rPr>
        <w:t xml:space="preserve"> ]（</w:t>
      </w:r>
      <w:r>
        <w:rPr>
          <w:rFonts w:hint="eastAsia"/>
          <w:lang w:val="en-US" w:eastAsia="zh-CN"/>
        </w:rPr>
        <w:t>企业公示）</w:t>
      </w:r>
    </w:p>
    <w:p>
      <w:pPr>
        <w:pStyle w:val="3"/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经营期限即将到期</w:t>
      </w:r>
      <w:r>
        <w:rPr>
          <w:rFonts w:hint="eastAsia"/>
          <w:lang w:val="en-US" w:eastAsia="zh-CN"/>
        </w:rPr>
        <w:t>（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ascii="Arial" w:hAnsi="Arial" w:cs="Arial"/>
          <w:lang w:val="en-US" w:eastAsia="zh-CN"/>
        </w:rPr>
        <w:t>30天）</w:t>
      </w:r>
      <w:r>
        <w:rPr>
          <w:rFonts w:hint="eastAsia"/>
          <w:lang w:val="en-US" w:eastAsia="zh-CN"/>
        </w:rPr>
        <w:t xml:space="preserve">[ 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 w:ascii="Arial" w:hAnsi="Arial" w:cs="Arial"/>
          <w:color w:val="FF0000"/>
          <w:lang w:val="en-US" w:eastAsia="zh-CN"/>
        </w:rPr>
        <w:t>34</w:t>
      </w:r>
      <w:r>
        <w:rPr>
          <w:rFonts w:hint="eastAsia" w:ascii="Arial" w:hAnsi="Arial" w:cs="Arial"/>
          <w:lang w:val="en-US" w:eastAsia="zh-CN"/>
        </w:rPr>
        <w:t xml:space="preserve"> ] </w:t>
      </w:r>
    </w:p>
    <w:p>
      <w:pPr>
        <w:pStyle w:val="3"/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经营期限已到期</w:t>
      </w:r>
      <w:r>
        <w:rPr>
          <w:rFonts w:hint="eastAsia"/>
          <w:lang w:val="en-US" w:eastAsia="zh-CN"/>
        </w:rPr>
        <w:t xml:space="preserve">[ </w:t>
      </w:r>
      <w:r>
        <w:rPr>
          <w:rFonts w:hint="eastAsia" w:ascii="Arial" w:hAnsi="Arial" w:cs="Arial"/>
          <w:color w:val="FF0000"/>
          <w:lang w:val="en-US" w:eastAsia="zh-CN"/>
        </w:rPr>
        <w:t>34</w:t>
      </w:r>
      <w:r>
        <w:rPr>
          <w:rFonts w:hint="eastAsia" w:ascii="Arial" w:hAnsi="Arial" w:cs="Arial"/>
          <w:lang w:val="en-US" w:eastAsia="zh-CN"/>
        </w:rPr>
        <w:t xml:space="preserve"> ] </w:t>
      </w:r>
    </w:p>
    <w:p>
      <w:pPr>
        <w:pStyle w:val="3"/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任职资格限制</w:t>
      </w:r>
      <w:r>
        <w:rPr>
          <w:rFonts w:hint="eastAsia"/>
          <w:lang w:val="en-US" w:eastAsia="zh-CN"/>
        </w:rPr>
        <w:t xml:space="preserve">[ </w:t>
      </w:r>
      <w:r>
        <w:rPr>
          <w:rFonts w:hint="eastAsia" w:ascii="Arial" w:hAnsi="Arial" w:cs="Arial"/>
          <w:color w:val="FF0000"/>
          <w:lang w:val="en-US" w:eastAsia="zh-CN"/>
        </w:rPr>
        <w:t>34</w:t>
      </w:r>
      <w:r>
        <w:rPr>
          <w:rFonts w:hint="eastAsia" w:ascii="Arial" w:hAnsi="Arial" w:cs="Arial"/>
          <w:lang w:val="en-US" w:eastAsia="zh-CN"/>
        </w:rPr>
        <w:t xml:space="preserve"> ] </w:t>
      </w:r>
    </w:p>
    <w:p>
      <w:pPr>
        <w:pStyle w:val="3"/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说明：</w:t>
      </w:r>
    </w:p>
    <w:p>
      <w:pPr>
        <w:pStyle w:val="3"/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统计数据包含涉及的企业、个体户、农专社。</w:t>
      </w:r>
    </w:p>
    <w:p>
      <w:pPr>
        <w:pStyle w:val="3"/>
        <w:numPr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任职资格限制信息根据任职资格限制查询功能上线后显示。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Franklin Gothic Book">
    <w:altName w:val="Yu Gothic UI"/>
    <w:panose1 w:val="020B0503020102020204"/>
    <w:charset w:val="00"/>
    <w:family w:val="roman"/>
    <w:pitch w:val="default"/>
    <w:sig w:usb0="00000000" w:usb1="00000000" w:usb2="00000000" w:usb3="00000000" w:csb0="2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2000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erpetua">
    <w:altName w:val="PMingLiU-ExtB"/>
    <w:panose1 w:val="02020502060401020303"/>
    <w:charset w:val="00"/>
    <w:family w:val="swiss"/>
    <w:pitch w:val="default"/>
    <w:sig w:usb0="00000000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entury Schoolbook">
    <w:altName w:val="Segoe Print"/>
    <w:panose1 w:val="02040604050505020304"/>
    <w:charset w:val="00"/>
    <w:family w:val="roman"/>
    <w:pitch w:val="default"/>
    <w:sig w:usb0="00000000" w:usb1="00000000" w:usb2="00000000" w:usb3="00000000" w:csb0="200000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Futura L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??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腾祥相思体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超细圆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细黑简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叶根友小细楷02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宋体-18030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0" w:usb3="00000000" w:csb0="4002009F" w:csb1="DFD7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71EC3"/>
    <w:multiLevelType w:val="multilevel"/>
    <w:tmpl w:val="27871EC3"/>
    <w:lvl w:ilvl="0" w:tentative="0">
      <w:start w:val="1"/>
      <w:numFmt w:val="chineseCountingThousand"/>
      <w:pStyle w:val="2"/>
      <w:lvlText w:val="%1."/>
      <w:lvlJc w:val="left"/>
      <w:pPr>
        <w:tabs>
          <w:tab w:val="left" w:pos="567"/>
        </w:tabs>
        <w:ind w:left="567" w:hanging="567"/>
      </w:pPr>
      <w:rPr>
        <w:rFonts w:hint="eastAsia" w:ascii="微软雅黑" w:hAnsi="微软雅黑" w:eastAsia="微软雅黑" w:cs="Times New Roman"/>
        <w:sz w:val="30"/>
      </w:rPr>
    </w:lvl>
    <w:lvl w:ilvl="1" w:tentative="0">
      <w:start w:val="1"/>
      <w:numFmt w:val="decimal"/>
      <w:pStyle w:val="5"/>
      <w:isLgl/>
      <w:lvlText w:val="%1.%2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 w:cs="Times New Roman"/>
        <w:i w:val="0"/>
        <w:iCs w:val="0"/>
        <w:caps w:val="0"/>
        <w:smallCaps w:val="0"/>
        <w:strike w:val="0"/>
        <w:dstrike w:val="0"/>
        <w:vanish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6"/>
      <w:isLgl/>
      <w:lvlText w:val="%1.%2.%3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 w:cs="Times New Roman"/>
        <w:sz w:val="24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微软雅黑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 w:cs="Times New Roman"/>
      </w:rPr>
    </w:lvl>
  </w:abstractNum>
  <w:abstractNum w:abstractNumId="1">
    <w:nsid w:val="5869D435"/>
    <w:multiLevelType w:val="singleLevel"/>
    <w:tmpl w:val="5869D4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cs="Times New Roman"/>
      </w:rPr>
    </w:lvl>
  </w:abstractNum>
  <w:abstractNum w:abstractNumId="2">
    <w:nsid w:val="58AA800A"/>
    <w:multiLevelType w:val="singleLevel"/>
    <w:tmpl w:val="58AA80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C240A3"/>
    <w:multiLevelType w:val="singleLevel"/>
    <w:tmpl w:val="58C240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B4E0E"/>
    <w:rsid w:val="0FE01B0C"/>
    <w:rsid w:val="0FFF40D5"/>
    <w:rsid w:val="10D0269A"/>
    <w:rsid w:val="10E101F9"/>
    <w:rsid w:val="10E852ED"/>
    <w:rsid w:val="143E313C"/>
    <w:rsid w:val="15111382"/>
    <w:rsid w:val="1CDF590E"/>
    <w:rsid w:val="21974189"/>
    <w:rsid w:val="24971E8A"/>
    <w:rsid w:val="2A8D5AB0"/>
    <w:rsid w:val="324C30F9"/>
    <w:rsid w:val="32F33F09"/>
    <w:rsid w:val="335E5A90"/>
    <w:rsid w:val="33EA5EF4"/>
    <w:rsid w:val="36E93E42"/>
    <w:rsid w:val="37805041"/>
    <w:rsid w:val="384A45FD"/>
    <w:rsid w:val="38727C4E"/>
    <w:rsid w:val="3D517CAE"/>
    <w:rsid w:val="3E5F3A28"/>
    <w:rsid w:val="3F331625"/>
    <w:rsid w:val="443A7E71"/>
    <w:rsid w:val="47DF2496"/>
    <w:rsid w:val="48774F8B"/>
    <w:rsid w:val="4A505480"/>
    <w:rsid w:val="4B3F5821"/>
    <w:rsid w:val="4D8708B5"/>
    <w:rsid w:val="4F956714"/>
    <w:rsid w:val="50416E8F"/>
    <w:rsid w:val="5156569A"/>
    <w:rsid w:val="51D85C68"/>
    <w:rsid w:val="5A8D7317"/>
    <w:rsid w:val="62711F26"/>
    <w:rsid w:val="636D2F42"/>
    <w:rsid w:val="663E5EF9"/>
    <w:rsid w:val="6D8F4A45"/>
    <w:rsid w:val="704447BD"/>
    <w:rsid w:val="70977FE8"/>
    <w:rsid w:val="788250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before="300" w:after="40"/>
      <w:ind w:left="0" w:firstLine="0"/>
      <w:outlineLvl w:val="0"/>
    </w:pPr>
    <w:rPr>
      <w:rFonts w:ascii="Franklin Gothic Book" w:hAnsi="Franklin Gothic Book"/>
      <w:b/>
      <w:bCs/>
      <w:color w:val="9C3511"/>
      <w:spacing w:val="20"/>
      <w:sz w:val="30"/>
      <w:szCs w:val="28"/>
    </w:rPr>
  </w:style>
  <w:style w:type="paragraph" w:styleId="5">
    <w:name w:val="heading 2"/>
    <w:basedOn w:val="1"/>
    <w:next w:val="3"/>
    <w:unhideWhenUsed/>
    <w:qFormat/>
    <w:uiPriority w:val="0"/>
    <w:pPr>
      <w:numPr>
        <w:ilvl w:val="1"/>
        <w:numId w:val="1"/>
      </w:numPr>
      <w:spacing w:before="240" w:after="40"/>
      <w:ind w:left="0" w:firstLine="0"/>
      <w:outlineLvl w:val="1"/>
    </w:pPr>
    <w:rPr>
      <w:rFonts w:ascii="Franklin Gothic Book" w:hAnsi="Franklin Gothic Book"/>
      <w:b/>
      <w:bCs/>
      <w:color w:val="9C3511"/>
      <w:spacing w:val="20"/>
      <w:sz w:val="28"/>
    </w:rPr>
  </w:style>
  <w:style w:type="paragraph" w:styleId="6">
    <w:name w:val="heading 3"/>
    <w:basedOn w:val="1"/>
    <w:next w:val="3"/>
    <w:unhideWhenUsed/>
    <w:qFormat/>
    <w:uiPriority w:val="0"/>
    <w:pPr>
      <w:numPr>
        <w:ilvl w:val="2"/>
        <w:numId w:val="1"/>
      </w:numPr>
      <w:spacing w:before="200" w:after="40"/>
      <w:ind w:left="0" w:firstLine="0"/>
      <w:outlineLvl w:val="2"/>
    </w:pPr>
    <w:rPr>
      <w:rFonts w:ascii="Franklin Gothic Book" w:hAnsi="Franklin Gothic Book"/>
      <w:b/>
      <w:bCs/>
      <w:color w:val="993300"/>
      <w:spacing w:val="20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spacing w:after="160"/>
      <w:ind w:firstLine="250" w:firstLineChars="250"/>
    </w:p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3399FF"/>
      <w:u w:val="none"/>
    </w:rPr>
  </w:style>
  <w:style w:type="character" w:styleId="12">
    <w:name w:val="Emphasis"/>
    <w:basedOn w:val="9"/>
    <w:qFormat/>
    <w:uiPriority w:val="0"/>
    <w:rPr>
      <w:i/>
    </w:rPr>
  </w:style>
  <w:style w:type="character" w:styleId="13">
    <w:name w:val="Hyperlink"/>
    <w:basedOn w:val="9"/>
    <w:qFormat/>
    <w:uiPriority w:val="0"/>
    <w:rPr>
      <w:color w:val="3399FF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6">
    <w:name w:val="hover11"/>
    <w:basedOn w:val="9"/>
    <w:qFormat/>
    <w:uiPriority w:val="0"/>
    <w:rPr>
      <w:color w:val="FFFFFF"/>
      <w:shd w:val="clear" w:fill="00C1B3"/>
    </w:rPr>
  </w:style>
  <w:style w:type="character" w:customStyle="1" w:styleId="17">
    <w:name w:val="hover12"/>
    <w:basedOn w:val="9"/>
    <w:qFormat/>
    <w:uiPriority w:val="0"/>
    <w:rPr>
      <w:sz w:val="10"/>
      <w:szCs w:val="10"/>
    </w:rPr>
  </w:style>
  <w:style w:type="character" w:customStyle="1" w:styleId="18">
    <w:name w:val="hover13"/>
    <w:basedOn w:val="9"/>
    <w:qFormat/>
    <w:uiPriority w:val="0"/>
    <w:rPr>
      <w:color w:val="FFFFFF"/>
      <w:shd w:val="clear" w:fill="00C1B3"/>
    </w:rPr>
  </w:style>
  <w:style w:type="character" w:customStyle="1" w:styleId="19">
    <w:name w:val="nopass"/>
    <w:basedOn w:val="9"/>
    <w:qFormat/>
    <w:uiPriority w:val="0"/>
    <w:rPr>
      <w:color w:val="FF0000"/>
    </w:rPr>
  </w:style>
  <w:style w:type="character" w:customStyle="1" w:styleId="20">
    <w:name w:val="first-child1"/>
    <w:basedOn w:val="9"/>
    <w:qFormat/>
    <w:uiPriority w:val="0"/>
    <w:rPr>
      <w:sz w:val="10"/>
      <w:szCs w:val="10"/>
      <w:shd w:val="clear" w:fill="FAFAFA"/>
    </w:rPr>
  </w:style>
  <w:style w:type="character" w:customStyle="1" w:styleId="21">
    <w:name w:val="first-child2"/>
    <w:basedOn w:val="9"/>
    <w:qFormat/>
    <w:uiPriority w:val="0"/>
  </w:style>
  <w:style w:type="character" w:customStyle="1" w:styleId="22">
    <w:name w:val="layui-layer-tabnow"/>
    <w:basedOn w:val="9"/>
    <w:qFormat/>
    <w:uiPriority w:val="0"/>
    <w:rPr>
      <w:bdr w:val="single" w:color="CCCCCC" w:sz="2" w:space="0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carrie</dc:creator>
  <cp:lastModifiedBy>黄凌玲</cp:lastModifiedBy>
  <dcterms:modified xsi:type="dcterms:W3CDTF">2017-03-10T06:16:50Z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