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SimHei"/>
          <w:b/>
          <w:color w:val="000000"/>
          <w:sz w:val="32"/>
        </w:rPr>
        <w:t>Description of Enterprise and Information Systems</w:t>
      </w:r>
    </w:p>
    <w:p>
      <w:pPr>
        <w:pStyle w:val="Heading2"/>
      </w:pPr>
      <w:r>
        <w:rPr>
          <w:rFonts w:ascii="Times New Roman" w:hAnsi="Times New Roman" w:eastAsia="SimHei"/>
          <w:b/>
          <w:color w:val="000000"/>
          <w:sz w:val="30"/>
        </w:rPr>
        <w:t>The Enterprise</w:t>
      </w:r>
    </w:p>
    <w:p>
      <w:pPr>
        <w:spacing w:line="312" w:lineRule="auto"/>
        <w:jc w:val="both"/>
      </w:pPr>
      <w:r>
        <w:t>The enterprise employed in this portfolio is a mid-sized NHS acute hospital trust in the United Kingdom. The trust delivers secondary care to a population of approximately 500,000 people through a district general hospital, an urgent treatment centre and a number of community outpatient clinics. Its core operations are the referral, assessment, treatment and discharge of patients across a range of clinical specialties, supported by diagnostic services, pharmacy, estates, and finance and commissioning functions. The trust employs around 6,000 clinical and administrative staff, and it is accountable both to its patients and to the regional integrated care board that commissions most of its activity. Like most NHS providers, it operates under sustained pressure: referral volumes rise each year, bed capacity is fixed, and the trust must meet national waiting-time targets while remaining within a limited budget.</w:t>
      </w:r>
    </w:p>
    <w:p>
      <w:pPr>
        <w:pStyle w:val="Heading2"/>
      </w:pPr>
      <w:r>
        <w:rPr>
          <w:rFonts w:ascii="Times New Roman" w:hAnsi="Times New Roman" w:eastAsia="SimHei"/>
          <w:b/>
          <w:color w:val="000000"/>
          <w:sz w:val="30"/>
        </w:rPr>
        <w:t>The Role of Information Systems</w:t>
      </w:r>
    </w:p>
    <w:p>
      <w:pPr>
        <w:spacing w:line="312" w:lineRule="auto"/>
        <w:jc w:val="both"/>
      </w:pPr>
      <w:r>
        <w:t>Information systems are central to how the trust operates. The patient administration system is the transactional backbone: it records referrals, schedules appointments, captures clinical correspondence and holds the master patient index on which every other system depends. A clinical review and treatment authorisation workflow coordinates the decisions taken by clinicians, and a finance module converts completed episodes of treatment into invoices for the commissioning body.</w:t>
      </w:r>
    </w:p>
    <w:p>
      <w:pPr>
        <w:spacing w:line="312" w:lineRule="auto"/>
        <w:jc w:val="both"/>
      </w:pPr>
      <w:r>
        <w:t>These systems do more than keep records; they enforce the organisation's business rules. A referral without a valid clinical priority cannot proceed to appointment booking, and treatment cannot be authorised until funding is confirmed. Information systems therefore shape what work the trust is able to do, in what order, and at what cost. They are also the main constraint on how quickly the organisation can respond when demand, capacity or funding arrangements change, which makes the quality of their design a strategic concern rather than a purely technical one.</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