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pPr>
        <w:pStyle w:val="Heading1"/>
      </w:pPr>
      <w:r>
        <w:rPr>
          <w:b w:val="0"/>
        </w:rPr>
        <w:t>TUTORIAL - Business Process Modelling and Enterprise Architecture &amp; Advance Information System Development</w:t>
      </w:r>
    </w:p>
    <w:p>
      <w:pPr>
        <w:pStyle w:val="Heading1"/>
      </w:pPr>
      <w:r>
        <w:rPr>
          <w:b w:val="0"/>
        </w:rPr>
        <w:t>Introduction to Business Process Modelling</w:t>
      </w:r>
    </w:p>
    <w:p>
      <w:pPr>
        <w:pStyle w:val="NormalWeb"/>
      </w:pPr>
      <w:r>
        <w:rPr>
          <w:b w:val="0"/>
        </w:rPr>
        <w:t>Aim: The aim of this tutorial is to establish through understand about business process, business process modelling and to research new ways of representing business processes.</w:t>
      </w:r>
    </w:p>
    <w:p>
      <w:pPr>
        <w:pStyle w:val="Heading3"/>
      </w:pPr>
      <w:r>
        <w:rPr>
          <w:b w:val="0"/>
        </w:rPr>
        <w:t>Task 1: Understanding Key Concepts</w:t>
      </w:r>
    </w:p>
    <w:p>
      <w:r>
        <w:rPr>
          <w:b w:val="0"/>
        </w:rPr>
        <w:t>1.1: Define Business Process and BPM</w:t>
      </w:r>
    </w:p>
    <w:p>
      <w:pPr>
        <w:pStyle w:val="ListParagraph"/>
        <w:ind w:left="720"/>
      </w:pPr>
      <w:r>
        <w:rPr>
          <w:b w:val="0"/>
        </w:rPr>
        <w:t>Define a Business Process and explain its significance in an organization.</w:t>
      </w:r>
    </w:p>
    <w:p>
      <w:r>
        <w:rPr>
          <w:b w:val="0"/>
        </w:rPr>
        <w:t>A business process is "a collection of inter-related events, activities and decision points that involve a number of actors and objects, and that collectively lead to an outcome that is of value to at least one customer" (Dumas et al., 2013).</w:t>
      </w:r>
    </w:p>
    <w:p>
      <w:r>
        <w:rPr>
          <w:b w:val="0"/>
        </w:rPr>
        <w:t>The patient pathway in the case study is one such process. From the point at which a GP or another hospital refers a patient, through clinical review, appointment booking, consultation, treatment, funding and payment, to clinic letters and follow-up care, it involves many actors (Medical Secretaries, the Outpatient Bookings Team, the Call Handling Team, the Clinical Nurse Specialist Team, the Treatment and Chemotherapy Bookings Team, Patient Pathway Coordinators, Consultants, the Finance Team and management) and it produces outcomes that the patient, the referring GP and the hospital all value.</w:t>
      </w:r>
    </w:p>
    <w:p>
      <w:r>
        <w:rPr>
          <w:b/>
        </w:rPr>
        <w:t>Significance in an organisation:</w:t>
      </w:r>
    </w:p>
    <w:p>
      <w:pPr>
        <w:pStyle w:val="ListParagraph"/>
        <w:ind w:left="720"/>
        <w:numPr>
          <w:ilvl w:val="0"/>
          <w:numId w:val="10"/>
        </w:numPr>
      </w:pPr>
      <w:r>
        <w:rPr>
          <w:b w:val="0"/>
        </w:rPr>
        <w:t>It is the unit of value creation. Work only matters when it produces an outcome a customer values, so processes, not departments, are what actually deliver that outcome.</w:t>
      </w:r>
    </w:p>
    <w:p>
      <w:pPr>
        <w:pStyle w:val="ListParagraph"/>
        <w:ind w:left="720"/>
        <w:numPr>
          <w:ilvl w:val="0"/>
          <w:numId w:val="10"/>
        </w:numPr>
      </w:pPr>
      <w:r>
        <w:rPr>
          <w:b w:val="0"/>
        </w:rPr>
        <w:t>It crosses functional boundaries. A process view exposes the hand-offs that an organisation chart hides - for example the hand-off from the Consultant's acceptance decision to the Outpatient Bookings Team, or from the Treatment and Chemotherapy Bookings Team to the Finance Team. In this case study those hand-offs are currently carried out through emails, telephone calls, letters and manually maintained records, which is exactly why progress is hard to monitor.</w:t>
      </w:r>
    </w:p>
    <w:p>
      <w:pPr>
        <w:pStyle w:val="ListParagraph"/>
        <w:ind w:left="720"/>
        <w:numPr>
          <w:ilvl w:val="0"/>
          <w:numId w:val="10"/>
        </w:numPr>
      </w:pPr>
      <w:r>
        <w:rPr>
          <w:b w:val="0"/>
        </w:rPr>
        <w:t>It gives the organisation a common language. Describing the work as a process lets clinical, administrative and financial staff discuss the same pathway without arguing about responsibilities.</w:t>
      </w:r>
    </w:p>
    <w:p>
      <w:pPr>
        <w:pStyle w:val="ListParagraph"/>
        <w:ind w:left="720"/>
        <w:numPr>
          <w:ilvl w:val="0"/>
          <w:numId w:val="10"/>
        </w:numPr>
      </w:pPr>
      <w:r>
        <w:rPr>
          <w:b w:val="0"/>
        </w:rPr>
        <w:t>It makes performance measurable. Cost, cycle time and error rate can only be attached to something that is defined and repeatable - the hospital wants precisely these figures for referral volumes, waiting times, delayed letters and failed payments.</w:t>
      </w:r>
    </w:p>
    <w:p>
      <w:pPr>
        <w:pStyle w:val="ListParagraph"/>
        <w:ind w:left="720"/>
        <w:numPr>
          <w:ilvl w:val="0"/>
          <w:numId w:val="10"/>
        </w:numPr>
      </w:pPr>
      <w:r>
        <w:rPr>
          <w:b w:val="0"/>
        </w:rPr>
        <w:t>It is the basis for redesign and automation. The proposed Hospital Patient Administration System is an attempt to automate and monitor the pathway, and its requirements can only be specified against a defined process.</w:t>
      </w:r>
    </w:p>
    <w:p>
      <w:pPr>
        <w:pStyle w:val="ListParagraph"/>
        <w:ind w:left="720"/>
      </w:pPr>
      <w:r>
        <w:rPr>
          <w:b w:val="0"/>
        </w:rPr>
        <w:t>What is Business Process Management (BPM)? List the main phases involved in BPM.</w:t>
      </w:r>
    </w:p>
    <w:p>
      <w:r>
        <w:rPr>
          <w:b w:val="0"/>
        </w:rPr>
        <w:t>Business Process Management is "a body of methods, techniques and tools to discover, analyse, redesign, execute and monitor business processes" (Dumas et al., 2013). It is the discipline that manages the whole process lifecycle on a continuing basis, rather than a single project or a single piece of software. The hospital's problem - fragmented information, no clear audit trail - is a BPM problem before it is a software problem.</w:t>
      </w:r>
    </w:p>
    <w:p>
      <w:r>
        <w:rPr>
          <w:b w:val="0"/>
        </w:rPr>
        <w:t>The main phases of the BPM lifecycle are:</w:t>
      </w:r>
    </w:p>
    <w:p>
      <w:r>
        <w:rPr>
          <w:b w:val="0"/>
        </w:rPr>
        <w:t>1. Process Identification</w:t>
      </w:r>
    </w:p>
    <w:p>
      <w:r>
        <w:rPr>
          <w:b w:val="0"/>
        </w:rPr>
        <w:t>2. Process Discovery (as-is modelling)</w:t>
      </w:r>
    </w:p>
    <w:p>
      <w:r>
        <w:rPr>
          <w:b w:val="0"/>
        </w:rPr>
        <w:t>3. Process Analysis</w:t>
      </w:r>
    </w:p>
    <w:p>
      <w:r>
        <w:rPr>
          <w:b w:val="0"/>
        </w:rPr>
        <w:t>4. Process Redesign (process improvement)</w:t>
      </w:r>
    </w:p>
    <w:p>
      <w:r>
        <w:rPr>
          <w:b w:val="0"/>
        </w:rPr>
        <w:t>5. Process Implementation</w:t>
      </w:r>
    </w:p>
    <w:p>
      <w:r>
        <w:rPr>
          <w:b w:val="0"/>
        </w:rPr>
        <w:t>6. Process Monitoring and Controlling</w:t>
      </w:r>
    </w:p>
    <w:p>
      <w:r>
        <w:rPr>
          <w:b w:val="0"/>
        </w:rPr>
        <w:t>The tutorial lists five phases. Process Implementation is shown separately here because the hospital case study depends on it: the redesigned pathway still has to be automated in the new Hospital Patient Administration System.</w:t>
      </w:r>
    </w:p>
    <w:p>
      <w:r>
        <w:rPr>
          <w:b w:val="0"/>
        </w:rPr>
        <w:t>1.2: Research and Review</w:t>
      </w:r>
    </w:p>
    <w:p>
      <w:pPr>
        <w:pStyle w:val="ListParagraph"/>
        <w:ind w:left="720"/>
      </w:pPr>
      <w:r>
        <w:rPr>
          <w:b w:val="0"/>
        </w:rPr>
        <w:t>Use lecture materials or online resources to learn about the five phases of BPM lifecycle:</w:t>
      </w:r>
    </w:p>
    <w:p>
      <w:pPr>
        <w:pStyle w:val="ListParagraph"/>
        <w:ind w:left="720"/>
      </w:pPr>
      <w:r>
        <w:rPr>
          <w:b w:val="0"/>
        </w:rPr>
        <w:t>Process Identification</w:t>
      </w:r>
    </w:p>
    <w:p>
      <w:r>
        <w:rPr>
          <w:b w:val="0"/>
        </w:rPr>
        <w:t>A business problem is posed, and the processes relevant to that problem are identified, delimited (scoped) and related to each other. The output is a process architecture: a collection of the organisation's processes together with the links between them, giving an overall picture of the business. In the case study the architecture would contain referral management, outpatient booking, treatment booking, funding and payment, enquiry handling, correspondence and patient pathway monitoring.</w:t>
      </w:r>
    </w:p>
    <w:p>
      <w:pPr>
        <w:pStyle w:val="ListParagraph"/>
        <w:ind w:left="720"/>
      </w:pPr>
      <w:r>
        <w:rPr>
          <w:b w:val="0"/>
        </w:rPr>
        <w:t>Process Discovery</w:t>
      </w:r>
    </w:p>
    <w:p>
      <w:r>
        <w:rPr>
          <w:b w:val="0"/>
        </w:rPr>
        <w:t>Also called as-is modelling. The current state of each relevant process is documented, typically as one or more as-is process models, by observing the work and interviewing the people who perform it. The output is the set of as-is models. This is the phase the hospital case study describes as its present situation: hospital systems, electronic forms, emails, telephone calls, letters and manually maintained records used in parallel, which makes monitoring and audit difficult.</w:t>
      </w:r>
    </w:p>
    <w:p>
      <w:pPr>
        <w:pStyle w:val="ListParagraph"/>
        <w:ind w:left="720"/>
      </w:pPr>
      <w:r>
        <w:rPr>
          <w:b w:val="0"/>
        </w:rPr>
        <w:t>Process Analysis</w:t>
      </w:r>
    </w:p>
    <w:p>
      <w:r>
        <w:rPr>
          <w:b w:val="0"/>
        </w:rPr>
        <w:t>The issues associated with the as-is process are identified, documented and, wherever possible, quantified using performance measures such as the total cost of the process, its cycle time and its error rate. The output is a structured collection of issues, normally prioritised by impact and by the effort needed to address them. In the case study the issues to be measured are delayed clinic letters, unsuccessful patient contact attempts, treatment booking delays, outstanding funding approvals, failed or incomplete payments and unresolved enquiries.</w:t>
      </w:r>
    </w:p>
    <w:p>
      <w:pPr>
        <w:pStyle w:val="ListParagraph"/>
        <w:ind w:left="720"/>
      </w:pPr>
      <w:r>
        <w:rPr>
          <w:b w:val="0"/>
        </w:rPr>
        <w:t>Process Redesign</w:t>
      </w:r>
    </w:p>
    <w:p>
      <w:r>
        <w:rPr>
          <w:b w:val="0"/>
        </w:rPr>
        <w:t>Also called process improvement. The goal is to identify changes that will address the issues found in analysis and allow the organisation to meet its performance objectives. Several change options are analysed and compared against the chosen performance measures, and the most promising are combined into a to-be process design. In the case study this is the introduction of the Hospital Patient Administration System, with formal authorisations, single entry of data, automated reminders and escalation, and the separation of clinical, administrative and financial responsibilities.</w:t>
      </w:r>
    </w:p>
    <w:p>
      <w:pPr>
        <w:pStyle w:val="ListParagraph"/>
        <w:ind w:left="720"/>
      </w:pPr>
      <w:r>
        <w:rPr>
          <w:b w:val="0"/>
        </w:rPr>
        <w:t>Process Monitoring</w:t>
      </w:r>
    </w:p>
    <w:p>
      <w:r>
        <w:rPr>
          <w:b w:val="0"/>
        </w:rPr>
        <w:t>Once the redesigned process is running, relevant data are collected and analysed to determine how well the process performs against its measures and objectives. Bottlenecks, recurring errors and deviations from the intended behaviour are identified and corrective action is taken. New issues may then trigger another iteration of the lifecycle. In the case study this is the management reporting requirement: referral volumes, outstanding referrals, appointment waiting times, delayed clinic letters, outstanding funding approvals, failed or incomplete payments, refunds awaiting processing and the progress of individual patient pathways.</w:t>
      </w:r>
    </w:p>
    <w:p>
      <w:pPr>
        <w:pStyle w:val="ListParagraph"/>
        <w:ind w:left="720"/>
      </w:pPr>
      <w:r>
        <w:rPr>
          <w:b w:val="0"/>
        </w:rPr>
        <w:t>Task: Write a brief description of each phase.</w:t>
      </w:r>
    </w:p>
    <w:p>
      <w:r>
        <w:rPr>
          <w:b w:val="0"/>
        </w:rPr>
        <w:t>Note: Dumas et al. describe the lifecycle with six phases, treating Process Implementation as a phase of its own between redesign and monitoring. It is described below as well, because the hospital case depends on it: the to-be process still has to be supported by the proposed Hospital Patient Administration System.</w:t>
      </w:r>
    </w:p>
    <w:p>
      <w:r>
        <w:rPr>
          <w:b/>
        </w:rPr>
        <w:t>Process Implementation</w:t>
      </w:r>
    </w:p>
    <w:p>
      <w:r>
        <w:rPr>
          <w:b w:val="0"/>
        </w:rPr>
        <w:t>The changes required to move from the as-is process to the to-be process are prepared and performed. It covers two aspects: organisational change management, which is changing the way all participants work, and process automation, which is the development and deployment of the IT systems that support the to-be process. In the case study this is the development, role configuration, user training and deployment of the Hospital Patient Administration System and the interfaces to the external scheduling, correspondence, clinical and payment services.</w:t>
      </w:r>
    </w:p>
    <w:p>
      <w:pPr>
        <w:pStyle w:val="Heading3"/>
      </w:pPr>
      <w:r>
        <w:rPr>
          <w:b w:val="0"/>
        </w:rPr>
        <w:t>Task 2: Application of Key Concepts</w:t>
      </w:r>
    </w:p>
    <w:p>
      <w:r>
        <w:rPr>
          <w:b w:val="0"/>
        </w:rPr>
        <w:t>2.1: Analyse the case study provided</w:t>
      </w:r>
    </w:p>
    <w:p>
      <w:pPr>
        <w:pStyle w:val="ListParagraph"/>
        <w:ind w:left="720"/>
      </w:pPr>
      <w:r>
        <w:rPr>
          <w:b w:val="0"/>
        </w:rPr>
        <w:t>Identify different stake holders of the business</w:t>
      </w:r>
    </w:p>
    <w:p>
      <w:r>
        <w:rPr>
          <w:b/>
        </w:rPr>
        <w:t>Clinical staff:</w:t>
      </w:r>
    </w:p>
    <w:p>
      <w:pPr>
        <w:pStyle w:val="ListParagraph"/>
        <w:ind w:left="720"/>
        <w:numPr>
          <w:ilvl w:val="0"/>
          <w:numId w:val="10"/>
        </w:numPr>
      </w:pPr>
      <w:r>
        <w:rPr>
          <w:b w:val="0"/>
        </w:rPr>
        <w:t>Consultants - clinically review referrals and may accept, reject, request further information or redirect them; assess patients at the New Patient Appointment, record consent, create authorised Treatment Booking Requests and approve clinic letters.</w:t>
      </w:r>
    </w:p>
    <w:p>
      <w:pPr>
        <w:pStyle w:val="ListParagraph"/>
        <w:ind w:left="720"/>
        <w:numPr>
          <w:ilvl w:val="0"/>
          <w:numId w:val="10"/>
        </w:numPr>
      </w:pPr>
      <w:r>
        <w:rPr>
          <w:b w:val="0"/>
        </w:rPr>
        <w:t>Clinical Nurse Specialist Team - provides clinical advice, treatment related support and information about their condition to patients; receives clinical enquiries routed by the call handlers.</w:t>
      </w:r>
    </w:p>
    <w:p>
      <w:pPr>
        <w:pStyle w:val="ListParagraph"/>
        <w:ind w:left="720"/>
        <w:numPr>
          <w:ilvl w:val="0"/>
          <w:numId w:val="10"/>
        </w:numPr>
      </w:pPr>
      <w:r>
        <w:rPr>
          <w:b w:val="0"/>
        </w:rPr>
        <w:t>Other clinical professionals - authorise Treatment Modification Requests and decide, after between-cycle reviews and blood tests, whether treatment continues, is delayed or is changed.</w:t>
      </w:r>
    </w:p>
    <w:p>
      <w:r>
        <w:rPr>
          <w:b/>
        </w:rPr>
        <w:t>Administrative staff:</w:t>
      </w:r>
    </w:p>
    <w:p>
      <w:pPr>
        <w:pStyle w:val="ListParagraph"/>
        <w:ind w:left="720"/>
        <w:numPr>
          <w:ilvl w:val="0"/>
          <w:numId w:val="10"/>
        </w:numPr>
      </w:pPr>
      <w:r>
        <w:rPr>
          <w:b w:val="0"/>
        </w:rPr>
        <w:t>Medical Secretaries - receive referrals, check that the expected supporting information is present, request missing information from the referring organisation, and process and distribute approved clinic letters.</w:t>
      </w:r>
    </w:p>
    <w:p>
      <w:pPr>
        <w:pStyle w:val="ListParagraph"/>
        <w:ind w:left="720"/>
        <w:numPr>
          <w:ilvl w:val="0"/>
          <w:numId w:val="10"/>
        </w:numPr>
      </w:pPr>
      <w:r>
        <w:rPr>
          <w:b w:val="0"/>
        </w:rPr>
        <w:t>Clinical Nurse Specialist Administrative Support Team - administrative support for the Clinical Nurse Specialist Team.</w:t>
      </w:r>
    </w:p>
    <w:p>
      <w:pPr>
        <w:pStyle w:val="ListParagraph"/>
        <w:ind w:left="720"/>
        <w:numPr>
          <w:ilvl w:val="0"/>
          <w:numId w:val="10"/>
        </w:numPr>
      </w:pPr>
      <w:r>
        <w:rPr>
          <w:b w:val="0"/>
        </w:rPr>
        <w:t>Outpatient Bookings Team - arranges New Patient and follow-up appointments through the external scheduling service and confirms them in the hospital system.</w:t>
      </w:r>
    </w:p>
    <w:p>
      <w:pPr>
        <w:pStyle w:val="ListParagraph"/>
        <w:ind w:left="720"/>
        <w:numPr>
          <w:ilvl w:val="0"/>
          <w:numId w:val="10"/>
        </w:numPr>
      </w:pPr>
      <w:r>
        <w:rPr>
          <w:b w:val="0"/>
        </w:rPr>
        <w:t>Treatment and Chemotherapy Bookings Team - coordinates treatment appointments using hospital facilities and external services.</w:t>
      </w:r>
    </w:p>
    <w:p>
      <w:pPr>
        <w:pStyle w:val="ListParagraph"/>
        <w:ind w:left="720"/>
        <w:numPr>
          <w:ilvl w:val="0"/>
          <w:numId w:val="10"/>
        </w:numPr>
      </w:pPr>
      <w:r>
        <w:rPr>
          <w:b w:val="0"/>
        </w:rPr>
        <w:t>Call Handling Team - first point of contact for enquiries; records, classifies, prioritises and routes them, and must not give clinical advice.</w:t>
      </w:r>
    </w:p>
    <w:p>
      <w:pPr>
        <w:pStyle w:val="ListParagraph"/>
        <w:ind w:left="720"/>
        <w:numPr>
          <w:ilvl w:val="0"/>
          <w:numId w:val="10"/>
        </w:numPr>
      </w:pPr>
      <w:r>
        <w:rPr>
          <w:b w:val="0"/>
        </w:rPr>
        <w:t>Patient Pathway Coordinators - review outstanding correspondence and issue weekly reminders to Consultants.</w:t>
      </w:r>
    </w:p>
    <w:p>
      <w:pPr>
        <w:pStyle w:val="ListParagraph"/>
        <w:ind w:left="720"/>
        <w:numPr>
          <w:ilvl w:val="0"/>
          <w:numId w:val="10"/>
        </w:numPr>
      </w:pPr>
      <w:r>
        <w:rPr>
          <w:b w:val="0"/>
        </w:rPr>
        <w:t>Administrative Management Team - the Administrative Manager receives the escalation for letters outstanding more than one month; a higher management team receives it after three months.</w:t>
      </w:r>
    </w:p>
    <w:p>
      <w:r>
        <w:rPr>
          <w:b/>
        </w:rPr>
        <w:t>Finance staff:</w:t>
      </w:r>
    </w:p>
    <w:p>
      <w:pPr>
        <w:pStyle w:val="ListParagraph"/>
        <w:ind w:left="720"/>
        <w:numPr>
          <w:ilvl w:val="0"/>
          <w:numId w:val="10"/>
        </w:numPr>
      </w:pPr>
      <w:r>
        <w:rPr>
          <w:b w:val="0"/>
        </w:rPr>
        <w:t>Finance Team - determines funding eligibility and records funding approvals, handles payment enquiries and payment channels, decides refunds, resolves payments taken but not confirmed, and must not make clinical decisions.</w:t>
      </w:r>
    </w:p>
    <w:p>
      <w:r>
        <w:rPr>
          <w:b/>
        </w:rPr>
        <w:t>Patients and their representatives:</w:t>
      </w:r>
    </w:p>
    <w:p>
      <w:pPr>
        <w:pStyle w:val="ListParagraph"/>
        <w:ind w:left="720"/>
        <w:numPr>
          <w:ilvl w:val="0"/>
          <w:numId w:val="10"/>
        </w:numPr>
      </w:pPr>
      <w:r>
        <w:rPr>
          <w:b w:val="0"/>
        </w:rPr>
        <w:t>Patients - receive communication about appointments and treatment, and expect timely communication together with protection of their personal and financial information. Preferences differ: some prefer post, some digital, and some need accessible formats, translation support or assistance from a representative.</w:t>
      </w:r>
    </w:p>
    <w:p>
      <w:pPr>
        <w:pStyle w:val="ListParagraph"/>
        <w:ind w:left="720"/>
        <w:numPr>
          <w:ilvl w:val="0"/>
          <w:numId w:val="10"/>
        </w:numPr>
      </w:pPr>
      <w:r>
        <w:rPr>
          <w:b w:val="0"/>
        </w:rPr>
        <w:t>Authorised representatives - act for the patient where the patient needs assistance.</w:t>
      </w:r>
    </w:p>
    <w:p>
      <w:r>
        <w:rPr>
          <w:b/>
        </w:rPr>
        <w:t>External organisations:</w:t>
      </w:r>
    </w:p>
    <w:p>
      <w:pPr>
        <w:pStyle w:val="ListParagraph"/>
        <w:ind w:left="720"/>
        <w:numPr>
          <w:ilvl w:val="0"/>
          <w:numId w:val="10"/>
        </w:numPr>
      </w:pPr>
      <w:r>
        <w:rPr>
          <w:b w:val="0"/>
        </w:rPr>
        <w:t>Referring organisations (General Practitioners and other hospitals) - send referrals and supply previous clinic letters, investigation results and diagnostic reports; may need to be informed of patient non-attendance.</w:t>
      </w:r>
    </w:p>
    <w:p>
      <w:pPr>
        <w:pStyle w:val="ListParagraph"/>
        <w:ind w:left="720"/>
        <w:numPr>
          <w:ilvl w:val="0"/>
          <w:numId w:val="10"/>
        </w:numPr>
      </w:pPr>
      <w:r>
        <w:rPr>
          <w:b w:val="0"/>
        </w:rPr>
        <w:t>External scheduling service - used to identify and confirm appointments.</w:t>
      </w:r>
    </w:p>
    <w:p>
      <w:pPr>
        <w:pStyle w:val="ListParagraph"/>
        <w:ind w:left="720"/>
        <w:numPr>
          <w:ilvl w:val="0"/>
          <w:numId w:val="10"/>
        </w:numPr>
      </w:pPr>
      <w:r>
        <w:rPr>
          <w:b w:val="0"/>
        </w:rPr>
        <w:t>External correspondence service - distributes patient letters.</w:t>
      </w:r>
    </w:p>
    <w:p>
      <w:pPr>
        <w:pStyle w:val="ListParagraph"/>
        <w:ind w:left="720"/>
        <w:numPr>
          <w:ilvl w:val="0"/>
          <w:numId w:val="10"/>
        </w:numPr>
      </w:pPr>
      <w:r>
        <w:rPr>
          <w:b w:val="0"/>
        </w:rPr>
        <w:t>External Payment Service Provider - processes the payment and returns the payment status, transaction reference, payment date and amount; also processes refunds.</w:t>
      </w:r>
    </w:p>
    <w:p>
      <w:pPr>
        <w:pStyle w:val="ListParagraph"/>
        <w:ind w:left="720"/>
        <w:numPr>
          <w:ilvl w:val="0"/>
          <w:numId w:val="10"/>
        </w:numPr>
      </w:pPr>
      <w:r>
        <w:rPr>
          <w:b w:val="0"/>
        </w:rPr>
        <w:t>External treatment, laboratory and imaging services - provide the availability and the test results the pathway depends on.</w:t>
      </w:r>
    </w:p>
    <w:p>
      <w:pPr>
        <w:pStyle w:val="ListParagraph"/>
        <w:ind w:left="720"/>
        <w:numPr>
          <w:ilvl w:val="0"/>
          <w:numId w:val="10"/>
        </w:numPr>
      </w:pPr>
      <w:r>
        <w:rPr>
          <w:b w:val="0"/>
        </w:rPr>
        <w:t>Insurers and funding organisations - fund treatment and issue the authorisation reference, approved amount and any limitations.</w:t>
      </w:r>
    </w:p>
    <w:p>
      <w:r>
        <w:rPr>
          <w:b/>
        </w:rPr>
        <w:t>Management:</w:t>
      </w:r>
    </w:p>
    <w:p>
      <w:pPr>
        <w:pStyle w:val="ListParagraph"/>
        <w:ind w:left="720"/>
        <w:numPr>
          <w:ilvl w:val="0"/>
          <w:numId w:val="10"/>
        </w:numPr>
      </w:pPr>
      <w:r>
        <w:rPr>
          <w:b w:val="0"/>
        </w:rPr>
        <w:t>Hospital management - requires the reports on referral volumes, outstanding referrals, waiting times, delayed letters, unresolved enquiries, booking delays, funding approvals, failed payments and refunds. It also carries the concern that excessive administrative recording reduces the time available for patient care.</w:t>
      </w:r>
    </w:p>
    <w:p>
      <w:pPr>
        <w:pStyle w:val="ListParagraph"/>
        <w:ind w:left="720"/>
      </w:pPr>
      <w:r>
        <w:rPr>
          <w:b w:val="0"/>
        </w:rPr>
        <w:t>Identify all the business processes</w:t>
      </w:r>
    </w:p>
    <w:p>
      <w:r>
        <w:rPr>
          <w:b w:val="0"/>
        </w:rPr>
        <w:t>The case describes one end-to-end patient pathway made up of the following processes. Teams are taken from the case study.</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0" w:type="auto"/>
      </w:tblPr>
      <w:tblGrid>
        <w:gridCol w:w="3005"/>
        <w:gridCol w:w="3005"/>
        <w:gridCol w:w="3005"/>
      </w:tblGrid>
      <w:tr>
        <w:trPr>
          <w:tblHeader w:val="true"/>
        </w:trPr>
        <w:tc>
          <w:tcPr>
            <w:tcW w:type="dxa" w:w="3005"/>
          </w:tcPr>
          <w:p>
            <w:pPr>
              <w:spacing w:before="0" w:after="0"/>
            </w:pPr>
            <w:r/>
            <w:r>
              <w:rPr>
                <w:sz w:val="24"/>
              </w:rPr>
              <w:t>Process</w:t>
            </w:r>
          </w:p>
        </w:tc>
        <w:tc>
          <w:tcPr>
            <w:tcW w:type="dxa" w:w="3005"/>
          </w:tcPr>
          <w:p>
            <w:pPr>
              <w:spacing w:before="0" w:after="0"/>
            </w:pPr>
            <w:r/>
            <w:r>
              <w:rPr>
                <w:sz w:val="24"/>
              </w:rPr>
              <w:t>Responsible team</w:t>
            </w:r>
          </w:p>
        </w:tc>
        <w:tc>
          <w:tcPr>
            <w:tcW w:type="dxa" w:w="3005"/>
          </w:tcPr>
          <w:p>
            <w:pPr>
              <w:spacing w:before="0" w:after="0"/>
            </w:pPr>
            <w:r/>
            <w:r>
              <w:rPr>
                <w:sz w:val="24"/>
              </w:rPr>
              <w:t>Trigger and outcome</w:t>
            </w:r>
          </w:p>
        </w:tc>
      </w:tr>
      <w:tr>
        <w:tc>
          <w:tcPr>
            <w:tcW w:type="dxa" w:w="3005"/>
          </w:tcPr>
          <w:p>
            <w:pPr>
              <w:spacing w:before="0" w:after="0"/>
            </w:pPr>
            <w:r/>
            <w:r>
              <w:rPr>
                <w:sz w:val="24"/>
              </w:rPr>
              <w:t>1. Referral receipt and checking</w:t>
            </w:r>
          </w:p>
        </w:tc>
        <w:tc>
          <w:tcPr>
            <w:tcW w:type="dxa" w:w="3005"/>
          </w:tcPr>
          <w:p>
            <w:pPr>
              <w:spacing w:before="0" w:after="0"/>
            </w:pPr>
            <w:r/>
            <w:r>
              <w:rPr>
                <w:sz w:val="24"/>
              </w:rPr>
              <w:t>Medical Secretaries</w:t>
            </w:r>
          </w:p>
        </w:tc>
        <w:tc>
          <w:tcPr>
            <w:tcW w:type="dxa" w:w="3005"/>
          </w:tcPr>
          <w:p>
            <w:pPr>
              <w:spacing w:before="0" w:after="0"/>
            </w:pPr>
            <w:r/>
            <w:r>
              <w:rPr>
                <w:sz w:val="24"/>
              </w:rPr>
              <w:t>Triggered by a referral from a GP or another hospital. The available documents are checked for expected supporting information - previous clinic letters, investigation results, diagnostic reports. Missing information is requested from the referring organisation. No clinical suitability judgement is made.</w:t>
            </w:r>
          </w:p>
        </w:tc>
      </w:tr>
      <w:tr>
        <w:tc>
          <w:tcPr>
            <w:tcW w:type="dxa" w:w="3005"/>
          </w:tcPr>
          <w:p>
            <w:pPr>
              <w:spacing w:before="0" w:after="0"/>
            </w:pPr>
            <w:r/>
            <w:r>
              <w:rPr>
                <w:sz w:val="24"/>
              </w:rPr>
              <w:t>2. Clinical review of the referral</w:t>
            </w:r>
          </w:p>
        </w:tc>
        <w:tc>
          <w:tcPr>
            <w:tcW w:type="dxa" w:w="3005"/>
          </w:tcPr>
          <w:p>
            <w:pPr>
              <w:spacing w:before="0" w:after="0"/>
            </w:pPr>
            <w:r/>
            <w:r>
              <w:rPr>
                <w:sz w:val="24"/>
              </w:rPr>
              <w:t>Consultant</w:t>
            </w:r>
          </w:p>
        </w:tc>
        <w:tc>
          <w:tcPr>
            <w:tcW w:type="dxa" w:w="3005"/>
          </w:tcPr>
          <w:p>
            <w:pPr>
              <w:spacing w:before="0" w:after="0"/>
            </w:pPr>
            <w:r/>
            <w:r>
              <w:rPr>
                <w:sz w:val="24"/>
              </w:rPr>
              <w:t>Triggered by a checked referral. Outcomes: accept, reject, request further information, or redirect to another specialist service. The reason and the identity of the decision maker are recorded. Only acceptance allows a New Patient Appointment to be arranged.</w:t>
            </w:r>
          </w:p>
        </w:tc>
      </w:tr>
      <w:tr>
        <w:tc>
          <w:tcPr>
            <w:tcW w:type="dxa" w:w="3005"/>
          </w:tcPr>
          <w:p>
            <w:pPr>
              <w:spacing w:before="0" w:after="0"/>
            </w:pPr>
            <w:r/>
            <w:r>
              <w:rPr>
                <w:sz w:val="24"/>
              </w:rPr>
              <w:t>3. New Patient Appointment booking</w:t>
            </w:r>
          </w:p>
        </w:tc>
        <w:tc>
          <w:tcPr>
            <w:tcW w:type="dxa" w:w="3005"/>
          </w:tcPr>
          <w:p>
            <w:pPr>
              <w:spacing w:before="0" w:after="0"/>
            </w:pPr>
            <w:r/>
            <w:r>
              <w:rPr>
                <w:sz w:val="24"/>
              </w:rPr>
              <w:t>Outpatient Bookings Team</w:t>
            </w:r>
          </w:p>
        </w:tc>
        <w:tc>
          <w:tcPr>
            <w:tcW w:type="dxa" w:w="3005"/>
          </w:tcPr>
          <w:p>
            <w:pPr>
              <w:spacing w:before="0" w:after="0"/>
            </w:pPr>
            <w:r/>
            <w:r>
              <w:rPr>
                <w:sz w:val="24"/>
              </w:rPr>
              <w:t>Triggered by an accepted referral and a booking request stating speciality, priority, preferred timeframe and patient requirements. An appropriate appointment is found through the external scheduling service and confirmed in the hospital system. Urgent referrals fall outside the normal administrative timescales.</w:t>
            </w:r>
          </w:p>
        </w:tc>
      </w:tr>
      <w:tr>
        <w:tc>
          <w:tcPr>
            <w:tcW w:type="dxa" w:w="3005"/>
          </w:tcPr>
          <w:p>
            <w:pPr>
              <w:spacing w:before="0" w:after="0"/>
            </w:pPr>
            <w:r/>
            <w:r>
              <w:rPr>
                <w:sz w:val="24"/>
              </w:rPr>
              <w:t>4. Patient notification and contact</w:t>
            </w:r>
          </w:p>
        </w:tc>
        <w:tc>
          <w:tcPr>
            <w:tcW w:type="dxa" w:w="3005"/>
          </w:tcPr>
          <w:p>
            <w:pPr>
              <w:spacing w:before="0" w:after="0"/>
            </w:pPr>
            <w:r/>
            <w:r>
              <w:rPr>
                <w:sz w:val="24"/>
              </w:rPr>
              <w:t>Outpatient Bookings Team</w:t>
            </w:r>
          </w:p>
        </w:tc>
        <w:tc>
          <w:tcPr>
            <w:tcW w:type="dxa" w:w="3005"/>
          </w:tcPr>
          <w:p>
            <w:pPr>
              <w:spacing w:before="0" w:after="0"/>
            </w:pPr>
            <w:r/>
            <w:r>
              <w:rPr>
                <w:sz w:val="24"/>
              </w:rPr>
              <w:t>Triggered by a confirmed booking. The patient is normally informed by letter through the external correspondence service, and must also be telephoned if the appointment is within the following two weeks. Every contact attempt and its outcome is recorded, including an unanswered call, an incorrect number or a request for another appointment.</w:t>
            </w:r>
          </w:p>
        </w:tc>
      </w:tr>
      <w:tr>
        <w:tc>
          <w:tcPr>
            <w:tcW w:type="dxa" w:w="3005"/>
          </w:tcPr>
          <w:p>
            <w:pPr>
              <w:spacing w:before="0" w:after="0"/>
            </w:pPr>
            <w:r/>
            <w:r>
              <w:rPr>
                <w:sz w:val="24"/>
              </w:rPr>
              <w:t>5. New Patient Appointment (consultation)</w:t>
            </w:r>
          </w:p>
        </w:tc>
        <w:tc>
          <w:tcPr>
            <w:tcW w:type="dxa" w:w="3005"/>
          </w:tcPr>
          <w:p>
            <w:pPr>
              <w:spacing w:before="0" w:after="0"/>
            </w:pPr>
            <w:r/>
            <w:r>
              <w:rPr>
                <w:sz w:val="24"/>
              </w:rPr>
              <w:t>Consultant and clinical team</w:t>
            </w:r>
          </w:p>
        </w:tc>
        <w:tc>
          <w:tcPr>
            <w:tcW w:type="dxa" w:w="3005"/>
          </w:tcPr>
          <w:p>
            <w:pPr>
              <w:spacing w:before="0" w:after="0"/>
            </w:pPr>
            <w:r/>
            <w:r>
              <w:rPr>
                <w:sz w:val="24"/>
              </w:rPr>
              <w:t>The patient is assessed, the diagnosis discussed and the treatment options explained. If the patient agrees to proceed, consent is recorded.</w:t>
            </w:r>
          </w:p>
        </w:tc>
      </w:tr>
      <w:tr>
        <w:tc>
          <w:tcPr>
            <w:tcW w:type="dxa" w:w="3005"/>
          </w:tcPr>
          <w:p>
            <w:pPr>
              <w:spacing w:before="0" w:after="0"/>
            </w:pPr>
            <w:r/>
            <w:r>
              <w:rPr>
                <w:sz w:val="24"/>
              </w:rPr>
              <w:t>6. Treatment Booking Request authorisation</w:t>
            </w:r>
          </w:p>
        </w:tc>
        <w:tc>
          <w:tcPr>
            <w:tcW w:type="dxa" w:w="3005"/>
          </w:tcPr>
          <w:p>
            <w:pPr>
              <w:spacing w:before="0" w:after="0"/>
            </w:pPr>
            <w:r/>
            <w:r>
              <w:rPr>
                <w:sz w:val="24"/>
              </w:rPr>
              <w:t>Consultant or other authorised clinical professional</w:t>
            </w:r>
          </w:p>
        </w:tc>
        <w:tc>
          <w:tcPr>
            <w:tcW w:type="dxa" w:w="3005"/>
          </w:tcPr>
          <w:p>
            <w:pPr>
              <w:spacing w:before="0" w:after="0"/>
            </w:pPr>
            <w:r/>
            <w:r>
              <w:rPr>
                <w:sz w:val="24"/>
              </w:rPr>
              <w:t>Triggered by recorded consent. Produces an authorised request stating the proposed treatment, start date, number and frequency of cycles, reviews between cycles and any special resources needed. A request not completed and authorised by a clinical professional must not be processed by administrative staff.</w:t>
            </w:r>
          </w:p>
        </w:tc>
      </w:tr>
      <w:tr>
        <w:tc>
          <w:tcPr>
            <w:tcW w:type="dxa" w:w="3005"/>
          </w:tcPr>
          <w:p>
            <w:pPr>
              <w:spacing w:before="0" w:after="0"/>
            </w:pPr>
            <w:r/>
            <w:r>
              <w:rPr>
                <w:sz w:val="24"/>
              </w:rPr>
              <w:t>7. Treatment and chemotherapy appointment scheduling</w:t>
            </w:r>
          </w:p>
        </w:tc>
        <w:tc>
          <w:tcPr>
            <w:tcW w:type="dxa" w:w="3005"/>
          </w:tcPr>
          <w:p>
            <w:pPr>
              <w:spacing w:before="0" w:after="0"/>
            </w:pPr>
            <w:r/>
            <w:r>
              <w:rPr>
                <w:sz w:val="24"/>
              </w:rPr>
              <w:t>Treatment and Chemotherapy Bookings Team</w:t>
            </w:r>
          </w:p>
        </w:tc>
        <w:tc>
          <w:tcPr>
            <w:tcW w:type="dxa" w:w="3005"/>
          </w:tcPr>
          <w:p>
            <w:pPr>
              <w:spacing w:before="0" w:after="0"/>
            </w:pPr>
            <w:r/>
            <w:r>
              <w:rPr>
                <w:sz w:val="24"/>
              </w:rPr>
              <w:t>Triggered by an authorised request. Some appointments use hospital facilities, others depend on availability from external treatment, laboratory, imaging or scheduling services. If an external service is unavailable the booking stays pending, the responsible team is notified and further attempts are recorded without creating duplicate appointments.</w:t>
            </w:r>
          </w:p>
        </w:tc>
      </w:tr>
      <w:tr>
        <w:tc>
          <w:tcPr>
            <w:tcW w:type="dxa" w:w="3005"/>
          </w:tcPr>
          <w:p>
            <w:pPr>
              <w:spacing w:before="0" w:after="0"/>
            </w:pPr>
            <w:r/>
            <w:r>
              <w:rPr>
                <w:sz w:val="24"/>
              </w:rPr>
              <w:t>8. Funding eligibility and approval</w:t>
            </w:r>
          </w:p>
        </w:tc>
        <w:tc>
          <w:tcPr>
            <w:tcW w:type="dxa" w:w="3005"/>
          </w:tcPr>
          <w:p>
            <w:pPr>
              <w:spacing w:before="0" w:after="0"/>
            </w:pPr>
            <w:r/>
            <w:r>
              <w:rPr>
                <w:sz w:val="24"/>
              </w:rPr>
              <w:t>Finance Team</w:t>
            </w:r>
          </w:p>
        </w:tc>
        <w:tc>
          <w:tcPr>
            <w:tcW w:type="dxa" w:w="3005"/>
          </w:tcPr>
          <w:p>
            <w:pPr>
              <w:spacing w:before="0" w:after="0"/>
            </w:pPr>
            <w:r/>
            <w:r>
              <w:rPr>
                <w:sz w:val="24"/>
              </w:rPr>
              <w:t>Determined before a treatment appointment is confirmed: funded by the hospital, covered by an approved insurer or funding organisation, or payable by the patient. Where approval is required, the funding organisation, authorisation reference, approved amount and any limitations are recorded.</w:t>
            </w:r>
          </w:p>
        </w:tc>
      </w:tr>
      <w:tr>
        <w:tc>
          <w:tcPr>
            <w:tcW w:type="dxa" w:w="3005"/>
          </w:tcPr>
          <w:p>
            <w:pPr>
              <w:spacing w:before="0" w:after="0"/>
            </w:pPr>
            <w:r/>
            <w:r>
              <w:rPr>
                <w:sz w:val="24"/>
              </w:rPr>
              <w:t>9. Payment collection</w:t>
            </w:r>
          </w:p>
        </w:tc>
        <w:tc>
          <w:tcPr>
            <w:tcW w:type="dxa" w:w="3005"/>
          </w:tcPr>
          <w:p>
            <w:pPr>
              <w:spacing w:before="0" w:after="0"/>
            </w:pPr>
            <w:r/>
            <w:r>
              <w:rPr>
                <w:sz w:val="24"/>
              </w:rPr>
              <w:t>Finance Team with the external Payment Service Provider</w:t>
            </w:r>
          </w:p>
        </w:tc>
        <w:tc>
          <w:tcPr>
            <w:tcW w:type="dxa" w:w="3005"/>
          </w:tcPr>
          <w:p>
            <w:pPr>
              <w:spacing w:before="0" w:after="0"/>
            </w:pPr>
            <w:r/>
            <w:r>
              <w:rPr>
                <w:sz w:val="24"/>
              </w:rPr>
              <w:t>For treatments where a charge applies, the system calculates or obtains the charge and sends a secure payment request. The patient may pay online, by telephone with an authorised member of the Finance Team, or through another approved channel. Full card details must not be stored.</w:t>
            </w:r>
          </w:p>
        </w:tc>
      </w:tr>
      <w:tr>
        <w:tc>
          <w:tcPr>
            <w:tcW w:type="dxa" w:w="3005"/>
          </w:tcPr>
          <w:p>
            <w:pPr>
              <w:spacing w:before="0" w:after="0"/>
            </w:pPr>
            <w:r/>
            <w:r>
              <w:rPr>
                <w:sz w:val="24"/>
              </w:rPr>
              <w:t>10. Payment exception handling</w:t>
            </w:r>
          </w:p>
        </w:tc>
        <w:tc>
          <w:tcPr>
            <w:tcW w:type="dxa" w:w="3005"/>
          </w:tcPr>
          <w:p>
            <w:pPr>
              <w:spacing w:before="0" w:after="0"/>
            </w:pPr>
            <w:r/>
            <w:r>
              <w:rPr>
                <w:sz w:val="24"/>
              </w:rPr>
              <w:t>Finance Team</w:t>
            </w:r>
          </w:p>
        </w:tc>
        <w:tc>
          <w:tcPr>
            <w:tcW w:type="dxa" w:w="3005"/>
          </w:tcPr>
          <w:p>
            <w:pPr>
              <w:spacing w:before="0" w:after="0"/>
            </w:pPr>
            <w:r/>
            <w:r>
              <w:rPr>
                <w:sz w:val="24"/>
              </w:rPr>
              <w:t>A declined, cancelled, duplicated or incomplete payment is notified to the patient and the responsible administrative team, and another attempt is allowed without duplicating the booking or charging twice. A payment taken but not confirmed because of a communication failure is marked for investigation instead of being requested again. Urgent treatment may proceed on clinical authorisation with the reason recorded and referred to Finance.</w:t>
            </w:r>
          </w:p>
        </w:tc>
      </w:tr>
      <w:tr>
        <w:tc>
          <w:tcPr>
            <w:tcW w:type="dxa" w:w="3005"/>
          </w:tcPr>
          <w:p>
            <w:pPr>
              <w:spacing w:before="0" w:after="0"/>
            </w:pPr>
            <w:r/>
            <w:r>
              <w:rPr>
                <w:sz w:val="24"/>
              </w:rPr>
              <w:t>11. Refund processing</w:t>
            </w:r>
          </w:p>
        </w:tc>
        <w:tc>
          <w:tcPr>
            <w:tcW w:type="dxa" w:w="3005"/>
          </w:tcPr>
          <w:p>
            <w:pPr>
              <w:spacing w:before="0" w:after="0"/>
            </w:pPr>
            <w:r/>
            <w:r>
              <w:rPr>
                <w:sz w:val="24"/>
              </w:rPr>
              <w:t>Finance Team</w:t>
            </w:r>
          </w:p>
        </w:tc>
        <w:tc>
          <w:tcPr>
            <w:tcW w:type="dxa" w:w="3005"/>
          </w:tcPr>
          <w:p>
            <w:pPr>
              <w:spacing w:before="0" w:after="0"/>
            </w:pPr>
            <w:r/>
            <w:r>
              <w:rPr>
                <w:sz w:val="24"/>
              </w:rPr>
              <w:t>Where treatment is cancelled, postponed or changed after payment, an authorised member of the Finance Team decides whether a full or partial refund is appropriate, sends the approved request to the external Payment Service Provider and records the result against the patient's account. Clinical staff may provide information but must not approve refunds without financial authority.</w:t>
            </w:r>
          </w:p>
        </w:tc>
      </w:tr>
      <w:tr>
        <w:tc>
          <w:tcPr>
            <w:tcW w:type="dxa" w:w="3005"/>
          </w:tcPr>
          <w:p>
            <w:pPr>
              <w:spacing w:before="0" w:after="0"/>
            </w:pPr>
            <w:r/>
            <w:r>
              <w:rPr>
                <w:sz w:val="24"/>
              </w:rPr>
              <w:t>12. Between-cycle clinical review and blood test</w:t>
            </w:r>
          </w:p>
        </w:tc>
        <w:tc>
          <w:tcPr>
            <w:tcW w:type="dxa" w:w="3005"/>
          </w:tcPr>
          <w:p>
            <w:pPr>
              <w:spacing w:before="0" w:after="0"/>
            </w:pPr>
            <w:r/>
            <w:r>
              <w:rPr>
                <w:sz w:val="24"/>
              </w:rPr>
              <w:t>Clinical team</w:t>
            </w:r>
          </w:p>
        </w:tc>
        <w:tc>
          <w:tcPr>
            <w:tcW w:type="dxa" w:w="3005"/>
          </w:tcPr>
          <w:p>
            <w:pPr>
              <w:spacing w:before="0" w:after="0"/>
            </w:pPr>
            <w:r/>
            <w:r>
              <w:rPr>
                <w:sz w:val="24"/>
              </w:rPr>
              <w:t>Before each subsequent chemotherapy cycle the patient may need a clinical review and blood test. The results decide whether the patient is medically fit to continue, whether treatment should be delayed or whether the treatment plan should change. This is a clinical decision that the bookings or Finance teams cannot make.</w:t>
            </w:r>
          </w:p>
        </w:tc>
      </w:tr>
      <w:tr>
        <w:tc>
          <w:tcPr>
            <w:tcW w:type="dxa" w:w="3005"/>
          </w:tcPr>
          <w:p>
            <w:pPr>
              <w:spacing w:before="0" w:after="0"/>
            </w:pPr>
            <w:r/>
            <w:r>
              <w:rPr>
                <w:sz w:val="24"/>
              </w:rPr>
              <w:t>13. Treatment modification</w:t>
            </w:r>
          </w:p>
        </w:tc>
        <w:tc>
          <w:tcPr>
            <w:tcW w:type="dxa" w:w="3005"/>
          </w:tcPr>
          <w:p>
            <w:pPr>
              <w:spacing w:before="0" w:after="0"/>
            </w:pPr>
            <w:r/>
            <w:r>
              <w:rPr>
                <w:sz w:val="24"/>
              </w:rPr>
              <w:t>Authorised clinical professional, with referral to Finance</w:t>
            </w:r>
          </w:p>
        </w:tc>
        <w:tc>
          <w:tcPr>
            <w:tcW w:type="dxa" w:w="3005"/>
          </w:tcPr>
          <w:p>
            <w:pPr>
              <w:spacing w:before="0" w:after="0"/>
            </w:pPr>
            <w:r/>
            <w:r>
              <w:rPr>
                <w:sz w:val="24"/>
              </w:rPr>
              <w:t>A change to a treatment schedule requires an authorised Treatment Modification Request submitted through the system; requests made only by email, telephone or informal communication must not be processed. Urgent postponement for patient safety is supported, with the clinician recording and authorising the decision afterwards. Any modification affecting a charge, funding approval or completed payment is referred to the Finance Team.</w:t>
            </w:r>
          </w:p>
        </w:tc>
      </w:tr>
      <w:tr>
        <w:tc>
          <w:tcPr>
            <w:tcW w:type="dxa" w:w="3005"/>
          </w:tcPr>
          <w:p>
            <w:pPr>
              <w:spacing w:before="0" w:after="0"/>
            </w:pPr>
            <w:r/>
            <w:r>
              <w:rPr>
                <w:sz w:val="24"/>
              </w:rPr>
              <w:t>14. Enquiry handling</w:t>
            </w:r>
          </w:p>
        </w:tc>
        <w:tc>
          <w:tcPr>
            <w:tcW w:type="dxa" w:w="3005"/>
          </w:tcPr>
          <w:p>
            <w:pPr>
              <w:spacing w:before="0" w:after="0"/>
            </w:pPr>
            <w:r/>
            <w:r>
              <w:rPr>
                <w:sz w:val="24"/>
              </w:rPr>
              <w:t>Call Handling Team</w:t>
            </w:r>
          </w:p>
        </w:tc>
        <w:tc>
          <w:tcPr>
            <w:tcW w:type="dxa" w:w="3005"/>
          </w:tcPr>
          <w:p>
            <w:pPr>
              <w:spacing w:before="0" w:after="0"/>
            </w:pPr>
            <w:r/>
            <w:r>
              <w:rPr>
                <w:sz w:val="24"/>
              </w:rPr>
              <w:t>Every enquiry is recorded, classified as administrative, financial or clinical, assigned a priority and routed to an appropriate team. Call handlers may answer straightforward administrative questions; payment and funding enquiries go to the Finance Team and clinical enquiries to the Clinical Nurse Specialist Team or another qualified clinical professional.</w:t>
            </w:r>
          </w:p>
        </w:tc>
      </w:tr>
      <w:tr>
        <w:tc>
          <w:tcPr>
            <w:tcW w:type="dxa" w:w="3005"/>
          </w:tcPr>
          <w:p>
            <w:pPr>
              <w:spacing w:before="0" w:after="0"/>
            </w:pPr>
            <w:r/>
            <w:r>
              <w:rPr>
                <w:sz w:val="24"/>
              </w:rPr>
              <w:t>15. Clinic letter production and approval</w:t>
            </w:r>
          </w:p>
        </w:tc>
        <w:tc>
          <w:tcPr>
            <w:tcW w:type="dxa" w:w="3005"/>
          </w:tcPr>
          <w:p>
            <w:pPr>
              <w:spacing w:before="0" w:after="0"/>
            </w:pPr>
            <w:r/>
            <w:r>
              <w:rPr>
                <w:sz w:val="24"/>
              </w:rPr>
              <w:t>Consultant</w:t>
            </w:r>
          </w:p>
        </w:tc>
        <w:tc>
          <w:tcPr>
            <w:tcW w:type="dxa" w:w="3005"/>
          </w:tcPr>
          <w:p>
            <w:pPr>
              <w:spacing w:before="0" w:after="0"/>
            </w:pPr>
            <w:r/>
            <w:r>
              <w:rPr>
                <w:sz w:val="24"/>
              </w:rPr>
              <w:t>After every consultation the Consultant prepares a Clinic Letter - the first being the New Patient Clinic Letter - describing the consultation, diagnosis, findings, treatment decisions and follow-up arrangements, and identifies the recipients. The Consultant remains responsible for the clinical content and must approve the letter before it can be distributed.</w:t>
            </w:r>
          </w:p>
        </w:tc>
      </w:tr>
      <w:tr>
        <w:tc>
          <w:tcPr>
            <w:tcW w:type="dxa" w:w="3005"/>
          </w:tcPr>
          <w:p>
            <w:pPr>
              <w:spacing w:before="0" w:after="0"/>
            </w:pPr>
            <w:r/>
            <w:r>
              <w:rPr>
                <w:sz w:val="24"/>
              </w:rPr>
              <w:t>16. Clinic letter processing and distribution</w:t>
            </w:r>
          </w:p>
        </w:tc>
        <w:tc>
          <w:tcPr>
            <w:tcW w:type="dxa" w:w="3005"/>
          </w:tcPr>
          <w:p>
            <w:pPr>
              <w:spacing w:before="0" w:after="0"/>
            </w:pPr>
            <w:r/>
            <w:r>
              <w:rPr>
                <w:sz w:val="24"/>
              </w:rPr>
              <w:t>Medical Secretaries</w:t>
            </w:r>
          </w:p>
        </w:tc>
        <w:tc>
          <w:tcPr>
            <w:tcW w:type="dxa" w:w="3005"/>
          </w:tcPr>
          <w:p>
            <w:pPr>
              <w:spacing w:before="0" w:after="0"/>
            </w:pPr>
            <w:r/>
            <w:r>
              <w:rPr>
                <w:sz w:val="24"/>
              </w:rPr>
              <w:t>Triggered by an approved letter: administrative checks, confirmation of the recipients and distribution through the approved communication channels. Formatting and administrative errors may be corrected, but the clinical meaning must not change, and any suspected clinical error is returned to the Consultant. Target: sent within seven days of the appointment and received within about two weeks.</w:t>
            </w:r>
          </w:p>
        </w:tc>
      </w:tr>
      <w:tr>
        <w:tc>
          <w:tcPr>
            <w:tcW w:type="dxa" w:w="3005"/>
          </w:tcPr>
          <w:p>
            <w:pPr>
              <w:spacing w:before="0" w:after="0"/>
            </w:pPr>
            <w:r/>
            <w:r>
              <w:rPr>
                <w:sz w:val="24"/>
              </w:rPr>
              <w:t>17. Delayed correspondence monitoring and escalation</w:t>
            </w:r>
          </w:p>
        </w:tc>
        <w:tc>
          <w:tcPr>
            <w:tcW w:type="dxa" w:w="3005"/>
          </w:tcPr>
          <w:p>
            <w:pPr>
              <w:spacing w:before="0" w:after="0"/>
            </w:pPr>
            <w:r/>
            <w:r>
              <w:rPr>
                <w:sz w:val="24"/>
              </w:rPr>
              <w:t>Patient Pathway Coordinators, Administrative Manager, higher management</w:t>
            </w:r>
          </w:p>
        </w:tc>
        <w:tc>
          <w:tcPr>
            <w:tcW w:type="dxa" w:w="3005"/>
          </w:tcPr>
          <w:p>
            <w:pPr>
              <w:spacing w:before="0" w:after="0"/>
            </w:pPr>
            <w:r/>
            <w:r>
              <w:rPr>
                <w:sz w:val="24"/>
              </w:rPr>
              <w:t>A letter still incomplete or unapproved more than seven days after the appointment is delayed and enters pathway monitoring. Weekly reminders are issued to Consultants; after one month the matter is escalated to the Administrative Manager and after three months to the appropriate higher management team. Repeated reminders must not be generated once the letter is complete, and valid reasons for delay are recorded with a full history of reminders, responses and escalations.</w:t>
            </w:r>
          </w:p>
        </w:tc>
      </w:tr>
      <w:tr>
        <w:tc>
          <w:tcPr>
            <w:tcW w:type="dxa" w:w="3005"/>
          </w:tcPr>
          <w:p>
            <w:pPr>
              <w:spacing w:before="0" w:after="0"/>
            </w:pPr>
            <w:r/>
            <w:r>
              <w:rPr>
                <w:sz w:val="24"/>
              </w:rPr>
              <w:t>18. Follow-up appointment booking</w:t>
            </w:r>
          </w:p>
        </w:tc>
        <w:tc>
          <w:tcPr>
            <w:tcW w:type="dxa" w:w="3005"/>
          </w:tcPr>
          <w:p>
            <w:pPr>
              <w:spacing w:before="0" w:after="0"/>
            </w:pPr>
            <w:r/>
            <w:r>
              <w:rPr>
                <w:sz w:val="24"/>
              </w:rPr>
              <w:t>Outpatient Bookings Team</w:t>
            </w:r>
          </w:p>
        </w:tc>
        <w:tc>
          <w:tcPr>
            <w:tcW w:type="dxa" w:w="3005"/>
          </w:tcPr>
          <w:p>
            <w:pPr>
              <w:spacing w:before="0" w:after="0"/>
            </w:pPr>
            <w:r/>
            <w:r>
              <w:rPr>
                <w:sz w:val="24"/>
              </w:rPr>
              <w:t>Triggered by a request from a consultant or another authorised clinical professional after a consultation or treatment review, stating the period within which the patient should be reviewed. If no appointment can be found within that period, the case is highlighted and referred to the relevant pathway team rather than silently booked outside the clinically requested period.</w:t>
            </w:r>
          </w:p>
        </w:tc>
      </w:tr>
      <w:tr>
        <w:tc>
          <w:tcPr>
            <w:tcW w:type="dxa" w:w="3005"/>
          </w:tcPr>
          <w:p>
            <w:pPr>
              <w:spacing w:before="0" w:after="0"/>
            </w:pPr>
            <w:r/>
            <w:r>
              <w:rPr>
                <w:sz w:val="24"/>
              </w:rPr>
              <w:t>19. Appointment cancellation, decline and non-attendance</w:t>
            </w:r>
          </w:p>
        </w:tc>
        <w:tc>
          <w:tcPr>
            <w:tcW w:type="dxa" w:w="3005"/>
          </w:tcPr>
          <w:p>
            <w:pPr>
              <w:spacing w:before="0" w:after="0"/>
            </w:pPr>
            <w:r/>
            <w:r>
              <w:rPr>
                <w:sz w:val="24"/>
              </w:rPr>
              <w:t>Administrative staff, with clinical and Finance referrals</w:t>
            </w:r>
          </w:p>
        </w:tc>
        <w:tc>
          <w:tcPr>
            <w:tcW w:type="dxa" w:w="3005"/>
          </w:tcPr>
          <w:p>
            <w:pPr>
              <w:spacing w:before="0" w:after="0"/>
            </w:pPr>
            <w:r/>
            <w:r>
              <w:rPr>
                <w:sz w:val="24"/>
              </w:rPr>
              <w:t>The event is recorded and a decision taken on whether to offer another appointment, review the patient's pathway or inform the referring organisation. A paid appointment that is cancelled or rescheduled is also referred to the Finance Team. Decisions about continuing treatment, delaying treatment or discharging a patient remain clinical.</w:t>
            </w:r>
          </w:p>
        </w:tc>
      </w:tr>
      <w:tr>
        <w:tc>
          <w:tcPr>
            <w:tcW w:type="dxa" w:w="3005"/>
          </w:tcPr>
          <w:p>
            <w:pPr>
              <w:spacing w:before="0" w:after="0"/>
            </w:pPr>
            <w:r/>
            <w:r>
              <w:rPr>
                <w:sz w:val="24"/>
              </w:rPr>
              <w:t>20. Access control, audit and reporting (cross-cutting)</w:t>
            </w:r>
          </w:p>
        </w:tc>
        <w:tc>
          <w:tcPr>
            <w:tcW w:type="dxa" w:w="3005"/>
          </w:tcPr>
          <w:p>
            <w:pPr>
              <w:spacing w:before="0" w:after="0"/>
            </w:pPr>
            <w:r/>
            <w:r>
              <w:rPr>
                <w:sz w:val="24"/>
              </w:rPr>
              <w:t>Whole organisation</w:t>
            </w:r>
          </w:p>
        </w:tc>
        <w:tc>
          <w:tcPr>
            <w:tcW w:type="dxa" w:w="3005"/>
          </w:tcPr>
          <w:p>
            <w:pPr>
              <w:spacing w:before="0" w:after="0"/>
            </w:pPr>
            <w:r/>
            <w:r>
              <w:rPr>
                <w:sz w:val="24"/>
              </w:rPr>
              <w:t>Users are authenticated and given role-based access to only the information their role requires; information exchanged with external services is protected; significant actions - access to patient records, referral decisions, appointment changes, clinical authorisations, correspondence approvals, treatment modifications, payment requests, funding decisions and refunds - are recorded with user, date, time and nature, and ordinary users cannot edit the audit record. Management reporting on the pathway is produced from the same data.</w:t>
            </w:r>
          </w:p>
        </w:tc>
      </w:tr>
    </w:tbl>
    <w:p>
      <w:pPr>
        <w:pStyle w:val="ListParagraph"/>
        <w:ind w:left="720"/>
      </w:pPr>
      <w:r>
        <w:rPr>
          <w:b w:val="0"/>
        </w:rPr>
        <w:t>Identify the dependencies among the business processes.</w:t>
      </w:r>
    </w:p>
    <w:p>
      <w:r>
        <w:rPr>
          <w:b w:val="0"/>
        </w:rPr>
        <w:t>The processes above are not independent. The dependencies that matter most, and the reason each one exists, are set out below.</w:t>
      </w:r>
    </w:p>
    <w:tbl>
      <w:tblPr>
        <w:tblW w:type="auto" w:w="0"/>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0" w:type="auto"/>
      </w:tblPr>
      <w:tblGrid>
        <w:gridCol w:w="4507"/>
        <w:gridCol w:w="4507"/>
      </w:tblGrid>
      <w:tr>
        <w:trPr>
          <w:tblHeader w:val="true"/>
        </w:trPr>
        <w:tc>
          <w:tcPr>
            <w:tcW w:type="dxa" w:w="4507"/>
          </w:tcPr>
          <w:p>
            <w:pPr>
              <w:spacing w:before="0" w:after="0"/>
            </w:pPr>
            <w:r/>
            <w:r>
              <w:rPr>
                <w:sz w:val="24"/>
              </w:rPr>
              <w:t>Dependency between processes</w:t>
            </w:r>
          </w:p>
        </w:tc>
        <w:tc>
          <w:tcPr>
            <w:tcW w:type="dxa" w:w="4507"/>
          </w:tcPr>
          <w:p>
            <w:pPr>
              <w:spacing w:before="0" w:after="0"/>
            </w:pPr>
            <w:r/>
            <w:r>
              <w:rPr>
                <w:sz w:val="24"/>
              </w:rPr>
              <w:t>Why the dependency exists</w:t>
            </w:r>
          </w:p>
        </w:tc>
      </w:tr>
      <w:tr>
        <w:tc>
          <w:tcPr>
            <w:tcW w:type="dxa" w:w="4507"/>
          </w:tcPr>
          <w:p>
            <w:pPr>
              <w:spacing w:before="0" w:after="0"/>
            </w:pPr>
            <w:r/>
            <w:r>
              <w:rPr>
                <w:sz w:val="24"/>
              </w:rPr>
              <w:t>Booking a New Patient Appointment depends on the Consultant accepting the referral</w:t>
            </w:r>
          </w:p>
        </w:tc>
        <w:tc>
          <w:tcPr>
            <w:tcW w:type="dxa" w:w="4507"/>
          </w:tcPr>
          <w:p>
            <w:pPr>
              <w:spacing w:before="0" w:after="0"/>
            </w:pPr>
            <w:r/>
            <w:r>
              <w:rPr>
                <w:sz w:val="24"/>
              </w:rPr>
              <w:t>A strict precedence and authorisation dependency: an appointment may only be arranged after an authorised Consultant has accepted the referral. Without it, no booking request exists.</w:t>
            </w:r>
          </w:p>
        </w:tc>
      </w:tr>
      <w:tr>
        <w:tc>
          <w:tcPr>
            <w:tcW w:type="dxa" w:w="4507"/>
          </w:tcPr>
          <w:p>
            <w:pPr>
              <w:spacing w:before="0" w:after="0"/>
            </w:pPr>
            <w:r/>
            <w:r>
              <w:rPr>
                <w:sz w:val="24"/>
              </w:rPr>
              <w:t>Clinical review depends on the completeness check by the Medical Secretaries</w:t>
            </w:r>
          </w:p>
        </w:tc>
        <w:tc>
          <w:tcPr>
            <w:tcW w:type="dxa" w:w="4507"/>
          </w:tcPr>
          <w:p>
            <w:pPr>
              <w:spacing w:before="0" w:after="0"/>
            </w:pPr>
            <w:r/>
            <w:r>
              <w:rPr>
                <w:sz w:val="24"/>
              </w:rPr>
              <w:t>A prerequisite dependency. The Medical Secretaries check that the supporting information is present and may request what is missing, but they cannot assess clinical suitability, so the check feeds the review without deciding it.</w:t>
            </w:r>
          </w:p>
        </w:tc>
      </w:tr>
      <w:tr>
        <w:tc>
          <w:tcPr>
            <w:tcW w:type="dxa" w:w="4507"/>
          </w:tcPr>
          <w:p>
            <w:pPr>
              <w:spacing w:before="0" w:after="0"/>
            </w:pPr>
            <w:r/>
            <w:r>
              <w:rPr>
                <w:sz w:val="24"/>
              </w:rPr>
              <w:t>Patient notification depends on the confirmed booking, and feeds back into it</w:t>
            </w:r>
          </w:p>
        </w:tc>
        <w:tc>
          <w:tcPr>
            <w:tcW w:type="dxa" w:w="4507"/>
          </w:tcPr>
          <w:p>
            <w:pPr>
              <w:spacing w:before="0" w:after="0"/>
            </w:pPr>
            <w:r/>
            <w:r>
              <w:rPr>
                <w:sz w:val="24"/>
              </w:rPr>
              <w:t>The letter, and the telephone call when the appointment is within two weeks, follow from a confirmed booking. The outcomes of the contact attempts - no answer, incorrect number, alternative appointment requested - then change the booking, so the dependency runs in both directions.</w:t>
            </w:r>
          </w:p>
        </w:tc>
      </w:tr>
      <w:tr>
        <w:tc>
          <w:tcPr>
            <w:tcW w:type="dxa" w:w="4507"/>
          </w:tcPr>
          <w:p>
            <w:pPr>
              <w:spacing w:before="0" w:after="0"/>
            </w:pPr>
            <w:r/>
            <w:r>
              <w:rPr>
                <w:sz w:val="24"/>
              </w:rPr>
              <w:t>Authorisation of the Treatment Booking Request depends on recorded consent at the consultation</w:t>
            </w:r>
          </w:p>
        </w:tc>
        <w:tc>
          <w:tcPr>
            <w:tcW w:type="dxa" w:w="4507"/>
          </w:tcPr>
          <w:p>
            <w:pPr>
              <w:spacing w:before="0" w:after="0"/>
            </w:pPr>
            <w:r/>
            <w:r>
              <w:rPr>
                <w:sz w:val="24"/>
              </w:rPr>
              <w:t>Consent is recorded at the New Patient Appointment, and only then can the Consultant create the authorised Treatment Booking Request.</w:t>
            </w:r>
          </w:p>
        </w:tc>
      </w:tr>
      <w:tr>
        <w:tc>
          <w:tcPr>
            <w:tcW w:type="dxa" w:w="4507"/>
          </w:tcPr>
          <w:p>
            <w:pPr>
              <w:spacing w:before="0" w:after="0"/>
            </w:pPr>
            <w:r/>
            <w:r>
              <w:rPr>
                <w:sz w:val="24"/>
              </w:rPr>
              <w:t>Treatment appointment scheduling depends on the authorised Treatment Booking Request</w:t>
            </w:r>
          </w:p>
        </w:tc>
        <w:tc>
          <w:tcPr>
            <w:tcW w:type="dxa" w:w="4507"/>
          </w:tcPr>
          <w:p>
            <w:pPr>
              <w:spacing w:before="0" w:after="0"/>
            </w:pPr>
            <w:r/>
            <w:r>
              <w:rPr>
                <w:sz w:val="24"/>
              </w:rPr>
              <w:t>A segregation-of-duties dependency. Administrative staff must not process a request that has not been completed and authorised by an appropriate clinical professional.</w:t>
            </w:r>
          </w:p>
        </w:tc>
      </w:tr>
      <w:tr>
        <w:tc>
          <w:tcPr>
            <w:tcW w:type="dxa" w:w="4507"/>
          </w:tcPr>
          <w:p>
            <w:pPr>
              <w:spacing w:before="0" w:after="0"/>
            </w:pPr>
            <w:r/>
            <w:r>
              <w:rPr>
                <w:sz w:val="24"/>
              </w:rPr>
              <w:t>Treatment scheduling depends on external availability</w:t>
            </w:r>
          </w:p>
        </w:tc>
        <w:tc>
          <w:tcPr>
            <w:tcW w:type="dxa" w:w="4507"/>
          </w:tcPr>
          <w:p>
            <w:pPr>
              <w:spacing w:before="0" w:after="0"/>
            </w:pPr>
            <w:r/>
            <w:r>
              <w:rPr>
                <w:sz w:val="24"/>
              </w:rPr>
              <w:t>An external resource dependency. Some appointments need availability obtained from external treatment, laboratory, imaging or scheduling services; while a service is unavailable the booking stays pending, the responsible team is notified and further attempts are recorded without creating duplicate appointments.</w:t>
            </w:r>
          </w:p>
        </w:tc>
      </w:tr>
      <w:tr>
        <w:tc>
          <w:tcPr>
            <w:tcW w:type="dxa" w:w="4507"/>
          </w:tcPr>
          <w:p>
            <w:pPr>
              <w:spacing w:before="0" w:after="0"/>
            </w:pPr>
            <w:r/>
            <w:r>
              <w:rPr>
                <w:sz w:val="24"/>
              </w:rPr>
              <w:t>Confirmation of a treatment appointment depends on the funding determination</w:t>
            </w:r>
          </w:p>
        </w:tc>
        <w:tc>
          <w:tcPr>
            <w:tcW w:type="dxa" w:w="4507"/>
          </w:tcPr>
          <w:p>
            <w:pPr>
              <w:spacing w:before="0" w:after="0"/>
            </w:pPr>
            <w:r/>
            <w:r>
              <w:rPr>
                <w:sz w:val="24"/>
              </w:rPr>
              <w:t>The system must determine whether the treatment is hospital funded, insurer funded or payable by the patient before the appointment is confirmed, so the Finance Team's funding record gates the booking.</w:t>
            </w:r>
          </w:p>
        </w:tc>
      </w:tr>
      <w:tr>
        <w:tc>
          <w:tcPr>
            <w:tcW w:type="dxa" w:w="4507"/>
          </w:tcPr>
          <w:p>
            <w:pPr>
              <w:spacing w:before="0" w:after="0"/>
            </w:pPr>
            <w:r/>
            <w:r>
              <w:rPr>
                <w:sz w:val="24"/>
              </w:rPr>
              <w:t>Confirmation of a treatment appointment depends on payment, an exemption or a recorded arrangement</w:t>
            </w:r>
          </w:p>
        </w:tc>
        <w:tc>
          <w:tcPr>
            <w:tcW w:type="dxa" w:w="4507"/>
          </w:tcPr>
          <w:p>
            <w:pPr>
              <w:spacing w:before="0" w:after="0"/>
            </w:pPr>
            <w:r/>
            <w:r>
              <w:rPr>
                <w:sz w:val="24"/>
              </w:rPr>
              <w:t>A treatment appointment requiring advance payment must not normally be confirmed until payment is complete, or an authorised exemption, funding approval or payment arrangement has been recorded. Urgent treatment is the controlled exception, and must be clinically authorised with the reason recorded and referred to Finance.</w:t>
            </w:r>
          </w:p>
        </w:tc>
      </w:tr>
      <w:tr>
        <w:tc>
          <w:tcPr>
            <w:tcW w:type="dxa" w:w="4507"/>
          </w:tcPr>
          <w:p>
            <w:pPr>
              <w:spacing w:before="0" w:after="0"/>
            </w:pPr>
            <w:r/>
            <w:r>
              <w:rPr>
                <w:sz w:val="24"/>
              </w:rPr>
              <w:t>Payment handling depends on the payment result returned by the external provider</w:t>
            </w:r>
          </w:p>
        </w:tc>
        <w:tc>
          <w:tcPr>
            <w:tcW w:type="dxa" w:w="4507"/>
          </w:tcPr>
          <w:p>
            <w:pPr>
              <w:spacing w:before="0" w:after="0"/>
            </w:pPr>
            <w:r/>
            <w:r>
              <w:rPr>
                <w:sz w:val="24"/>
              </w:rPr>
              <w:t>The provider returns the payment status, transaction reference, date and amount. A declined, cancelled, duplicated or incomplete payment must not produce a duplicate booking or a second charge, and a payment taken but not confirmed is marked for investigation rather than re-requested.</w:t>
            </w:r>
          </w:p>
        </w:tc>
      </w:tr>
      <w:tr>
        <w:tc>
          <w:tcPr>
            <w:tcW w:type="dxa" w:w="4507"/>
          </w:tcPr>
          <w:p>
            <w:pPr>
              <w:spacing w:before="0" w:after="0"/>
            </w:pPr>
            <w:r/>
            <w:r>
              <w:rPr>
                <w:sz w:val="24"/>
              </w:rPr>
              <w:t>The next chemotherapy cycle depends on the between-cycle clinical review and blood test</w:t>
            </w:r>
          </w:p>
        </w:tc>
        <w:tc>
          <w:tcPr>
            <w:tcW w:type="dxa" w:w="4507"/>
          </w:tcPr>
          <w:p>
            <w:pPr>
              <w:spacing w:before="0" w:after="0"/>
            </w:pPr>
            <w:r/>
            <w:r>
              <w:rPr>
                <w:sz w:val="24"/>
              </w:rPr>
              <w:t>The assessment results decide whether the patient is fit to continue, whether treatment is delayed or whether the plan changes - a clinical decision on which the following cycle depends.</w:t>
            </w:r>
          </w:p>
        </w:tc>
      </w:tr>
      <w:tr>
        <w:tc>
          <w:tcPr>
            <w:tcW w:type="dxa" w:w="4507"/>
          </w:tcPr>
          <w:p>
            <w:pPr>
              <w:spacing w:before="0" w:after="0"/>
            </w:pPr>
            <w:r/>
            <w:r>
              <w:rPr>
                <w:sz w:val="24"/>
              </w:rPr>
              <w:t>Financial review depends on treatment modification</w:t>
            </w:r>
          </w:p>
        </w:tc>
        <w:tc>
          <w:tcPr>
            <w:tcW w:type="dxa" w:w="4507"/>
          </w:tcPr>
          <w:p>
            <w:pPr>
              <w:spacing w:before="0" w:after="0"/>
            </w:pPr>
            <w:r/>
            <w:r>
              <w:rPr>
                <w:sz w:val="24"/>
              </w:rPr>
              <w:t>Any modification affecting an existing charge, funding approval or completed payment must be referred to the Finance Team so the financial implications are reviewed.</w:t>
            </w:r>
          </w:p>
        </w:tc>
      </w:tr>
      <w:tr>
        <w:tc>
          <w:tcPr>
            <w:tcW w:type="dxa" w:w="4507"/>
          </w:tcPr>
          <w:p>
            <w:pPr>
              <w:spacing w:before="0" w:after="0"/>
            </w:pPr>
            <w:r/>
            <w:r>
              <w:rPr>
                <w:sz w:val="24"/>
              </w:rPr>
              <w:t>Refund processing depends on cancellation, postponement or change after payment</w:t>
            </w:r>
          </w:p>
        </w:tc>
        <w:tc>
          <w:tcPr>
            <w:tcW w:type="dxa" w:w="4507"/>
          </w:tcPr>
          <w:p>
            <w:pPr>
              <w:spacing w:before="0" w:after="0"/>
            </w:pPr>
            <w:r/>
            <w:r>
              <w:rPr>
                <w:sz w:val="24"/>
              </w:rPr>
              <w:t>Where a paid appointment or treatment is cancelled, postponed or changed, the case must be referred to Finance, which decides whether the payment is retained, transferred to another appointment or refunded.</w:t>
            </w:r>
          </w:p>
        </w:tc>
      </w:tr>
      <w:tr>
        <w:tc>
          <w:tcPr>
            <w:tcW w:type="dxa" w:w="4507"/>
          </w:tcPr>
          <w:p>
            <w:pPr>
              <w:spacing w:before="0" w:after="0"/>
            </w:pPr>
            <w:r/>
            <w:r>
              <w:rPr>
                <w:sz w:val="24"/>
              </w:rPr>
              <w:t>Distribution of the clinic letter depends on the Consultant's approval</w:t>
            </w:r>
          </w:p>
        </w:tc>
        <w:tc>
          <w:tcPr>
            <w:tcW w:type="dxa" w:w="4507"/>
          </w:tcPr>
          <w:p>
            <w:pPr>
              <w:spacing w:before="0" w:after="0"/>
            </w:pPr>
            <w:r/>
            <w:r>
              <w:rPr>
                <w:sz w:val="24"/>
              </w:rPr>
              <w:t>A circular dependency within the organisation: the Consultant produces and approves the clinical content, and the Medical Secretaries then perform the administrative checks and distribute it. Administrative staff may correct formatting but must not change the clinical meaning, and a suspected clinical error returns to the Consultant.</w:t>
            </w:r>
          </w:p>
        </w:tc>
      </w:tr>
      <w:tr>
        <w:tc>
          <w:tcPr>
            <w:tcW w:type="dxa" w:w="4507"/>
          </w:tcPr>
          <w:p>
            <w:pPr>
              <w:spacing w:before="0" w:after="0"/>
            </w:pPr>
            <w:r/>
            <w:r>
              <w:rPr>
                <w:sz w:val="24"/>
              </w:rPr>
              <w:t>Escalation depends on elapsed time since the appointment</w:t>
            </w:r>
          </w:p>
        </w:tc>
        <w:tc>
          <w:tcPr>
            <w:tcW w:type="dxa" w:w="4507"/>
          </w:tcPr>
          <w:p>
            <w:pPr>
              <w:spacing w:before="0" w:after="0"/>
            </w:pPr>
            <w:r/>
            <w:r>
              <w:rPr>
                <w:sz w:val="24"/>
              </w:rPr>
              <w:t>A time-triggered dependency chain. More than seven days means delayed and enters pathway monitoring; weekly reminders follow; one month escalates to the Administrative Manager and three months to higher management. The chain must stop once the letter is complete, so it also depends on the letter's status.</w:t>
            </w:r>
          </w:p>
        </w:tc>
      </w:tr>
      <w:tr>
        <w:tc>
          <w:tcPr>
            <w:tcW w:type="dxa" w:w="4507"/>
          </w:tcPr>
          <w:p>
            <w:pPr>
              <w:spacing w:before="0" w:after="0"/>
            </w:pPr>
            <w:r/>
            <w:r>
              <w:rPr>
                <w:sz w:val="24"/>
              </w:rPr>
              <w:t>The route taken by an enquiry depends on its classification</w:t>
            </w:r>
          </w:p>
        </w:tc>
        <w:tc>
          <w:tcPr>
            <w:tcW w:type="dxa" w:w="4507"/>
          </w:tcPr>
          <w:p>
            <w:pPr>
              <w:spacing w:before="0" w:after="0"/>
            </w:pPr>
            <w:r/>
            <w:r>
              <w:rPr>
                <w:sz w:val="24"/>
              </w:rPr>
              <w:t>The Call Handling Team classifies each enquiry as administrative, financial or clinical, and the classification selects the responsible team: administrative matters may be answered or transferred, payment and funding go to Finance, clinical matters go to the Clinical Nurse Specialist Team or another qualified clinical professional.</w:t>
            </w:r>
          </w:p>
        </w:tc>
      </w:tr>
      <w:tr>
        <w:tc>
          <w:tcPr>
            <w:tcW w:type="dxa" w:w="4507"/>
          </w:tcPr>
          <w:p>
            <w:pPr>
              <w:spacing w:before="0" w:after="0"/>
            </w:pPr>
            <w:r/>
            <w:r>
              <w:rPr>
                <w:sz w:val="24"/>
              </w:rPr>
              <w:t>Follow-up booking depends on the consultation or treatment review</w:t>
            </w:r>
          </w:p>
        </w:tc>
        <w:tc>
          <w:tcPr>
            <w:tcW w:type="dxa" w:w="4507"/>
          </w:tcPr>
          <w:p>
            <w:pPr>
              <w:spacing w:before="0" w:after="0"/>
            </w:pPr>
            <w:r/>
            <w:r>
              <w:rPr>
                <w:sz w:val="24"/>
              </w:rPr>
              <w:t>The request states the period within which the patient should be reviewed. If no appointment can be found within that period, the case must be highlighted and referred to the relevant pathway team rather than booked outside the clinically requested period.</w:t>
            </w:r>
          </w:p>
        </w:tc>
      </w:tr>
      <w:tr>
        <w:tc>
          <w:tcPr>
            <w:tcW w:type="dxa" w:w="4507"/>
          </w:tcPr>
          <w:p>
            <w:pPr>
              <w:spacing w:before="0" w:after="0"/>
            </w:pPr>
            <w:r/>
            <w:r>
              <w:rPr>
                <w:sz w:val="24"/>
              </w:rPr>
              <w:t>Every process depends on access control and audit</w:t>
            </w:r>
          </w:p>
        </w:tc>
        <w:tc>
          <w:tcPr>
            <w:tcW w:type="dxa" w:w="4507"/>
          </w:tcPr>
          <w:p>
            <w:pPr>
              <w:spacing w:before="0" w:after="0"/>
            </w:pPr>
            <w:r/>
            <w:r>
              <w:rPr>
                <w:sz w:val="24"/>
              </w:rPr>
              <w:t>A cross-cutting dependency. Each process must authenticate its users, restrict access by role, protect the information it exchanges with external services and leave a non-editable audit record, while keeping clinical decisions with clinical staff and financial decisions with the Finance Team.</w:t>
            </w:r>
          </w:p>
        </w:tc>
      </w:tr>
    </w:tbl>
    <w:sectPr w:rsidR="005543F5">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ymbolMT">
    <w:altName w:val="Cambria"/>
    <w:panose1 w:val="020B0604020202020204"/>
    <w:charset w:val="00"/>
    <w:family w:val="roman"/>
    <w:notTrueType/>
    <w:pitch w:val="default"/>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5">
    <w:nsid w:val="166c17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3b7a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92d46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2BF2DA8"/>
    <w:multiLevelType w:val="multilevel"/>
    <w:tmpl w:val="8DEC1A2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 w15:restartNumberingAfterBreak="0">
    <w:nsid w:val="2EAB1241"/>
    <w:multiLevelType w:val="multilevel"/>
    <w:tmpl w:val="E12CED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 w15:restartNumberingAfterBreak="0">
    <w:nsid w:val="459246A7"/>
    <w:multiLevelType w:val="multilevel"/>
    <w:tmpl w:val="5F64D4A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6">
    <w:abstractNumId w:val="5"/>
  </w:num>
  <w:num w:numId="5">
    <w:abstractNumId w:val="4"/>
  </w:num>
  <w:num w:numId="4">
    <w:abstractNumId w:val="3"/>
  </w:num>
  <w:num w:numId="1" w16cid:durableId="10376671">
    <w:abstractNumId w:val="2"/>
  </w:num>
  <w:num w:numId="2" w16cid:durableId="1093084457">
    <w:abstractNumId w:val="0"/>
  </w:num>
  <w:num w:numId="3" w16cid:durableId="15425804">
    <w:abstractNumId w:val="1"/>
  </w:num>
  <w:abstractNum w:abstractNumId="10">
    <w:multiLevelType w:val="hybridMultilevel"/>
    <w:lvl w:ilvl="0">
      <w:start w:val="1"/>
      <w:numFmt w:val="bullet"/>
      <w:lvlText w:val=""/>
      <w:lvlJc w:val="left"/>
      <w:pPr>
        <w:ind w:left="720" w:hanging="360"/>
      </w:pPr>
      <w:rPr>
        <w:rFonts w:ascii="Symbol" w:hAnsi="Symbol" w:hint="default"/>
      </w:rPr>
    </w:lvl>
  </w:abstractNum>
  <w:num w:numId="1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5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3F5"/>
    <w:rsid w:val="00062B32"/>
    <w:rsid w:val="001B42FE"/>
    <w:rsid w:val="002808B2"/>
    <w:rsid w:val="00286A75"/>
    <w:rsid w:val="0031552C"/>
    <w:rsid w:val="00461789"/>
    <w:rsid w:val="00526A2A"/>
    <w:rsid w:val="005543F5"/>
    <w:rsid w:val="00590B23"/>
    <w:rsid w:val="00790815"/>
    <w:rsid w:val="00833BDC"/>
    <w:rsid w:val="00AC3290"/>
    <w:rsid w:val="00AD0703"/>
    <w:rsid w:val="00AD412B"/>
    <w:rsid w:val="00B22886"/>
    <w:rsid w:val="00D857D2"/>
    <w:rsid w:val="00D93DE7"/>
    <w:rsid w:val="00FD7726"/>
    <w:rsid w:val="02FA1E8C"/>
    <w:rsid w:val="0D1169C4"/>
    <w:rsid w:val="1BAE1A12"/>
    <w:rsid w:val="1FD7A22F"/>
    <w:rsid w:val="262DE032"/>
    <w:rsid w:val="26AF3C01"/>
    <w:rsid w:val="2991F970"/>
    <w:rsid w:val="33E77889"/>
    <w:rsid w:val="3925DE30"/>
    <w:rsid w:val="3AC16587"/>
    <w:rsid w:val="460FBE6C"/>
    <w:rsid w:val="4834F0A6"/>
    <w:rsid w:val="494B4C9B"/>
    <w:rsid w:val="5475628C"/>
    <w:rsid w:val="5EF5FFF5"/>
    <w:rsid w:val="73E8D856"/>
    <w:rsid w:val="741D9E5E"/>
    <w:rsid w:val="7B4B4CD4"/>
    <w:rsid w:val="7D9A2E24"/>
    <w:rsid w:val="7E7357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C8849F"/>
  <w15:chartTrackingRefBased/>
  <w15:docId w15:val="{8219848E-1FF9-0B40-A363-ECBA66477CE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2">
    <w:name w:val="heading 2"/>
    <w:basedOn w:val="Normal"/>
    <w:next w:val="Normal"/>
    <w:link w:val="Heading2Char"/>
    <w:uiPriority w:val="9"/>
    <w:unhideWhenUsed/>
    <w:qFormat/>
    <w:rsid w:val="00AD412B"/>
    <w:pPr>
      <w:keepNext/>
      <w:keepLines/>
      <w:spacing w:before="40"/>
      <w:outlineLvl w:val="1"/>
    </w:pPr>
    <w:rPr>
      <w:rFonts w:asciiTheme="majorHAnsi" w:hAnsiTheme="majorHAnsi" w:eastAsiaTheme="majorEastAsia" w:cstheme="majorBidi"/>
      <w:color w:val="2F5496" w:themeColor="accent1" w:themeShade="BF"/>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uiPriority w:val="35"/>
    <w:unhideWhenUsed/>
    <w:qFormat/>
    <w:rsid w:val="005543F5"/>
    <w:pPr>
      <w:spacing w:after="200"/>
    </w:pPr>
    <w:rPr>
      <w:i/>
      <w:iCs/>
      <w:color w:val="44546A" w:themeColor="text2"/>
      <w:sz w:val="18"/>
      <w:szCs w:val="18"/>
    </w:rPr>
  </w:style>
  <w:style w:type="character" w:styleId="Heading1Char" w:customStyle="1">
    <w:name w:val="Heading 1 Char"/>
    <w:basedOn w:val="DefaultParagraphFont"/>
    <w:link w:val="Heading1"/>
    <w:uiPriority w:val="9"/>
    <w:rsid w:val="00AD412B"/>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rsid w:val="00AD412B"/>
    <w:rPr>
      <w:rFonts w:asciiTheme="majorHAnsi" w:hAnsiTheme="majorHAnsi" w:eastAsiaTheme="majorEastAsia" w:cstheme="majorBidi"/>
      <w:color w:val="2F5496" w:themeColor="accent1" w:themeShade="BF"/>
      <w:sz w:val="26"/>
      <w:szCs w:val="26"/>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asciiTheme="majorHAnsi" w:hAnsiTheme="majorHAnsi" w:eastAsiaTheme="majorEastAsia" w:cstheme="majorBidi"/>
      <w:color w:val="1F4D78" w:themeColor="accent1" w:themeShade="7F"/>
      <w:sz w:val="24"/>
      <w:szCs w:val="24"/>
    </w:rPr>
  </w:style>
  <w:style w:type="paragraph" w:styleId="Heading1">
    <w:name w:val="heading 1"/>
    <w:basedOn w:val="Normal"/>
    <w:next w:val="Normal"/>
    <w:link w:val="Heading1Char"/>
    <w:uiPriority w:val="9"/>
    <w:qFormat/>
    <w:pPr>
      <w:spacing w:before="240"/>
    </w:pPr>
    <w:rPr>
      <w:b w:val="0"/>
      <w:color w:val="2F5496"/>
      <w:sz w:val="32"/>
    </w:rPr>
  </w:style>
  <w:style w:type="paragraph" w:styleId="Heading3">
    <w:name w:val="heading 3"/>
    <w:basedOn w:val="Normal"/>
    <w:next w:val="Normal"/>
    <w:link w:val="Heading3Char"/>
    <w:uiPriority w:val="9"/>
    <w:unhideWhenUsed/>
    <w:qFormat/>
    <w:pPr>
      <w:spacing w:before="40" w:after="0"/>
    </w:pPr>
    <w:rPr>
      <w:b w:val="0"/>
      <w:color w:val="1F4D78"/>
      <w:sz w:val="24"/>
    </w:rPr>
  </w:style>
  <w:style w:type="paragraph" w:styleId="NormalWeb">
    <w:name w:val="Normal (Web)"/>
    <w:basedOn w:val="Normal"/>
    <w:uiPriority w:val="99"/>
    <w:unhideWhenUsed/>
    <w:rsid w:val="005543F5"/>
    <w:pPr>
      <w:spacing w:after="100"/>
    </w:pPr>
  </w:style>
  <w:style w:type="paragraph" w:styleId="ListParagraph">
    <w:name w:val="List Paragraph"/>
    <w:basedOn w:val="Normal"/>
    <w:uiPriority w:val="34"/>
    <w:qFormat/>
    <w:rsid w:val="005543F5"/>
    <w:pPr>
      <w:ind w:left="720"/>
    </w:pPr>
    <w:rPr>
      <w:b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107688">
      <w:bodyDiv w:val="1"/>
      <w:marLeft w:val="0"/>
      <w:marRight w:val="0"/>
      <w:marTop w:val="0"/>
      <w:marBottom w:val="0"/>
      <w:divBdr>
        <w:top w:val="none" w:sz="0" w:space="0" w:color="auto"/>
        <w:left w:val="none" w:sz="0" w:space="0" w:color="auto"/>
        <w:bottom w:val="none" w:sz="0" w:space="0" w:color="auto"/>
        <w:right w:val="none" w:sz="0" w:space="0" w:color="auto"/>
      </w:divBdr>
      <w:divsChild>
        <w:div w:id="1197892775">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1051421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7751348">
      <w:bodyDiv w:val="1"/>
      <w:marLeft w:val="0"/>
      <w:marRight w:val="0"/>
      <w:marTop w:val="0"/>
      <w:marBottom w:val="0"/>
      <w:divBdr>
        <w:top w:val="none" w:sz="0" w:space="0" w:color="auto"/>
        <w:left w:val="none" w:sz="0" w:space="0" w:color="auto"/>
        <w:bottom w:val="none" w:sz="0" w:space="0" w:color="auto"/>
        <w:right w:val="none" w:sz="0" w:space="0" w:color="auto"/>
      </w:divBdr>
      <w:divsChild>
        <w:div w:id="1523664372">
          <w:marLeft w:val="0"/>
          <w:marRight w:val="0"/>
          <w:marTop w:val="0"/>
          <w:marBottom w:val="0"/>
          <w:divBdr>
            <w:top w:val="none" w:sz="0" w:space="0" w:color="auto"/>
            <w:left w:val="none" w:sz="0" w:space="0" w:color="auto"/>
            <w:bottom w:val="none" w:sz="0" w:space="0" w:color="auto"/>
            <w:right w:val="none" w:sz="0" w:space="0" w:color="auto"/>
          </w:divBdr>
        </w:div>
      </w:divsChild>
    </w:div>
    <w:div w:id="762841205">
      <w:bodyDiv w:val="1"/>
      <w:marLeft w:val="0"/>
      <w:marRight w:val="0"/>
      <w:marTop w:val="0"/>
      <w:marBottom w:val="0"/>
      <w:divBdr>
        <w:top w:val="none" w:sz="0" w:space="0" w:color="auto"/>
        <w:left w:val="none" w:sz="0" w:space="0" w:color="auto"/>
        <w:bottom w:val="none" w:sz="0" w:space="0" w:color="auto"/>
        <w:right w:val="none" w:sz="0" w:space="0" w:color="auto"/>
      </w:divBdr>
      <w:divsChild>
        <w:div w:id="1223102937">
          <w:marLeft w:val="0"/>
          <w:marRight w:val="0"/>
          <w:marTop w:val="0"/>
          <w:marBottom w:val="0"/>
          <w:divBdr>
            <w:top w:val="none" w:sz="0" w:space="0" w:color="auto"/>
            <w:left w:val="none" w:sz="0" w:space="0" w:color="auto"/>
            <w:bottom w:val="none" w:sz="0" w:space="0" w:color="auto"/>
            <w:right w:val="none" w:sz="0" w:space="0" w:color="auto"/>
          </w:divBdr>
          <w:divsChild>
            <w:div w:id="30499799">
              <w:marLeft w:val="0"/>
              <w:marRight w:val="0"/>
              <w:marTop w:val="0"/>
              <w:marBottom w:val="0"/>
              <w:divBdr>
                <w:top w:val="none" w:sz="0" w:space="0" w:color="auto"/>
                <w:left w:val="none" w:sz="0" w:space="0" w:color="auto"/>
                <w:bottom w:val="none" w:sz="0" w:space="0" w:color="auto"/>
                <w:right w:val="none" w:sz="0" w:space="0" w:color="auto"/>
              </w:divBdr>
              <w:divsChild>
                <w:div w:id="2074083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8785095">
      <w:bodyDiv w:val="1"/>
      <w:marLeft w:val="0"/>
      <w:marRight w:val="0"/>
      <w:marTop w:val="0"/>
      <w:marBottom w:val="0"/>
      <w:divBdr>
        <w:top w:val="none" w:sz="0" w:space="0" w:color="auto"/>
        <w:left w:val="none" w:sz="0" w:space="0" w:color="auto"/>
        <w:bottom w:val="none" w:sz="0" w:space="0" w:color="auto"/>
        <w:right w:val="none" w:sz="0" w:space="0" w:color="auto"/>
      </w:divBdr>
      <w:divsChild>
        <w:div w:id="149103943">
          <w:marLeft w:val="0"/>
          <w:marRight w:val="0"/>
          <w:marTop w:val="0"/>
          <w:marBottom w:val="0"/>
          <w:divBdr>
            <w:top w:val="none" w:sz="0" w:space="0" w:color="auto"/>
            <w:left w:val="none" w:sz="0" w:space="0" w:color="auto"/>
            <w:bottom w:val="none" w:sz="0" w:space="0" w:color="auto"/>
            <w:right w:val="none" w:sz="0" w:space="0" w:color="auto"/>
          </w:divBdr>
        </w:div>
      </w:divsChild>
    </w:div>
    <w:div w:id="1257592678">
      <w:bodyDiv w:val="1"/>
      <w:marLeft w:val="0"/>
      <w:marRight w:val="0"/>
      <w:marTop w:val="0"/>
      <w:marBottom w:val="0"/>
      <w:divBdr>
        <w:top w:val="none" w:sz="0" w:space="0" w:color="auto"/>
        <w:left w:val="none" w:sz="0" w:space="0" w:color="auto"/>
        <w:bottom w:val="none" w:sz="0" w:space="0" w:color="auto"/>
        <w:right w:val="none" w:sz="0" w:space="0" w:color="auto"/>
      </w:divBdr>
      <w:divsChild>
        <w:div w:id="1499424070">
          <w:marLeft w:val="0"/>
          <w:marRight w:val="0"/>
          <w:marTop w:val="0"/>
          <w:marBottom w:val="0"/>
          <w:divBdr>
            <w:top w:val="none" w:sz="0" w:space="0" w:color="auto"/>
            <w:left w:val="none" w:sz="0" w:space="0" w:color="auto"/>
            <w:bottom w:val="none" w:sz="0" w:space="0" w:color="auto"/>
            <w:right w:val="none" w:sz="0" w:space="0" w:color="auto"/>
          </w:divBdr>
        </w:div>
      </w:divsChild>
    </w:div>
    <w:div w:id="1384525663">
      <w:bodyDiv w:val="1"/>
      <w:marLeft w:val="0"/>
      <w:marRight w:val="0"/>
      <w:marTop w:val="0"/>
      <w:marBottom w:val="0"/>
      <w:divBdr>
        <w:top w:val="none" w:sz="0" w:space="0" w:color="auto"/>
        <w:left w:val="none" w:sz="0" w:space="0" w:color="auto"/>
        <w:bottom w:val="none" w:sz="0" w:space="0" w:color="auto"/>
        <w:right w:val="none" w:sz="0" w:space="0" w:color="auto"/>
      </w:divBdr>
      <w:divsChild>
        <w:div w:id="1103691821">
          <w:marLeft w:val="0"/>
          <w:marRight w:val="0"/>
          <w:marTop w:val="0"/>
          <w:marBottom w:val="0"/>
          <w:divBdr>
            <w:top w:val="none" w:sz="0" w:space="0" w:color="auto"/>
            <w:left w:val="none" w:sz="0" w:space="0" w:color="auto"/>
            <w:bottom w:val="none" w:sz="0" w:space="0" w:color="auto"/>
            <w:right w:val="none" w:sz="0" w:space="0" w:color="auto"/>
          </w:divBdr>
          <w:divsChild>
            <w:div w:id="1122310131">
              <w:marLeft w:val="0"/>
              <w:marRight w:val="0"/>
              <w:marTop w:val="0"/>
              <w:marBottom w:val="0"/>
              <w:divBdr>
                <w:top w:val="none" w:sz="0" w:space="0" w:color="auto"/>
                <w:left w:val="none" w:sz="0" w:space="0" w:color="auto"/>
                <w:bottom w:val="none" w:sz="0" w:space="0" w:color="auto"/>
                <w:right w:val="none" w:sz="0" w:space="0" w:color="auto"/>
              </w:divBdr>
              <w:divsChild>
                <w:div w:id="187407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120388">
      <w:bodyDiv w:val="1"/>
      <w:marLeft w:val="0"/>
      <w:marRight w:val="0"/>
      <w:marTop w:val="0"/>
      <w:marBottom w:val="0"/>
      <w:divBdr>
        <w:top w:val="none" w:sz="0" w:space="0" w:color="auto"/>
        <w:left w:val="none" w:sz="0" w:space="0" w:color="auto"/>
        <w:bottom w:val="none" w:sz="0" w:space="0" w:color="auto"/>
        <w:right w:val="none" w:sz="0" w:space="0" w:color="auto"/>
      </w:divBdr>
      <w:divsChild>
        <w:div w:id="1370256811">
          <w:marLeft w:val="0"/>
          <w:marRight w:val="0"/>
          <w:marTop w:val="0"/>
          <w:marBottom w:val="0"/>
          <w:divBdr>
            <w:top w:val="none" w:sz="0" w:space="0" w:color="auto"/>
            <w:left w:val="none" w:sz="0" w:space="0" w:color="auto"/>
            <w:bottom w:val="none" w:sz="0" w:space="0" w:color="auto"/>
            <w:right w:val="none" w:sz="0" w:space="0" w:color="auto"/>
          </w:divBdr>
          <w:divsChild>
            <w:div w:id="629215595">
              <w:marLeft w:val="0"/>
              <w:marRight w:val="0"/>
              <w:marTop w:val="0"/>
              <w:marBottom w:val="0"/>
              <w:divBdr>
                <w:top w:val="none" w:sz="0" w:space="0" w:color="auto"/>
                <w:left w:val="none" w:sz="0" w:space="0" w:color="auto"/>
                <w:bottom w:val="none" w:sz="0" w:space="0" w:color="auto"/>
                <w:right w:val="none" w:sz="0" w:space="0" w:color="auto"/>
              </w:divBdr>
              <w:divsChild>
                <w:div w:id="63380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112737">
      <w:bodyDiv w:val="1"/>
      <w:marLeft w:val="0"/>
      <w:marRight w:val="0"/>
      <w:marTop w:val="0"/>
      <w:marBottom w:val="0"/>
      <w:divBdr>
        <w:top w:val="none" w:sz="0" w:space="0" w:color="auto"/>
        <w:left w:val="none" w:sz="0" w:space="0" w:color="auto"/>
        <w:bottom w:val="none" w:sz="0" w:space="0" w:color="auto"/>
        <w:right w:val="none" w:sz="0" w:space="0" w:color="auto"/>
      </w:divBdr>
      <w:divsChild>
        <w:div w:id="1731229667">
          <w:marLeft w:val="0"/>
          <w:marRight w:val="0"/>
          <w:marTop w:val="0"/>
          <w:marBottom w:val="0"/>
          <w:divBdr>
            <w:top w:val="none" w:sz="0" w:space="0" w:color="auto"/>
            <w:left w:val="none" w:sz="0" w:space="0" w:color="auto"/>
            <w:bottom w:val="none" w:sz="0" w:space="0" w:color="auto"/>
            <w:right w:val="none" w:sz="0" w:space="0" w:color="auto"/>
          </w:divBdr>
          <w:divsChild>
            <w:div w:id="1883204915">
              <w:marLeft w:val="0"/>
              <w:marRight w:val="0"/>
              <w:marTop w:val="0"/>
              <w:marBottom w:val="0"/>
              <w:divBdr>
                <w:top w:val="none" w:sz="0" w:space="0" w:color="auto"/>
                <w:left w:val="none" w:sz="0" w:space="0" w:color="auto"/>
                <w:bottom w:val="none" w:sz="0" w:space="0" w:color="auto"/>
                <w:right w:val="none" w:sz="0" w:space="0" w:color="auto"/>
              </w:divBdr>
              <w:divsChild>
                <w:div w:id="921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0608316">
      <w:bodyDiv w:val="1"/>
      <w:marLeft w:val="0"/>
      <w:marRight w:val="0"/>
      <w:marTop w:val="0"/>
      <w:marBottom w:val="0"/>
      <w:divBdr>
        <w:top w:val="none" w:sz="0" w:space="0" w:color="auto"/>
        <w:left w:val="none" w:sz="0" w:space="0" w:color="auto"/>
        <w:bottom w:val="none" w:sz="0" w:space="0" w:color="auto"/>
        <w:right w:val="none" w:sz="0" w:space="0" w:color="auto"/>
      </w:divBdr>
      <w:divsChild>
        <w:div w:id="2082362340">
          <w:marLeft w:val="0"/>
          <w:marRight w:val="0"/>
          <w:marTop w:val="0"/>
          <w:marBottom w:val="0"/>
          <w:divBdr>
            <w:top w:val="none" w:sz="0" w:space="0" w:color="auto"/>
            <w:left w:val="none" w:sz="0" w:space="0" w:color="auto"/>
            <w:bottom w:val="none" w:sz="0" w:space="0" w:color="auto"/>
            <w:right w:val="none" w:sz="0" w:space="0" w:color="auto"/>
          </w:divBdr>
          <w:divsChild>
            <w:div w:id="2079356135">
              <w:marLeft w:val="0"/>
              <w:marRight w:val="0"/>
              <w:marTop w:val="0"/>
              <w:marBottom w:val="0"/>
              <w:divBdr>
                <w:top w:val="none" w:sz="0" w:space="0" w:color="auto"/>
                <w:left w:val="none" w:sz="0" w:space="0" w:color="auto"/>
                <w:bottom w:val="none" w:sz="0" w:space="0" w:color="auto"/>
                <w:right w:val="none" w:sz="0" w:space="0" w:color="auto"/>
              </w:divBdr>
              <w:divsChild>
                <w:div w:id="103049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414976">
      <w:bodyDiv w:val="1"/>
      <w:marLeft w:val="0"/>
      <w:marRight w:val="0"/>
      <w:marTop w:val="0"/>
      <w:marBottom w:val="0"/>
      <w:divBdr>
        <w:top w:val="none" w:sz="0" w:space="0" w:color="auto"/>
        <w:left w:val="none" w:sz="0" w:space="0" w:color="auto"/>
        <w:bottom w:val="none" w:sz="0" w:space="0" w:color="auto"/>
        <w:right w:val="none" w:sz="0" w:space="0" w:color="auto"/>
      </w:divBdr>
      <w:divsChild>
        <w:div w:id="949774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11"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FF0A23-84A6-0B4B-934F-768C17F6301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Dilshan Jayatilake</dc:creator>
  <keywords/>
  <dc:description/>
  <lastModifiedBy>Dilshan Jayatilake</lastModifiedBy>
  <revision>17</revision>
  <dcterms:created xsi:type="dcterms:W3CDTF">2022-10-13T10:27:00.0000000Z</dcterms:created>
  <dcterms:modified xsi:type="dcterms:W3CDTF">2024-10-09T12:43:40.1900043Z</dcterms:modified>
</coreProperties>
</file>