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E27D1">
      <w:pPr>
        <w:pStyle w:val="2"/>
      </w:pPr>
      <w:r>
        <w:t>TUTORIAL - Business Process Modelling and Enterprise Architecture &amp; Advance Information System Development</w:t>
      </w:r>
    </w:p>
    <w:p w14:paraId="681FFDE5">
      <w:pPr>
        <w:pStyle w:val="2"/>
      </w:pPr>
      <w:r>
        <w:t xml:space="preserve">Introduction to BPMN </w:t>
      </w:r>
    </w:p>
    <w:p w14:paraId="04E16D92"/>
    <w:p w14:paraId="2A29B3E1">
      <w:pPr>
        <w:spacing w:beforeAutospacing="1" w:afterAutospacing="1" w:line="259" w:lineRule="auto"/>
        <w:rPr>
          <w:rFonts w:eastAsiaTheme="minorEastAsia"/>
          <w:sz w:val="28"/>
          <w:szCs w:val="28"/>
        </w:rPr>
      </w:pPr>
      <w:r>
        <w:rPr>
          <w:rStyle w:val="13"/>
        </w:rPr>
        <w:t>Aim:</w:t>
      </w:r>
      <w:r>
        <w:rPr>
          <w:rFonts w:ascii="Calibri" w:hAnsi="Calibri" w:cs="Calibri"/>
          <w:sz w:val="28"/>
          <w:szCs w:val="28"/>
        </w:rPr>
        <w:t xml:space="preserve"> </w:t>
      </w:r>
      <w:r>
        <w:rPr>
          <w:rFonts w:eastAsiaTheme="minorEastAsia"/>
          <w:sz w:val="28"/>
          <w:szCs w:val="28"/>
        </w:rPr>
        <w:t>The aim of this tutorial is to explore the BPMN and modelling aspects and good practices.</w:t>
      </w:r>
    </w:p>
    <w:p w14:paraId="0E5C6731">
      <w:pPr>
        <w:spacing w:beforeAutospacing="1" w:afterAutospacing="1" w:line="259" w:lineRule="auto"/>
        <w:rPr>
          <w:rFonts w:eastAsiaTheme="minorEastAsia"/>
          <w:sz w:val="28"/>
          <w:szCs w:val="28"/>
        </w:rPr>
      </w:pPr>
      <w:r>
        <w:rPr>
          <w:rFonts w:eastAsiaTheme="minorEastAsia"/>
          <w:sz w:val="28"/>
          <w:szCs w:val="28"/>
        </w:rPr>
        <w:t xml:space="preserve">For this tutorial, you </w:t>
      </w:r>
      <w:r>
        <w:rPr>
          <w:rFonts w:eastAsiaTheme="minorEastAsia"/>
          <w:b/>
          <w:bCs/>
          <w:sz w:val="28"/>
          <w:szCs w:val="28"/>
          <w:u w:val="single"/>
        </w:rPr>
        <w:t>MUST</w:t>
      </w:r>
      <w:r>
        <w:rPr>
          <w:rFonts w:eastAsiaTheme="minorEastAsia"/>
          <w:sz w:val="28"/>
          <w:szCs w:val="28"/>
        </w:rPr>
        <w:t xml:space="preserve"> work in your groups.</w:t>
      </w:r>
    </w:p>
    <w:p w14:paraId="0361316C">
      <w:pPr>
        <w:rPr>
          <w:rStyle w:val="13"/>
        </w:rPr>
      </w:pPr>
      <w:r>
        <w:rPr>
          <w:rStyle w:val="13"/>
        </w:rPr>
        <w:t xml:space="preserve">Task A </w:t>
      </w:r>
    </w:p>
    <w:p w14:paraId="2F5AB67D">
      <w:r>
        <w:t xml:space="preserve">Compare and contrast UML and BPMN modelling notations. </w:t>
      </w:r>
    </w:p>
    <w:p w14:paraId="1CCE4357"/>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179F5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2DC88CF5">
            <w:r>
              <w:rPr>
                <w:b/>
                <w:bCs/>
              </w:rPr>
              <w:t>Criteria</w:t>
            </w:r>
          </w:p>
        </w:tc>
        <w:tc>
          <w:tcPr>
            <w:tcW w:w="3005" w:type="dxa"/>
          </w:tcPr>
          <w:p w14:paraId="4D523F41">
            <w:r>
              <w:rPr>
                <w:b/>
                <w:bCs/>
              </w:rPr>
              <w:t>BPMN</w:t>
            </w:r>
          </w:p>
        </w:tc>
        <w:tc>
          <w:tcPr>
            <w:tcW w:w="3006" w:type="dxa"/>
          </w:tcPr>
          <w:p w14:paraId="1056B51E">
            <w:r>
              <w:rPr>
                <w:b/>
                <w:bCs/>
              </w:rPr>
              <w:t>UML</w:t>
            </w:r>
          </w:p>
        </w:tc>
      </w:tr>
      <w:tr w14:paraId="5A5B4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090DE1D3">
            <w:r>
              <w:rPr>
                <w:b/>
                <w:bCs/>
              </w:rPr>
              <w:t>Capability</w:t>
            </w:r>
          </w:p>
        </w:tc>
        <w:tc>
          <w:tcPr>
            <w:tcW w:w="3005" w:type="dxa"/>
          </w:tcPr>
          <w:p w14:paraId="7414AEAD">
            <w:r>
              <w:t>Purpose-built for process flow: events, gateways, sub-processes, pools and lanes, and BPMN 2.0 models can be executed on a BPMS engine. Weak on data and application structure.</w:t>
            </w:r>
          </w:p>
        </w:tc>
        <w:tc>
          <w:tcPr>
            <w:tcW w:w="3006" w:type="dxa"/>
          </w:tcPr>
          <w:p w14:paraId="7368F90F">
            <w:r>
              <w:t>General-purpose: 14 diagram types for structure (class, component, deployment) and behaviour (use case, activity, sequence, state machine). No native business-process execution semantics.</w:t>
            </w:r>
          </w:p>
        </w:tc>
      </w:tr>
      <w:tr w14:paraId="54B97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5C68C7D1">
            <w:r>
              <w:rPr>
                <w:b/>
                <w:bCs/>
              </w:rPr>
              <w:t>Audience</w:t>
            </w:r>
          </w:p>
        </w:tc>
        <w:tc>
          <w:tcPr>
            <w:tcW w:w="3005" w:type="dxa"/>
          </w:tcPr>
          <w:p w14:paraId="08C55588">
            <w:r>
              <w:t>Business analysts, process owners and domain experts, plus IT; the flowchart-like notation needs no technical training.</w:t>
            </w:r>
          </w:p>
        </w:tc>
        <w:tc>
          <w:tcPr>
            <w:tcW w:w="3006" w:type="dxa"/>
          </w:tcPr>
          <w:p w14:paraId="4451B684">
            <w:r>
              <w:t>Software engineers and architects; business stakeholders need a translated, simplified view.</w:t>
            </w:r>
          </w:p>
        </w:tc>
      </w:tr>
      <w:tr w14:paraId="5D277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229BF17F">
            <w:r>
              <w:rPr>
                <w:b/>
                <w:bCs/>
              </w:rPr>
              <w:t>Adaptability</w:t>
            </w:r>
          </w:p>
        </w:tc>
        <w:tc>
          <w:tcPr>
            <w:tcW w:w="3005" w:type="dxa"/>
          </w:tcPr>
          <w:p w14:paraId="1CE4A63B">
            <w:r>
              <w:t>Small standard symbol set, so models change quickly and stay consistent; extension is limited to extension attributes, and vendor extensions cost portability.</w:t>
            </w:r>
          </w:p>
        </w:tc>
        <w:tc>
          <w:tcPr>
            <w:tcW w:w="3006" w:type="dxa"/>
          </w:tcPr>
          <w:p w14:paraId="294073EC">
            <w:r>
              <w:t>Extensible through stereotypes, profiles and OCL, so it fits any domain; more freedom means more modelling effort and more inconsistency.</w:t>
            </w:r>
          </w:p>
        </w:tc>
      </w:tr>
      <w:tr w14:paraId="4D0C8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30BBDF27">
            <w:r>
              <w:rPr>
                <w:b/>
                <w:bCs/>
              </w:rPr>
              <w:t>Scalability</w:t>
            </w:r>
          </w:p>
        </w:tc>
        <w:tc>
          <w:tcPr>
            <w:tcW w:w="3005" w:type="dxa"/>
          </w:tcPr>
          <w:p w14:paraId="1062D1A1">
            <w:r>
              <w:t>Scales by decomposition: value chain, then sub-processes and call activities, then detailed steps, with pools and lanes for organisational scope.</w:t>
            </w:r>
          </w:p>
        </w:tc>
        <w:tc>
          <w:tcPr>
            <w:tcW w:w="3006" w:type="dxa"/>
          </w:tcPr>
          <w:p w14:paraId="17FCB6AC">
            <w:r>
              <w:t>Scales by separating concerns into many views and packages (for example 4+1); there is no single process-hierarchy convention.</w:t>
            </w:r>
          </w:p>
        </w:tc>
      </w:tr>
      <w:tr w14:paraId="4CEC8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7F901F43">
            <w:r>
              <w:rPr>
                <w:b/>
                <w:bCs/>
              </w:rPr>
              <w:t>Ability to automation</w:t>
            </w:r>
          </w:p>
        </w:tc>
        <w:tc>
          <w:tcPr>
            <w:tcW w:w="3005" w:type="dxa"/>
          </w:tcPr>
          <w:p w14:paraId="22C95C3E">
            <w:r>
              <w:t>Strong: engines such as Camunda, Flowable, jBPM, Bizagi and the SAP/Oracle BPM suites execute models directly for workflow automation and monitoring.</w:t>
            </w:r>
          </w:p>
        </w:tc>
        <w:tc>
          <w:tcPr>
            <w:tcW w:w="3006" w:type="dxa"/>
          </w:tcPr>
          <w:p w14:paraId="43F7B6FF">
            <w:r>
              <w:t>Indirect: fUML and MDA/MDD can generate code, but automating a workflow needs mapping to BPEL or a BPMS.</w:t>
            </w:r>
          </w:p>
        </w:tc>
      </w:tr>
    </w:tbl>
    <w:p w14:paraId="61972DD0">
      <w:r>
        <w:t>Key contrast: BPMN is a domain-specific language for business processes, UML is a general-purpose language for software-intensive systems, and they overlap only in the activity diagram. They are complementary - BPMN for the process view (in this case study the patient pathway) and UML for the system view (the proposed Hospital Patient Administration System and its data).</w:t>
      </w:r>
    </w:p>
    <w:p w14:paraId="6D7BCC69"/>
    <w:p w14:paraId="7BA87DB8"/>
    <w:p w14:paraId="700CA225">
      <w:pPr>
        <w:rPr>
          <w:rStyle w:val="13"/>
        </w:rPr>
      </w:pPr>
      <w:r>
        <w:rPr>
          <w:rStyle w:val="13"/>
        </w:rPr>
        <w:t xml:space="preserve">Task B </w:t>
      </w:r>
    </w:p>
    <w:p w14:paraId="3CBE2F48">
      <w:r>
        <w:t>Based on the case study provided, what would be the most appropriate modelling tool for modelling the AS-IS system. Justify your answer.</w:t>
      </w:r>
    </w:p>
    <w:p w14:paraId="034AA5B8"/>
    <w:p w14:paraId="529D204E">
      <w:pPr>
        <w:spacing w:before="200" w:after="60"/>
      </w:pPr>
      <w:r>
        <w:rPr>
          <w:b/>
          <w:bCs/>
        </w:rPr>
        <w:t>Answer: BPMN 2.0, in a repository-based, BPMN-compliant tool with simulation support.</w:t>
      </w:r>
    </w:p>
    <w:p w14:paraId="2A27171C">
      <w:r>
        <w:t xml:space="preserve">The AS-IS should be modelled in </w:t>
      </w:r>
      <w:r>
        <w:rPr>
          <w:b/>
          <w:bCs/>
        </w:rPr>
        <w:t>BPMN 2.0</w:t>
      </w:r>
      <w:r>
        <w:t>, using a tool the hospital already accepts - for example SAP Signavio, ARIS, Camunda Modeler or Bizagi - with collaboration, versioning and simulation. Because the pathway is long, model a level 0/1 overview plus one detailed sub-process per stage rather than one very large diagram.</w:t>
      </w:r>
    </w:p>
    <w:p w14:paraId="1ED5F3C0">
      <w:pPr>
        <w:spacing w:before="200" w:after="60"/>
      </w:pPr>
      <w:r>
        <w:rPr>
          <w:b/>
          <w:bCs/>
        </w:rPr>
        <w:t>Justification</w:t>
      </w:r>
    </w:p>
    <w:p w14:paraId="0BD5B906">
      <w:pPr>
        <w:ind w:left="360" w:hanging="360"/>
      </w:pPr>
      <w:r>
        <w:t xml:space="preserve">•  </w:t>
      </w:r>
      <w:r>
        <w:rPr>
          <w:b/>
          <w:bCs/>
        </w:rPr>
        <w:t xml:space="preserve">Responsibility boundaries dominate this case, and BPMN has lanes for them. </w:t>
      </w:r>
      <w:r>
        <w:t>Medical Secretaries may check documents but not assess clinical suitability, call handlers must not give clinical advice, clinical staff must not approve refunds, and Finance must not decide clinical necessity. Lanes make each boundary visible; UML activity diagrams and flowcharts have no standard ownership or swimlane convention.</w:t>
      </w:r>
    </w:p>
    <w:p w14:paraId="235DA8E2">
      <w:pPr>
        <w:ind w:left="360" w:hanging="360"/>
      </w:pPr>
      <w:r>
        <w:t xml:space="preserve">•  </w:t>
      </w:r>
      <w:r>
        <w:rPr>
          <w:b/>
          <w:bCs/>
        </w:rPr>
        <w:t xml:space="preserve">The AS-IS runs on time rules, which BPMN expresses as timers. </w:t>
      </w:r>
      <w:r>
        <w:t>Clinic letters must be completed and sent within seven days, with weekly reminders and escalation at one and three months, and patients must be telephoned when an appointment is within two weeks. A UML activity diagram has no equivalent standard construct for any of these.</w:t>
      </w:r>
    </w:p>
    <w:p w14:paraId="077A7FEE">
      <w:pPr>
        <w:ind w:left="360" w:hanging="360"/>
      </w:pPr>
      <w:r>
        <w:t xml:space="preserve">•  </w:t>
      </w:r>
      <w:r>
        <w:rPr>
          <w:b/>
          <w:bCs/>
        </w:rPr>
        <w:t xml:space="preserve">The risk sits in exceptions and external parties, both native to BPMN. </w:t>
      </w:r>
      <w:r>
        <w:t>Unanswered calls, no suitable slot, an unavailable external service, declined, duplicated or incomplete payments, a payment taken with no confirmation returned, refunds after cancellation and urgent treatment without confirmed payment become boundary events, event-based gateways and exception sub-processes. The external scheduling, correspondence, laboratory, imaging and payment services are separate pools joined by message flows.</w:t>
      </w:r>
    </w:p>
    <w:p w14:paraId="509983F8">
      <w:pPr>
        <w:ind w:left="360" w:hanging="360"/>
      </w:pPr>
      <w:r>
        <w:t xml:space="preserve">•  </w:t>
      </w:r>
      <w:r>
        <w:rPr>
          <w:b/>
          <w:bCs/>
        </w:rPr>
        <w:t xml:space="preserve">It is reusable and produces the baseline evidence management asks for. </w:t>
      </w:r>
      <w:r>
        <w:t>BPMN 2.0 is an OMG/ISO standard exchanged as BPMN 2.0 XML, so the AS-IS model becomes the baseline for the gap analysis, the TO-BE design and later automation on a BPMN engine, and it can be simulated to give the waiting times, delayed letters and failed payments that management reports on.</w:t>
      </w:r>
    </w:p>
    <w:p w14:paraId="6B83D294">
      <w:pPr>
        <w:ind w:left="360" w:hanging="360"/>
      </w:pPr>
      <w:r>
        <w:t xml:space="preserve">•  </w:t>
      </w:r>
      <w:r>
        <w:rPr>
          <w:b/>
          <w:bCs/>
        </w:rPr>
        <w:t xml:space="preserve">The people who do the work can validate it. </w:t>
      </w:r>
      <w:r>
        <w:t>The case spans medical secretaries, bookings teams, call handlers, nurse specialists, pathway coordinators, consultants, finance and management; a flowchart-like model can be corrected by them in a walkthrough, which a UML model cannot do without translation.</w:t>
      </w:r>
    </w:p>
    <w:p w14:paraId="6601585A">
      <w:pPr>
        <w:spacing w:before="200" w:after="60"/>
      </w:pPr>
      <w:r>
        <w:rPr>
          <w:b/>
          <w:bCs/>
        </w:rPr>
        <w:t>Case requirements mapped to BPMN constructs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5E43E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Pr>
          <w:p w14:paraId="1634835A">
            <w:r>
              <w:rPr>
                <w:b/>
                <w:bCs/>
              </w:rPr>
              <w:t>Requirement in the hospital case study</w:t>
            </w:r>
          </w:p>
        </w:tc>
        <w:tc>
          <w:tcPr>
            <w:tcW w:w="4513" w:type="dxa"/>
          </w:tcPr>
          <w:p w14:paraId="050495D2">
            <w:r>
              <w:rPr>
                <w:b/>
                <w:bCs/>
              </w:rPr>
              <w:t>BPMN construct used to model it</w:t>
            </w:r>
          </w:p>
        </w:tc>
      </w:tr>
      <w:tr w14:paraId="57D54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Pr>
          <w:p w14:paraId="31ECB5F3">
            <w:r>
              <w:rPr>
                <w:b/>
                <w:bCs/>
              </w:rPr>
              <w:t>Referral accepted, rejected, redirected or sent back for information by a Consultant, with the reason and the decision-maker recorded</w:t>
            </w:r>
          </w:p>
        </w:tc>
        <w:tc>
          <w:tcPr>
            <w:tcW w:w="4513" w:type="dxa"/>
          </w:tcPr>
          <w:p w14:paraId="47E6E240">
            <w:r>
              <w:t>One lane per role and an exclusive gateway for the four outcomes, with a data object recording the decision and the authoriser</w:t>
            </w:r>
          </w:p>
        </w:tc>
      </w:tr>
      <w:tr w14:paraId="3F5F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Pr>
          <w:p w14:paraId="27E8862F">
            <w:r>
              <w:rPr>
                <w:b/>
                <w:bCs/>
              </w:rPr>
              <w:t>Clinical, administrative and financial duties must stay separate</w:t>
            </w:r>
          </w:p>
        </w:tc>
        <w:tc>
          <w:tcPr>
            <w:tcW w:w="4513" w:type="dxa"/>
          </w:tcPr>
          <w:p w14:paraId="178FFECF">
            <w:r>
              <w:t>Swimlanes that place every authorisation in the lane of the role entitled to perform it</w:t>
            </w:r>
          </w:p>
        </w:tc>
      </w:tr>
      <w:tr w14:paraId="79D27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Pr>
          <w:p w14:paraId="2E49A48E">
            <w:r>
              <w:rPr>
                <w:b/>
                <w:bCs/>
              </w:rPr>
              <w:t>External scheduling, correspondence, laboratory, imaging and payment services</w:t>
            </w:r>
          </w:p>
        </w:tc>
        <w:tc>
          <w:tcPr>
            <w:tcW w:w="4513" w:type="dxa"/>
          </w:tcPr>
          <w:p w14:paraId="3D028DD3">
            <w:r>
              <w:t>Black-box pools linked to the hospital pool by message flows</w:t>
            </w:r>
          </w:p>
        </w:tc>
      </w:tr>
      <w:tr w14:paraId="2884E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Pr>
          <w:p w14:paraId="4078E602">
            <w:r>
              <w:rPr>
                <w:b/>
                <w:bCs/>
              </w:rPr>
              <w:t>Payments declined, duplicated or incomplete, taken without confirmation returned, and urgent treatment authorised without confirmed payment</w:t>
            </w:r>
          </w:p>
        </w:tc>
        <w:tc>
          <w:tcPr>
            <w:tcW w:w="4513" w:type="dxa"/>
          </w:tcPr>
          <w:p w14:paraId="584C220A">
            <w:r>
              <w:t>Boundary error events, an event-based gateway, an investigation or compensation sub-process, and an escalation path that records the clinical override</w:t>
            </w:r>
          </w:p>
        </w:tc>
      </w:tr>
      <w:tr w14:paraId="78C58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Pr>
          <w:p w14:paraId="2BE97DA7">
            <w:r>
              <w:rPr>
                <w:b/>
                <w:bCs/>
              </w:rPr>
              <w:t>Letters within seven days, weekly reminders, escalation at one and three months, telephone contact for appointments within two weeks</w:t>
            </w:r>
          </w:p>
        </w:tc>
        <w:tc>
          <w:tcPr>
            <w:tcW w:w="4513" w:type="dxa"/>
          </w:tcPr>
          <w:p w14:paraId="524C7A2B">
            <w:r>
              <w:t>Timer boundary events on the letter sub-process and an event sub-process holding the reminder and escalation timers, terminated when the letter is complete</w:t>
            </w:r>
          </w:p>
        </w:tc>
      </w:tr>
      <w:tr w14:paraId="289FE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Pr>
          <w:p w14:paraId="08056799">
            <w:r>
              <w:rPr>
                <w:b/>
                <w:bCs/>
              </w:rPr>
              <w:t>Chemotherapy cycles with a review and blood test before each cycle; every enquiry recorded, classified and routed</w:t>
            </w:r>
          </w:p>
        </w:tc>
        <w:tc>
          <w:tcPr>
            <w:tcW w:w="4513" w:type="dxa"/>
          </w:tcPr>
          <w:p w14:paraId="05F66594">
            <w:r>
              <w:t>A multi-instance sub-process with a gateway for the clinical decision, and a classification sub-process, with the urgency rule that the hospital has not yet agreed flagged as an open issue</w:t>
            </w:r>
          </w:p>
        </w:tc>
      </w:tr>
    </w:tbl>
    <w:p w14:paraId="40C4685E">
      <w:pPr>
        <w:rPr>
          <w:rStyle w:val="13"/>
        </w:rPr>
      </w:pPr>
      <w:r>
        <w:rPr>
          <w:rStyle w:val="13"/>
        </w:rPr>
        <w:t>Task C</w:t>
      </w:r>
    </w:p>
    <w:p w14:paraId="48CD167F">
      <w:r>
        <w:t>What constitutes a good model? Discuss in your groups.</w:t>
      </w:r>
    </w:p>
    <w:p w14:paraId="3156D120"/>
    <w:p w14:paraId="07ECE455">
      <w:r>
        <w:t>A model is good when it answers the question it was built for, at the right level of abstraction, unambiguously and economically, for its intended audience. Our group agreed on these characteristics:</w:t>
      </w:r>
    </w:p>
    <w:p w14:paraId="3E925D3E">
      <w:pPr>
        <w:ind w:left="360" w:hanging="360"/>
      </w:pPr>
      <w:r>
        <w:t xml:space="preserve">•  </w:t>
      </w:r>
      <w:r>
        <w:rPr>
          <w:b/>
          <w:bCs/>
        </w:rPr>
        <w:t xml:space="preserve">Purposeful and scoped - </w:t>
      </w:r>
      <w:r>
        <w:t>it states its purpose, viewpoint (AS-IS or TO-BE) and scope; a model that tries to answer everything answers nothing.</w:t>
      </w:r>
    </w:p>
    <w:p w14:paraId="5E5F0290">
      <w:pPr>
        <w:ind w:left="360" w:hanging="360"/>
      </w:pPr>
      <w:r>
        <w:t xml:space="preserve">•  </w:t>
      </w:r>
      <w:r>
        <w:rPr>
          <w:b/>
          <w:bCs/>
        </w:rPr>
        <w:t xml:space="preserve">Correct and valid - </w:t>
      </w:r>
      <w:r>
        <w:t>faithful to the real process, verified against evidence and validated by the people who do the work, syntactically correct in its notation and semantically meaningful.</w:t>
      </w:r>
    </w:p>
    <w:p w14:paraId="106498A9">
      <w:pPr>
        <w:ind w:left="360" w:hanging="360"/>
      </w:pPr>
      <w:r>
        <w:t xml:space="preserve">•  </w:t>
      </w:r>
      <w:r>
        <w:rPr>
          <w:b/>
          <w:bCs/>
        </w:rPr>
        <w:t xml:space="preserve">Clear and unambiguous - </w:t>
      </w:r>
      <w:r>
        <w:t>one reasonable interpretation per element, consistent naming (verb-object activity labels) and disciplined use of the notation.</w:t>
      </w:r>
    </w:p>
    <w:p w14:paraId="34A28DA6">
      <w:pPr>
        <w:ind w:left="360" w:hanging="360"/>
      </w:pPr>
      <w:r>
        <w:t xml:space="preserve">•  </w:t>
      </w:r>
      <w:r>
        <w:rPr>
          <w:b/>
          <w:bCs/>
        </w:rPr>
        <w:t xml:space="preserve">Right level of abstraction - </w:t>
      </w:r>
      <w:r>
        <w:t>complete for its purpose but no more detailed than needed, with uniform granularity and decomposition instead of one enormous diagram.</w:t>
      </w:r>
    </w:p>
    <w:p w14:paraId="35AAE07E">
      <w:pPr>
        <w:ind w:left="360" w:hanging="360"/>
      </w:pPr>
      <w:r>
        <w:t xml:space="preserve">•  </w:t>
      </w:r>
      <w:r>
        <w:rPr>
          <w:b/>
          <w:bCs/>
        </w:rPr>
        <w:t xml:space="preserve">Understandable and consistent - </w:t>
      </w:r>
      <w:r>
        <w:t>readable by its audience without training, laid out in the natural reading direction, and following the same conventions as every other model in the repository.</w:t>
      </w:r>
    </w:p>
    <w:p w14:paraId="2E740DF2">
      <w:pPr>
        <w:ind w:left="360" w:hanging="360"/>
      </w:pPr>
      <w:r>
        <w:t xml:space="preserve">•  </w:t>
      </w:r>
      <w:r>
        <w:rPr>
          <w:b/>
          <w:bCs/>
        </w:rPr>
        <w:t xml:space="preserve">Maintainable, traceable and economical - </w:t>
      </w:r>
      <w:r>
        <w:t>versioned in a repository, traceable to requirements and case evidence, and worth more than it costs to produce. Over-modelling is a defect, not thoroughness.</w:t>
      </w:r>
    </w:p>
    <w:p w14:paraId="594E9340">
      <w:pPr>
        <w:ind w:left="360" w:hanging="360"/>
      </w:pPr>
      <w:r>
        <w:t xml:space="preserve">•  </w:t>
      </w:r>
      <w:r>
        <w:rPr>
          <w:b/>
          <w:bCs/>
        </w:rPr>
        <w:t xml:space="preserve">Accepted guidelines we applied: </w:t>
      </w:r>
      <w:r>
        <w:t>the Seven Process Modelling Guidelines (7PMG - few elements, one start and one end event, structured routing, verb-object labels, decompose above about fifty elements); the Guidelines of Modelling (correctness, relevance, economic efficiency, clarity, comparability); and SEQUAL, which reminds us that a model can be technically correct and still useless to its audience.</w:t>
      </w:r>
    </w:p>
    <w:p w14:paraId="425D988B">
      <w:pPr>
        <w:ind w:left="360" w:hanging="360"/>
      </w:pPr>
      <w:r>
        <w:t xml:space="preserve">•  </w:t>
      </w:r>
      <w:r>
        <w:rPr>
          <w:b/>
          <w:bCs/>
        </w:rPr>
        <w:t xml:space="preserve">How we checked: </w:t>
      </w:r>
      <w:r>
        <w:t>a walkthrough with a group member who did not build the model, a check against the 7PMG rules, and a check that every lane matches a role named in the case study with no administrative lane performing a clinical or financial authorisation.</w:t>
      </w:r>
    </w:p>
    <w:p w14:paraId="6584737D">
      <w:r>
        <w:t>A good model is therefore not the biggest or the most detailed one: it is the simplest model that tells the truth about the process to the right audience for the purpose at hand.</w:t>
      </w:r>
    </w:p>
    <w:p w14:paraId="17CAAE54">
      <w:pPr>
        <w:rPr>
          <w:rStyle w:val="13"/>
        </w:rPr>
      </w:pPr>
    </w:p>
    <w:p w14:paraId="07780216">
      <w:pPr>
        <w:rPr>
          <w:rStyle w:val="13"/>
        </w:rPr>
      </w:pPr>
    </w:p>
    <w:p w14:paraId="046C997C">
      <w:pPr>
        <w:rPr>
          <w:rStyle w:val="13"/>
        </w:rPr>
      </w:pPr>
      <w:bookmarkStart w:id="0" w:name="_GoBack"/>
      <w:bookmarkEnd w:id="0"/>
      <w:r>
        <w:rPr>
          <w:rStyle w:val="13"/>
        </w:rPr>
        <w:t>Task D</w:t>
      </w:r>
    </w:p>
    <w:p w14:paraId="51604937">
      <w:pPr>
        <w:rPr>
          <w:rStyle w:val="13"/>
        </w:rPr>
      </w:pPr>
      <w:r>
        <w:t xml:space="preserve">Upload your answers to the group repository you created during the last tutorial. </w:t>
      </w: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DengXian">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3F5"/>
    <w:rsid w:val="00001987"/>
    <w:rsid w:val="00062B32"/>
    <w:rsid w:val="000944D2"/>
    <w:rsid w:val="001B42FE"/>
    <w:rsid w:val="001E16E8"/>
    <w:rsid w:val="0026177E"/>
    <w:rsid w:val="002808B2"/>
    <w:rsid w:val="00286A75"/>
    <w:rsid w:val="002B22DF"/>
    <w:rsid w:val="0031552C"/>
    <w:rsid w:val="003C5558"/>
    <w:rsid w:val="00461789"/>
    <w:rsid w:val="004B4954"/>
    <w:rsid w:val="0051149A"/>
    <w:rsid w:val="00526A2A"/>
    <w:rsid w:val="005543F5"/>
    <w:rsid w:val="00574809"/>
    <w:rsid w:val="00590B23"/>
    <w:rsid w:val="00663DBE"/>
    <w:rsid w:val="006B5F8E"/>
    <w:rsid w:val="00706056"/>
    <w:rsid w:val="007515C4"/>
    <w:rsid w:val="00790815"/>
    <w:rsid w:val="007E4DFF"/>
    <w:rsid w:val="008207D6"/>
    <w:rsid w:val="00833BDC"/>
    <w:rsid w:val="009F6745"/>
    <w:rsid w:val="00A1287E"/>
    <w:rsid w:val="00A27549"/>
    <w:rsid w:val="00AC3290"/>
    <w:rsid w:val="00AD0703"/>
    <w:rsid w:val="00AD412B"/>
    <w:rsid w:val="00B22886"/>
    <w:rsid w:val="00B25831"/>
    <w:rsid w:val="00C638BB"/>
    <w:rsid w:val="00D61783"/>
    <w:rsid w:val="00D857D2"/>
    <w:rsid w:val="00D93DE7"/>
    <w:rsid w:val="00ED2A27"/>
    <w:rsid w:val="00EE3E5A"/>
    <w:rsid w:val="00F46B57"/>
    <w:rsid w:val="00FD7726"/>
    <w:rsid w:val="00FE68E1"/>
    <w:rsid w:val="02FA1E8C"/>
    <w:rsid w:val="07A3699B"/>
    <w:rsid w:val="0D1169C4"/>
    <w:rsid w:val="0F0543A5"/>
    <w:rsid w:val="1BAE1A12"/>
    <w:rsid w:val="1FD7A22F"/>
    <w:rsid w:val="262DE032"/>
    <w:rsid w:val="26AF3C01"/>
    <w:rsid w:val="2991F970"/>
    <w:rsid w:val="33E77889"/>
    <w:rsid w:val="3925DE30"/>
    <w:rsid w:val="3AC16587"/>
    <w:rsid w:val="4090EC1C"/>
    <w:rsid w:val="460FBE6C"/>
    <w:rsid w:val="4834F0A6"/>
    <w:rsid w:val="494B4C9B"/>
    <w:rsid w:val="4DE0CEDD"/>
    <w:rsid w:val="5475628C"/>
    <w:rsid w:val="5D7FB382"/>
    <w:rsid w:val="5EF5FFF5"/>
    <w:rsid w:val="69D78061"/>
    <w:rsid w:val="7285FDD6"/>
    <w:rsid w:val="73E8D856"/>
    <w:rsid w:val="741D9E5E"/>
    <w:rsid w:val="78736809"/>
    <w:rsid w:val="795233F1"/>
    <w:rsid w:val="7AF42789"/>
    <w:rsid w:val="7D9A2E24"/>
    <w:rsid w:val="7E73576A"/>
    <w:rsid w:val="7F426A4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en-GB" w:eastAsia="en-US" w:bidi="ar-SA"/>
    </w:rPr>
  </w:style>
  <w:style w:type="paragraph" w:styleId="2">
    <w:name w:val="heading 1"/>
    <w:basedOn w:val="1"/>
    <w:next w:val="1"/>
    <w:link w:val="12"/>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3"/>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4"/>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6">
    <w:name w:val="Normal (Web)"/>
    <w:basedOn w:val="1"/>
    <w:unhideWhenUsed/>
    <w:uiPriority w:val="99"/>
    <w:pPr>
      <w:spacing w:before="100" w:beforeAutospacing="1" w:after="100" w:afterAutospacing="1"/>
    </w:pPr>
    <w:rPr>
      <w:rFonts w:ascii="Times New Roman" w:hAnsi="Times New Roman" w:eastAsia="Times New Roman" w:cs="Times New Roman"/>
      <w:lang w:eastAsia="en-GB"/>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unhideWhenUsed/>
    <w:qFormat/>
    <w:uiPriority w:val="99"/>
    <w:rPr>
      <w:color w:val="0563C1" w:themeColor="hyperlink"/>
      <w:u w:val="single"/>
      <w14:textFill>
        <w14:solidFill>
          <w14:schemeClr w14:val="hlink"/>
        </w14:solidFill>
      </w14:textFill>
    </w:rPr>
  </w:style>
  <w:style w:type="paragraph" w:styleId="11">
    <w:name w:val="List Paragraph"/>
    <w:basedOn w:val="1"/>
    <w:qFormat/>
    <w:uiPriority w:val="34"/>
    <w:pPr>
      <w:ind w:left="720"/>
      <w:contextualSpacing/>
    </w:pPr>
  </w:style>
  <w:style w:type="character" w:customStyle="1" w:styleId="12">
    <w:name w:val="Heading 1 Char"/>
    <w:basedOn w:val="9"/>
    <w:link w:val="2"/>
    <w:uiPriority w:val="9"/>
    <w:rPr>
      <w:rFonts w:asciiTheme="majorHAnsi" w:hAnsiTheme="majorHAnsi" w:eastAsiaTheme="majorEastAsia" w:cstheme="majorBidi"/>
      <w:color w:val="2F5597" w:themeColor="accent1" w:themeShade="BF"/>
      <w:sz w:val="32"/>
      <w:szCs w:val="32"/>
    </w:rPr>
  </w:style>
  <w:style w:type="character" w:customStyle="1" w:styleId="13">
    <w:name w:val="Heading 2 Char"/>
    <w:basedOn w:val="9"/>
    <w:link w:val="3"/>
    <w:uiPriority w:val="9"/>
    <w:rPr>
      <w:rFonts w:asciiTheme="majorHAnsi" w:hAnsiTheme="majorHAnsi" w:eastAsiaTheme="majorEastAsia" w:cstheme="majorBidi"/>
      <w:color w:val="2F5597" w:themeColor="accent1" w:themeShade="BF"/>
      <w:sz w:val="26"/>
      <w:szCs w:val="26"/>
    </w:rPr>
  </w:style>
  <w:style w:type="character" w:customStyle="1" w:styleId="14">
    <w:name w:val="Heading 3 Char"/>
    <w:basedOn w:val="9"/>
    <w:link w:val="4"/>
    <w:uiPriority w:val="9"/>
    <w:rPr>
      <w:rFonts w:asciiTheme="majorHAnsi" w:hAnsiTheme="majorHAnsi" w:eastAsiaTheme="majorEastAsia" w:cstheme="majorBidi"/>
      <w:color w:val="203864" w:themeColor="accent1" w:themeShade="80"/>
      <w:sz w:val="24"/>
      <w:szCs w:val="24"/>
    </w:rPr>
  </w:style>
  <w:style w:type="character" w:customStyle="1" w:styleId="15">
    <w:name w:val="Unresolved Mention"/>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F0A23-84A6-0B4B-934F-768C17F63010}">
  <ds:schemaRefs/>
</ds:datastoreItem>
</file>

<file path=docProps/app.xml><?xml version="1.0" encoding="utf-8"?>
<Properties xmlns="http://schemas.openxmlformats.org/officeDocument/2006/extended-properties" xmlns:vt="http://schemas.openxmlformats.org/officeDocument/2006/docPropsVTypes">
  <Template>Normal.dotm</Template>
  <Pages>4</Pages>
  <Words>1276</Words>
  <Characters>7211</Characters>
  <Lines>5</Lines>
  <Paragraphs>1</Paragraphs>
  <TotalTime>12</TotalTime>
  <ScaleCrop>false</ScaleCrop>
  <LinksUpToDate>false</LinksUpToDate>
  <CharactersWithSpaces>8441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2022-10-13T10:27:00Z</dcterms:created>
  <dc:creator>Dilshan Jayatilake</dc:creator>
  <cp:lastModifiedBy>Ko梦</cp:lastModifiedBy>
  <dcterms:modified xsi:type="dcterms:W3CDTF">2026-09-17T02:58:03Z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eyJoZGlkIjoiM2I2OTNmMTliOWY0NDg3OGQ3YjM5ZGIwM2VkYTJjNjYiLCJ1c2VySWQiOiIxNTQzMzQ5Nzc2In0=</vt:lpwstr>
  </property>
  <property fmtid="{D5CDD505-2E9C-101B-9397-08002B2CF9AE}" pid="3" name="KSOProductBuildVer">
    <vt:lpwstr>2052-12.1.0.28505</vt:lpwstr>
  </property>
  <property fmtid="{D5CDD505-2E9C-101B-9397-08002B2CF9AE}" pid="4" name="ICV">
    <vt:lpwstr>8AFEB1B5A1E34FD58D8B44660D219EFA_12</vt:lpwstr>
  </property>
</Properties>
</file>