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BE27D1">
      <w:pPr>
        <w:pStyle w:val="2"/>
      </w:pPr>
      <w:r>
        <w:t>TUTORIAL - Business Process Modelling and Enterprise Architecture &amp; Advance Information System Development</w:t>
      </w:r>
    </w:p>
    <w:p w14:paraId="681FFDE5">
      <w:pPr>
        <w:pStyle w:val="2"/>
      </w:pPr>
      <w:r>
        <w:t xml:space="preserve">Introduction to BPMN </w:t>
      </w:r>
    </w:p>
    <w:p w14:paraId="04E16D92"/>
    <w:p w14:paraId="2A29B3E1">
      <w:pPr>
        <w:spacing w:beforeAutospacing="1" w:afterAutospacing="1" w:line="259" w:lineRule="auto"/>
        <w:rPr>
          <w:rFonts w:eastAsiaTheme="minorEastAsia"/>
          <w:sz w:val="28"/>
          <w:szCs w:val="28"/>
        </w:rPr>
      </w:pPr>
      <w:r>
        <w:rPr>
          <w:rStyle w:val="13"/>
        </w:rPr>
        <w:t>Aim:</w:t>
      </w:r>
      <w:r>
        <w:rPr>
          <w:rFonts w:ascii="Calibri" w:hAnsi="Calibri" w:cs="Calibri"/>
          <w:sz w:val="28"/>
          <w:szCs w:val="28"/>
        </w:rPr>
        <w:t xml:space="preserve"> </w:t>
      </w:r>
      <w:r>
        <w:rPr>
          <w:rFonts w:eastAsiaTheme="minorEastAsia"/>
          <w:sz w:val="28"/>
          <w:szCs w:val="28"/>
        </w:rPr>
        <w:t>The aim of this tutorial is to explore the BPMN and modelling aspects and good practices.</w:t>
      </w:r>
    </w:p>
    <w:p w14:paraId="0E5C6731">
      <w:pPr>
        <w:spacing w:beforeAutospacing="1" w:afterAutospacing="1" w:line="259" w:lineRule="auto"/>
        <w:rPr>
          <w:rFonts w:eastAsiaTheme="minorEastAsia"/>
          <w:sz w:val="28"/>
          <w:szCs w:val="28"/>
        </w:rPr>
      </w:pPr>
      <w:r>
        <w:rPr>
          <w:rFonts w:eastAsiaTheme="minorEastAsia"/>
          <w:sz w:val="28"/>
          <w:szCs w:val="28"/>
        </w:rPr>
        <w:t xml:space="preserve">For this tutorial, you </w:t>
      </w:r>
      <w:r>
        <w:rPr>
          <w:rFonts w:eastAsiaTheme="minorEastAsia"/>
          <w:b/>
          <w:bCs/>
          <w:sz w:val="28"/>
          <w:szCs w:val="28"/>
          <w:u w:val="single"/>
        </w:rPr>
        <w:t>MUST</w:t>
      </w:r>
      <w:r>
        <w:rPr>
          <w:rFonts w:eastAsiaTheme="minorEastAsia"/>
          <w:sz w:val="28"/>
          <w:szCs w:val="28"/>
        </w:rPr>
        <w:t xml:space="preserve"> work in your groups.</w:t>
      </w:r>
    </w:p>
    <w:p w14:paraId="0361316C">
      <w:pPr>
        <w:rPr>
          <w:rStyle w:val="13"/>
        </w:rPr>
      </w:pPr>
      <w:r>
        <w:rPr>
          <w:rStyle w:val="13"/>
        </w:rPr>
        <w:t xml:space="preserve">Task A </w:t>
      </w:r>
    </w:p>
    <w:p w14:paraId="2F5AB67D">
      <w:r>
        <w:t xml:space="preserve">Compare and contrast UML and BPMN modelling notations. </w:t>
      </w:r>
    </w:p>
    <w:p w14:paraId="1CCE4357"/>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5"/>
        <w:gridCol w:w="3005"/>
        <w:gridCol w:w="3006"/>
      </w:tblGrid>
      <w:tr w14:paraId="33F7A1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478E4C01">
            <w:r>
              <w:rPr>
                <w:b/>
                <w:bCs/>
              </w:rPr>
              <w:t>Criteria</w:t>
            </w:r>
          </w:p>
        </w:tc>
        <w:tc>
          <w:tcPr>
            <w:tcW w:w="3005" w:type="dxa"/>
          </w:tcPr>
          <w:p w14:paraId="7D43C013">
            <w:r>
              <w:rPr>
                <w:b/>
                <w:bCs/>
              </w:rPr>
              <w:t>BPMN</w:t>
            </w:r>
          </w:p>
        </w:tc>
        <w:tc>
          <w:tcPr>
            <w:tcW w:w="3006" w:type="dxa"/>
          </w:tcPr>
          <w:p w14:paraId="50B6CD37">
            <w:r>
              <w:rPr>
                <w:b/>
                <w:bCs/>
              </w:rPr>
              <w:t>UML</w:t>
            </w:r>
          </w:p>
        </w:tc>
      </w:tr>
      <w:tr w14:paraId="3056C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12471544">
            <w:r>
              <w:rPr>
                <w:b/>
                <w:bCs/>
              </w:rPr>
              <w:t>Capability</w:t>
            </w:r>
          </w:p>
        </w:tc>
        <w:tc>
          <w:tcPr>
            <w:tcW w:w="3005" w:type="dxa"/>
          </w:tcPr>
          <w:p w14:paraId="5C185CAB">
            <w:r>
              <w:t>Purpose-built for business process modelling: expresses end-to-end flow, events, gateways, sub-processes, pools and lanes, plus choreography and conversation models. BPMN 2.0 has an execution metamodel, so a model can be deployed to a BPMS engine. Weak on data structures, application architecture and deployment concerns.</w:t>
            </w:r>
          </w:p>
        </w:tc>
        <w:tc>
          <w:tcPr>
            <w:tcW w:w="3006" w:type="dxa"/>
          </w:tcPr>
          <w:p w14:paraId="35DDC841">
            <w:r>
              <w:t>General-purpose modelling language with 14 diagram types covering structure (class, component, deployment, package) and behaviour (use case, activity, sequence, state machine, interaction). Almost any software or system aspect can be modelled, but process flow is only one of many concerns and there are no native business-process execution semantics.</w:t>
            </w:r>
          </w:p>
        </w:tc>
      </w:tr>
      <w:tr w14:paraId="2A44A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39DDEA8A">
            <w:r>
              <w:rPr>
                <w:b/>
                <w:bCs/>
              </w:rPr>
              <w:t>Audience</w:t>
            </w:r>
          </w:p>
        </w:tc>
        <w:tc>
          <w:tcPr>
            <w:tcW w:w="3005" w:type="dxa"/>
          </w:tcPr>
          <w:p w14:paraId="5BE74397">
            <w:r>
              <w:t>Business analysts, process owners and domain experts, together with the IT staff who automate the process. The flowchart-like notation is readable by non-technical stakeholders, so business and IT can review one shared model.</w:t>
            </w:r>
          </w:p>
        </w:tc>
        <w:tc>
          <w:tcPr>
            <w:tcW w:w="3006" w:type="dxa"/>
          </w:tcPr>
          <w:p w14:paraId="2D0623B9">
            <w:r>
              <w:t>Software engineers, architects and developers. Reading a model effectively requires object-oriented and software concepts (classes, associations, lifelines, multiplicities), so business stakeholders normally need a translated, simplified view.</w:t>
            </w:r>
          </w:p>
        </w:tc>
      </w:tr>
      <w:tr w14:paraId="17437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51CD1CDE">
            <w:r>
              <w:rPr>
                <w:b/>
                <w:bCs/>
              </w:rPr>
              <w:t>Adaptability</w:t>
            </w:r>
          </w:p>
        </w:tc>
        <w:tc>
          <w:tcPr>
            <w:tcW w:w="3005" w:type="dxa"/>
          </w:tcPr>
          <w:p w14:paraId="47FA595E">
            <w:r>
              <w:t>Quick to adapt when the business changes: a small, standard symbol set keeps models consistent and fast to redraw. Extensibility is limited to extension attributes and artefacts, and heavy vendor extension costs portability.</w:t>
            </w:r>
          </w:p>
        </w:tc>
        <w:tc>
          <w:tcPr>
            <w:tcW w:w="3006" w:type="dxa"/>
          </w:tcPr>
          <w:p w14:paraId="47BC34D2">
            <w:r>
              <w:t>Highly extensible through stereotypes, profiles, OCL and tagged values, so it can be fitted to almost any domain; the extra freedom increases modelling effort and the risk of inconsistent, tool-specific models, and one change often ripples across several linked diagrams.</w:t>
            </w:r>
          </w:p>
        </w:tc>
      </w:tr>
      <w:tr w14:paraId="630F6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5E3159B1">
            <w:r>
              <w:rPr>
                <w:b/>
                <w:bCs/>
              </w:rPr>
              <w:t>Scalability</w:t>
            </w:r>
          </w:p>
        </w:tc>
        <w:tc>
          <w:tcPr>
            <w:tcW w:w="3005" w:type="dxa"/>
          </w:tcPr>
          <w:p w14:paraId="5EE792D5">
            <w:r>
              <w:t>Scales through hierarchical decomposition: a level 0/1 value chain, then sub-processes and call activities, then detailed executable steps, with pools and lanes carrying organisational scope. Very large models must be modularised to stay readable.</w:t>
            </w:r>
          </w:p>
        </w:tc>
        <w:tc>
          <w:tcPr>
            <w:tcW w:w="3006" w:type="dxa"/>
          </w:tcPr>
          <w:p w14:paraId="4609AB1A">
            <w:r>
              <w:t>Scales well for system complexity by separating concerns into many views and packages (for example the 4+1 view model). There is no single process-hierarchy convention, so consistency across the set of diagrams has to be managed deliberately.</w:t>
            </w:r>
          </w:p>
        </w:tc>
      </w:tr>
      <w:tr w14:paraId="3029EF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485474AA">
            <w:r>
              <w:rPr>
                <w:b/>
                <w:bCs/>
              </w:rPr>
              <w:t>Ability to automation</w:t>
            </w:r>
          </w:p>
        </w:tc>
        <w:tc>
          <w:tcPr>
            <w:tcW w:w="3005" w:type="dxa"/>
          </w:tcPr>
          <w:p w14:paraId="68B3C1D6">
            <w:r>
              <w:t>Strong. BPMN 2.0 was designed for round-tripping between design and execution; engines such as Camunda, Flowable, jBPM, Bizagi and the SAP/Oracle BPM suites execute models directly, enabling workflow automation, process monitoring and RPA integration. What can actually be automated is bounded by engine support.</w:t>
            </w:r>
          </w:p>
        </w:tc>
        <w:tc>
          <w:tcPr>
            <w:tcW w:w="3006" w:type="dxa"/>
          </w:tcPr>
          <w:p w14:paraId="5447BD03">
            <w:r>
              <w:t>Indirect. fUML action semantics give UML an executable meaning and MDA/MDD can generate code from models, but UML is not a business-process execution standard; automating a workflow means mapping the model to BPEL or a BPMS, or generating code from it.</w:t>
            </w:r>
          </w:p>
        </w:tc>
      </w:tr>
    </w:tbl>
    <w:p w14:paraId="04001F0B">
      <w:pPr>
        <w:spacing w:before="200" w:after="60"/>
        <w:rPr>
          <w:b/>
          <w:bCs/>
        </w:rPr>
      </w:pPr>
    </w:p>
    <w:p w14:paraId="2E3C06A1">
      <w:pPr>
        <w:spacing w:before="200" w:after="60"/>
      </w:pPr>
      <w:bookmarkStart w:id="0" w:name="_GoBack"/>
      <w:bookmarkEnd w:id="0"/>
      <w:r>
        <w:rPr>
          <w:b/>
          <w:bCs/>
        </w:rPr>
        <w:t>Key contrast</w:t>
      </w:r>
    </w:p>
    <w:p w14:paraId="2FDA8989">
      <w:r>
        <w:t>BPMN is a domain-specific language for business processes; UML is a general-purpose language for software-intensive systems. BPMN asks what happens in the business, in what order, and who is responsible; UML asks how the system is structured and how it behaves. They overlap in one place only, the activity diagram, and even there BPMN carries business semantics (lanes, ownership, business events) that UML activity diagrams do not standardise.</w:t>
      </w:r>
    </w:p>
    <w:p w14:paraId="52AE04DB">
      <w:r>
        <w:t>In practice the two are complementary rather than competing: a project normally uses BPMN for the process view (AS-IS and TO-BE) and UML for the system view (class, component, sequence, deployment). In the hospital case study this means BPMN for the patient pathway (referral, clinical review, appointment, treatment booking, funding, payment, correspondence) and UML for the structure of the proposed Hospital Patient Administration System and the data it must hold. Choosing between them is therefore a question of the audience and the question being asked, not of which notation is intrinsically better.</w:t>
      </w:r>
    </w:p>
    <w:p w14:paraId="6D7BCC69"/>
    <w:p w14:paraId="7BA87DB8"/>
    <w:p w14:paraId="700CA225">
      <w:pPr>
        <w:rPr>
          <w:rStyle w:val="13"/>
        </w:rPr>
      </w:pPr>
      <w:r>
        <w:rPr>
          <w:rStyle w:val="13"/>
        </w:rPr>
        <w:t xml:space="preserve">Task B </w:t>
      </w:r>
    </w:p>
    <w:p w14:paraId="3CBE2F48">
      <w:r>
        <w:t>Based on the case study provided, what would be the most appropriate modelling tool for modelling the AS-IS system. Justify your answer.</w:t>
      </w:r>
    </w:p>
    <w:p w14:paraId="07BE1156">
      <w:pPr>
        <w:spacing w:before="200" w:after="60"/>
      </w:pPr>
      <w:r>
        <w:rPr>
          <w:b/>
          <w:bCs/>
        </w:rPr>
        <w:t>BPMN 2.0, used in a repository-based, BPMN-compliant modelling tool with simulation support.</w:t>
      </w:r>
    </w:p>
    <w:p w14:paraId="7E54AFC0">
      <w:r>
        <w:t xml:space="preserve">The most appropriate tool for modelling the AS-IS system is </w:t>
      </w:r>
      <w:r>
        <w:rPr>
          <w:b/>
          <w:bCs/>
        </w:rPr>
        <w:t>BPMN 2.0 (Business Process Model and Notation)</w:t>
      </w:r>
      <w:r>
        <w:t>, held in a repository-based, BPMN-compliant tool that the hospital already accepts - for example SAP Signavio, ARIS, Camunda Modeler / bpmn.io or Bizagi Modeler - chosen for collaboration, versioning and simulation capability. Because the pathway is large (referral, clinical review, new patient appointment, treatment booking and funding, treatment delivery and cycle reviews, correspondence, follow-up care and enquiries), the AS-IS should be modelled as a level 0/1 pathway overview plus a detailed sub-process for each stage, not as one very large diagram.</w:t>
      </w:r>
    </w:p>
    <w:p w14:paraId="40AAFBBD">
      <w:pPr>
        <w:spacing w:before="200" w:after="60"/>
      </w:pPr>
      <w:r>
        <w:rPr>
          <w:b/>
          <w:bCs/>
        </w:rPr>
        <w:t>Justification</w:t>
      </w:r>
    </w:p>
    <w:p w14:paraId="6E21DB19">
      <w:pPr>
        <w:ind w:left="360" w:hanging="360"/>
      </w:pPr>
      <w:r>
        <w:t xml:space="preserve">•  </w:t>
      </w:r>
      <w:r>
        <w:rPr>
          <w:b/>
          <w:bCs/>
        </w:rPr>
        <w:t xml:space="preserve">The case study is dominated by responsibility boundaries, and BPMN expresses them natively. </w:t>
      </w:r>
      <w:r>
        <w:t>The case repeatedly separates clinical, administrative and financial duties: Medical Secretaries check that documentation is present but are not permitted to assess clinical suitability or accept a referral; call handlers must not diagnose, interpret results, recommend treatment or give clinical advice; clinical staff must not approve refunds; the Finance Team must not decide whether treatment is clinically necessary; and treatment changes must be authorised through a Treatment Modification Request rather than by email or telephone. Pools and lanes make each of these boundaries visible in the AS-IS model, which is precisely what the hospital must be able to demonstrate. A notation without standard lanes and ownership (UML activity diagrams, plain flowcharts) leaves the most important part of this case unexpressed.</w:t>
      </w:r>
    </w:p>
    <w:p w14:paraId="65978CE6">
      <w:pPr>
        <w:ind w:left="360" w:hanging="360"/>
      </w:pPr>
      <w:r>
        <w:t xml:space="preserve">•  </w:t>
      </w:r>
      <w:r>
        <w:rPr>
          <w:b/>
          <w:bCs/>
        </w:rPr>
        <w:t xml:space="preserve">The AS-IS is defined by time rules, and BPMN models time with timer events. </w:t>
      </w:r>
      <w:r>
        <w:t>A clinic letter must be completed, approved, processed and sent within seven days of the appointment and is treated as delayed if it is not; reminders are issued weekly; the case escalates at one month to the Administrative Manager and at three months to higher management. A patient must also be telephoned when the appointment is within the following two weeks. These are intermediate and boundary timer events plus an event sub-process in BPMN, and they can be simulated. There is no equivalent standard construct for them in a UML activity diagram or in a drawing tool's flowchart shapes.</w:t>
      </w:r>
    </w:p>
    <w:p w14:paraId="02FFDBC8">
      <w:pPr>
        <w:ind w:left="360" w:hanging="360"/>
      </w:pPr>
      <w:r>
        <w:t xml:space="preserve">•  </w:t>
      </w:r>
      <w:r>
        <w:rPr>
          <w:b/>
          <w:bCs/>
        </w:rPr>
        <w:t xml:space="preserve">Most of the risk in this case sits in exceptions, so the notation must model them rather than note them. </w:t>
      </w:r>
      <w:r>
        <w:t>Unanswered calls and incorrect contact numbers; no suitable appointment within the requested period; external scheduling, laboratory or imaging services temporarily unavailable; treatment that is not funded; payments that are declined, cancelled, duplicated or incomplete; a payment taken successfully but with no confirmation returned; refunds after cancellation, postponement or a change of treatment; and urgent treatment authorised before payment is confirmed. BPMN supports each of these with boundary events (message, timer, error, escalation), event-based gateways and exception or compensation sub-processes, and it makes the case's anti-duplication rules explicit (a further attempt must not create a duplicate appointment, booking or charge).</w:t>
      </w:r>
    </w:p>
    <w:p w14:paraId="6E869567">
      <w:pPr>
        <w:ind w:left="360" w:hanging="360"/>
      </w:pPr>
      <w:r>
        <w:t xml:space="preserve">•  </w:t>
      </w:r>
      <w:r>
        <w:rPr>
          <w:b/>
          <w:bCs/>
        </w:rPr>
        <w:t xml:space="preserve">The numerous external parties become first-class participants. </w:t>
      </w:r>
      <w:r>
        <w:t>The external scheduling service, correspondence service, laboratory and imaging services, the external Payment Service Provider and the referring GP or hospital are modelled as separate (black-box) pools exchanging message flows with the hospital pool. This shows exactly where a communication failure can occur - the very scenario the case describes when a payment is taken but confirmation is not returned - and clarifies which events are inside the hospital's control and which are not.</w:t>
      </w:r>
    </w:p>
    <w:p w14:paraId="00B45FDA">
      <w:pPr>
        <w:ind w:left="360" w:hanging="360"/>
      </w:pPr>
      <w:r>
        <w:t xml:space="preserve">•  </w:t>
      </w:r>
      <w:r>
        <w:rPr>
          <w:b/>
          <w:bCs/>
        </w:rPr>
        <w:t xml:space="preserve">It produces the baseline evidence management is asking for. </w:t>
      </w:r>
      <w:r>
        <w:t>Management requires referral volumes, outstanding referrals, appointment waiting times, unsuccessful contact attempts, delayed clinic letters, unresolved enquiries, treatment-booking delays, outstanding funding approvals, failed or incomplete payments, refunds awaiting processing and pathway progress. Because BPMN 2.0 carries execution semantics, the AS-IS model can be simulated and instrumented to generate that baseline, converting the case's statement that it is difficult to monitor patient progress and identify delays into quantified delay points from which improvement targets can be set.</w:t>
      </w:r>
    </w:p>
    <w:p w14:paraId="69137D2B">
      <w:pPr>
        <w:ind w:left="360" w:hanging="360"/>
      </w:pPr>
      <w:r>
        <w:t xml:space="preserve">•  </w:t>
      </w:r>
      <w:r>
        <w:rPr>
          <w:b/>
          <w:bCs/>
        </w:rPr>
        <w:t xml:space="preserve">It is the right investment for the next step. </w:t>
      </w:r>
      <w:r>
        <w:t>The hospital intends to introduce a Hospital Patient Administration System. A standard BPMN 2.0 AS-IS model is exchanged as BPMN 2.0 XML between tools and is reused directly as the baseline for the gap analysis, the TO-BE design and, later, workflow automation on a BPMN engine, so the AS-IS modelling effort is not discarded when the system is built.</w:t>
      </w:r>
    </w:p>
    <w:p w14:paraId="114EFD3B">
      <w:pPr>
        <w:ind w:left="360" w:hanging="360"/>
      </w:pPr>
      <w:r>
        <w:t xml:space="preserve">•  </w:t>
      </w:r>
      <w:r>
        <w:rPr>
          <w:b/>
          <w:bCs/>
        </w:rPr>
        <w:t xml:space="preserve">It can be validated by the people who do the work. </w:t>
      </w:r>
      <w:r>
        <w:t>The case involves Medical Secretaries, the Outpatient and Treatment Bookings Teams, Call Handling, the Clinical Nurse Specialist Team and its administrative support, Patient Pathway Coordinators, Consultants, the Finance Team and the Administrative Management Team, and it notes that existing practices are inconsistent across teams. A flowchart-like notation lets those stakeholders confirm or correct the AS-IS model in a walkthrough, which a UML model could not do without translation.</w:t>
      </w:r>
    </w:p>
    <w:p w14:paraId="434BEBA7">
      <w:pPr>
        <w:spacing w:before="200" w:after="60"/>
      </w:pPr>
      <w:r>
        <w:rPr>
          <w:b/>
          <w:bCs/>
        </w:rPr>
        <w:t>How the case study's AS-IS requirements map to BPMN constructs</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08"/>
        <w:gridCol w:w="4508"/>
      </w:tblGrid>
      <w:tr w14:paraId="0B33DB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tcPr>
          <w:p w14:paraId="43957F19">
            <w:r>
              <w:rPr>
                <w:b/>
                <w:bCs/>
              </w:rPr>
              <w:t>Requirement in the hospital case study</w:t>
            </w:r>
          </w:p>
        </w:tc>
        <w:tc>
          <w:tcPr>
            <w:tcW w:w="4513" w:type="dxa"/>
          </w:tcPr>
          <w:p w14:paraId="1D830E52">
            <w:r>
              <w:rPr>
                <w:b/>
                <w:bCs/>
              </w:rPr>
              <w:t>BPMN construct used to model it</w:t>
            </w:r>
          </w:p>
        </w:tc>
      </w:tr>
      <w:tr w14:paraId="46FB4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tcPr>
          <w:p w14:paraId="023ABB4B">
            <w:r>
              <w:rPr>
                <w:b/>
                <w:bCs/>
              </w:rPr>
              <w:t>Referral checked by Medical Secretaries, then clinically reviewed by a Consultant who may accept, reject, request information or redirect; the reason and the decision-maker must be recorded</w:t>
            </w:r>
          </w:p>
        </w:tc>
        <w:tc>
          <w:tcPr>
            <w:tcW w:w="4513" w:type="dxa"/>
          </w:tcPr>
          <w:p w14:paraId="5B8DA4A8">
            <w:r>
              <w:t>One lane per role, an exclusive gateway for the four outcomes, and a data object or annotation recording the reason and the authorising clinician</w:t>
            </w:r>
          </w:p>
        </w:tc>
      </w:tr>
      <w:tr w14:paraId="321C3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tcPr>
          <w:p w14:paraId="032BDB36">
            <w:r>
              <w:rPr>
                <w:b/>
                <w:bCs/>
              </w:rPr>
              <w:t>Clinical, administrative and financial duties must remain separate (administrative staff must not authorise treatment or refunds; Finance must not decide clinical necessity)</w:t>
            </w:r>
          </w:p>
        </w:tc>
        <w:tc>
          <w:tcPr>
            <w:tcW w:w="4513" w:type="dxa"/>
          </w:tcPr>
          <w:p w14:paraId="63437288">
            <w:r>
              <w:t>Swimlanes that place every authorisation in the lane of the role entitled to perform it, so the model itself shows who may act</w:t>
            </w:r>
          </w:p>
        </w:tc>
      </w:tr>
      <w:tr w14:paraId="250B5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tcPr>
          <w:p w14:paraId="78110986">
            <w:r>
              <w:rPr>
                <w:b/>
                <w:bCs/>
              </w:rPr>
              <w:t>Several external parties: scheduling, correspondence, laboratory and imaging services, the Payment Service Provider, the referring GP or hospital</w:t>
            </w:r>
          </w:p>
        </w:tc>
        <w:tc>
          <w:tcPr>
            <w:tcW w:w="4513" w:type="dxa"/>
          </w:tcPr>
          <w:p w14:paraId="17500F43">
            <w:r>
              <w:t>Separate black-box pools linked to the hospital pool by message flows (request, response, notification)</w:t>
            </w:r>
          </w:p>
        </w:tc>
      </w:tr>
      <w:tr w14:paraId="38F16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tcPr>
          <w:p w14:paraId="713EDB0C">
            <w:r>
              <w:rPr>
                <w:b/>
                <w:bCs/>
              </w:rPr>
              <w:t>An appointment within the next two weeks must also be confirmed by telephone, and every contact attempt and its outcome must be recorded</w:t>
            </w:r>
          </w:p>
        </w:tc>
        <w:tc>
          <w:tcPr>
            <w:tcW w:w="4513" w:type="dxa"/>
          </w:tcPr>
          <w:p w14:paraId="29E0BE13">
            <w:r>
              <w:t>Exclusive gateway on appointment lead time, with a looping contact sub-process carrying boundary timer and error events</w:t>
            </w:r>
          </w:p>
        </w:tc>
      </w:tr>
      <w:tr w14:paraId="59291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tcPr>
          <w:p w14:paraId="07748278">
            <w:r>
              <w:rPr>
                <w:b/>
                <w:bCs/>
              </w:rPr>
              <w:t>If an external service is unavailable the booking stays pending, the responsible team is notified, retries are recorded and no duplicate appointment is created</w:t>
            </w:r>
          </w:p>
        </w:tc>
        <w:tc>
          <w:tcPr>
            <w:tcW w:w="4513" w:type="dxa"/>
          </w:tcPr>
          <w:p w14:paraId="361AFAF0">
            <w:r>
              <w:t>Boundary message or error event leading to an exception path with a pending state and a guarded re-attempt loop</w:t>
            </w:r>
          </w:p>
        </w:tc>
      </w:tr>
      <w:tr w14:paraId="19B5F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tcPr>
          <w:p w14:paraId="2BE7D38F">
            <w:r>
              <w:rPr>
                <w:b/>
                <w:bCs/>
              </w:rPr>
              <w:t>Payments declined, cancelled, duplicated or incomplete; payment taken by the provider but confirmation not returned</w:t>
            </w:r>
          </w:p>
        </w:tc>
        <w:tc>
          <w:tcPr>
            <w:tcW w:w="4513" w:type="dxa"/>
          </w:tcPr>
          <w:p w14:paraId="3294C2F5">
            <w:r>
              <w:t>Boundary error events on the payment task, an event-based gateway after the request is sent, and an investigation or compensation sub-process marked for manual resolution</w:t>
            </w:r>
          </w:p>
        </w:tc>
      </w:tr>
      <w:tr w14:paraId="2D27F6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tcPr>
          <w:p w14:paraId="2689E0F2">
            <w:r>
              <w:rPr>
                <w:b/>
                <w:bCs/>
              </w:rPr>
              <w:t>Clinical staff may authorise urgent treatment when delay would put the patient at risk, even without confirmed payment</w:t>
            </w:r>
          </w:p>
        </w:tc>
        <w:tc>
          <w:tcPr>
            <w:tcW w:w="4513" w:type="dxa"/>
          </w:tcPr>
          <w:p w14:paraId="3995E6C1">
            <w:r>
              <w:t>Escalation boundary event creating an urgent path that records the justification and refers the case to the Finance Team</w:t>
            </w:r>
          </w:p>
        </w:tc>
      </w:tr>
      <w:tr w14:paraId="7063C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tcPr>
          <w:p w14:paraId="43E55F3B">
            <w:r>
              <w:rPr>
                <w:b/>
                <w:bCs/>
              </w:rPr>
              <w:t>Clinic letters within seven days, weekly reminders, escalation at one month and at three months, with no unnecessary reminders after completion</w:t>
            </w:r>
          </w:p>
        </w:tc>
        <w:tc>
          <w:tcPr>
            <w:tcW w:w="4513" w:type="dxa"/>
          </w:tcPr>
          <w:p w14:paraId="38DA1DF4">
            <w:r>
              <w:t>Timer boundary event on the letter sub-process (seven days) and an event sub-process holding the weekly, one-month and three-month escalation timers, terminated when the letter is completed</w:t>
            </w:r>
          </w:p>
        </w:tc>
      </w:tr>
      <w:tr w14:paraId="2AC09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tcPr>
          <w:p w14:paraId="4C1277CF">
            <w:r>
              <w:rPr>
                <w:b/>
                <w:bCs/>
              </w:rPr>
              <w:t>Chemotherapy cycles with a clinical review and blood test before each cycle; delay or change when the patient is not fit</w:t>
            </w:r>
          </w:p>
        </w:tc>
        <w:tc>
          <w:tcPr>
            <w:tcW w:w="4513" w:type="dxa"/>
          </w:tcPr>
          <w:p w14:paraId="5C83F2DD">
            <w:r>
              <w:t>Multi-instance (looping) sub-process for treatment cycles with an exclusive gateway for the clinical decision, plus a Treatment Modification Request sub-process for authorised changes</w:t>
            </w:r>
          </w:p>
        </w:tc>
      </w:tr>
      <w:tr w14:paraId="7E7AB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tcPr>
          <w:p w14:paraId="77A5A46A">
            <w:r>
              <w:rPr>
                <w:b/>
                <w:bCs/>
              </w:rPr>
              <w:t>Every enquiry recorded, classified, prioritised and routed; urgency rules not yet agreed by the hospital</w:t>
            </w:r>
          </w:p>
        </w:tc>
        <w:tc>
          <w:tcPr>
            <w:tcW w:w="4513" w:type="dxa"/>
          </w:tcPr>
          <w:p w14:paraId="14FFA568">
            <w:r>
              <w:t>A classification and routing sub-process with lanes per team and an explicit gateway, with the missing urgency rule flagged as an open issue instead of being invented</w:t>
            </w:r>
          </w:p>
        </w:tc>
      </w:tr>
      <w:tr w14:paraId="045D7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tcPr>
          <w:p w14:paraId="0A2158D5">
            <w:r>
              <w:rPr>
                <w:b/>
                <w:bCs/>
              </w:rPr>
              <w:t>An auditable relationship between patient, referral, treatment request, appointment, funding decision, payment transaction and refund</w:t>
            </w:r>
          </w:p>
        </w:tc>
        <w:tc>
          <w:tcPr>
            <w:tcW w:w="4513" w:type="dxa"/>
          </w:tcPr>
          <w:p w14:paraId="6386A88F">
            <w:r>
              <w:t>Data objects and associations attached to the activities that create or change them, with the audit requirement carried as an annotated non-functional requirement (the data structure itself is better modelled in UML)</w:t>
            </w:r>
          </w:p>
        </w:tc>
      </w:tr>
      <w:tr w14:paraId="74CAF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tcPr>
          <w:p w14:paraId="34C345A6">
            <w:r>
              <w:rPr>
                <w:b/>
                <w:bCs/>
              </w:rPr>
              <w:t>Management reporting on waiting times, delayed letters, failed payments and pathway progress</w:t>
            </w:r>
          </w:p>
        </w:tc>
        <w:tc>
          <w:tcPr>
            <w:tcW w:w="4513" w:type="dxa"/>
          </w:tcPr>
          <w:p w14:paraId="6F6D8BD1">
            <w:r>
              <w:t>The AS-IS model is simulated and instrumented to produce those baseline measures, and its BPMN DI layout keeps the pathway readable for reporting</w:t>
            </w:r>
          </w:p>
        </w:tc>
      </w:tr>
    </w:tbl>
    <w:p w14:paraId="280ED856">
      <w:pPr>
        <w:rPr>
          <w:rStyle w:val="13"/>
        </w:rPr>
      </w:pPr>
    </w:p>
    <w:p w14:paraId="195B3C5F">
      <w:pPr>
        <w:rPr>
          <w:rStyle w:val="13"/>
        </w:rPr>
      </w:pPr>
    </w:p>
    <w:p w14:paraId="40C4685E">
      <w:pPr>
        <w:rPr>
          <w:rStyle w:val="13"/>
        </w:rPr>
      </w:pPr>
      <w:r>
        <w:rPr>
          <w:rStyle w:val="13"/>
        </w:rPr>
        <w:t>Task C</w:t>
      </w:r>
    </w:p>
    <w:p w14:paraId="48CD167F">
      <w:r>
        <w:t>What constitutes a good model? Discuss in your groups.</w:t>
      </w:r>
    </w:p>
    <w:p w14:paraId="3156D120"/>
    <w:p w14:paraId="2C5DD8FC">
      <w:r>
        <w:t>A model is good when it answers the question it was built to answer, at the right level of abstraction, unambiguously and economically, for its intended audience. Our group agreed on the following characteristics of a good model:</w:t>
      </w:r>
    </w:p>
    <w:p w14:paraId="2289C412">
      <w:pPr>
        <w:ind w:left="360" w:hanging="360"/>
      </w:pPr>
      <w:r>
        <w:t xml:space="preserve">•  </w:t>
      </w:r>
      <w:r>
        <w:rPr>
          <w:b/>
          <w:bCs/>
        </w:rPr>
        <w:t xml:space="preserve">Purposeful and scoped - </w:t>
      </w:r>
      <w:r>
        <w:t>it states its purpose, viewpoint (AS-IS or TO-BE, business or IT), scope and the question it answers. A model that tries to answer everything answers nothing.</w:t>
      </w:r>
    </w:p>
    <w:p w14:paraId="54EAD09E">
      <w:pPr>
        <w:ind w:left="360" w:hanging="360"/>
      </w:pPr>
      <w:r>
        <w:t xml:space="preserve">•  </w:t>
      </w:r>
      <w:r>
        <w:rPr>
          <w:b/>
          <w:bCs/>
        </w:rPr>
        <w:t xml:space="preserve">Correct and valid - </w:t>
      </w:r>
      <w:r>
        <w:t>it faithfully represents the real process or system, verified against evidence (documents, system data) and validated by the domain experts who do the work. It is also syntactically correct in its notation and semantically meaningful (gateways, events, multiplicities used properly).</w:t>
      </w:r>
    </w:p>
    <w:p w14:paraId="451044F9">
      <w:pPr>
        <w:ind w:left="360" w:hanging="360"/>
      </w:pPr>
      <w:r>
        <w:t xml:space="preserve">•  </w:t>
      </w:r>
      <w:r>
        <w:rPr>
          <w:b/>
          <w:bCs/>
        </w:rPr>
        <w:t xml:space="preserve">Clear and unambiguous - </w:t>
      </w:r>
      <w:r>
        <w:t>every element has exactly one reasonable interpretation. This needs consistent naming (verb-object activity labels, meaningful event names), disciplined use of the notation, and no decorative or unexplained symbols.</w:t>
      </w:r>
    </w:p>
    <w:p w14:paraId="08BC19E3">
      <w:pPr>
        <w:ind w:left="360" w:hanging="360"/>
      </w:pPr>
      <w:r>
        <w:t xml:space="preserve">•  </w:t>
      </w:r>
      <w:r>
        <w:rPr>
          <w:b/>
          <w:bCs/>
        </w:rPr>
        <w:t xml:space="preserve">Right level of abstraction - </w:t>
      </w:r>
      <w:r>
        <w:t>complete with respect to its purpose, but no more detailed than necessary, with uniform granularity across the model and hierarchical decomposition (sub-processes) instead of one enormous diagram.</w:t>
      </w:r>
    </w:p>
    <w:p w14:paraId="4B9469A7">
      <w:pPr>
        <w:ind w:left="360" w:hanging="360"/>
      </w:pPr>
      <w:r>
        <w:t xml:space="preserve">•  </w:t>
      </w:r>
      <w:r>
        <w:rPr>
          <w:b/>
          <w:bCs/>
        </w:rPr>
        <w:t xml:space="preserve">Understandable and communicative - </w:t>
      </w:r>
      <w:r>
        <w:t>the layout follows the natural reading direction, the flow is linear and little-crossed, the model fits on a page or screen, and the intended audience can read it without training. Understandability is the quality most often lost, so it should be tested (walkthroughs, comprehension checks).</w:t>
      </w:r>
    </w:p>
    <w:p w14:paraId="7C7A4637">
      <w:pPr>
        <w:ind w:left="360" w:hanging="360"/>
      </w:pPr>
      <w:r>
        <w:t xml:space="preserve">•  </w:t>
      </w:r>
      <w:r>
        <w:rPr>
          <w:b/>
          <w:bCs/>
        </w:rPr>
        <w:t xml:space="preserve">Consistent and comparable - </w:t>
      </w:r>
      <w:r>
        <w:t>the same conventions (naming, layout, level of detail, symbols) are used across every model in the repository, so that models can be compared, aggregated and reused.</w:t>
      </w:r>
    </w:p>
    <w:p w14:paraId="63C4744C">
      <w:pPr>
        <w:ind w:left="360" w:hanging="360"/>
      </w:pPr>
      <w:r>
        <w:t xml:space="preserve">•  </w:t>
      </w:r>
      <w:r>
        <w:rPr>
          <w:b/>
          <w:bCs/>
        </w:rPr>
        <w:t xml:space="preserve">Maintainable and reusable - </w:t>
      </w:r>
      <w:r>
        <w:t>it is stored in a repository, versioned, owned by someone, and cheap to update when the process changes; it is drawn at a level that survives minor change.</w:t>
      </w:r>
    </w:p>
    <w:p w14:paraId="0ECDAF47">
      <w:pPr>
        <w:ind w:left="360" w:hanging="360"/>
      </w:pPr>
      <w:r>
        <w:t xml:space="preserve">•  </w:t>
      </w:r>
      <w:r>
        <w:rPr>
          <w:b/>
          <w:bCs/>
        </w:rPr>
        <w:t xml:space="preserve">Traceable and defensible - </w:t>
      </w:r>
      <w:r>
        <w:t>elements can be traced back to the requirements and case-study evidence, and forward to design and implementation, so that decisions can be justified and audited.</w:t>
      </w:r>
    </w:p>
    <w:p w14:paraId="316E602B">
      <w:pPr>
        <w:ind w:left="360" w:hanging="360"/>
      </w:pPr>
      <w:r>
        <w:t xml:space="preserve">•  </w:t>
      </w:r>
      <w:r>
        <w:rPr>
          <w:b/>
          <w:bCs/>
        </w:rPr>
        <w:t xml:space="preserve">Economically efficient - </w:t>
      </w:r>
      <w:r>
        <w:t>the value the model delivers (communication, analysis, automation, compliance) exceeds the cost of producing and maintaining it. Over-modelling is a defect, not thoroughness.</w:t>
      </w:r>
    </w:p>
    <w:p w14:paraId="6BAF4B27">
      <w:pPr>
        <w:ind w:left="360" w:hanging="360"/>
      </w:pPr>
      <w:r>
        <w:t xml:space="preserve">•  </w:t>
      </w:r>
      <w:r>
        <w:rPr>
          <w:b/>
          <w:bCs/>
        </w:rPr>
        <w:t xml:space="preserve">Executable where that is the goal - </w:t>
      </w:r>
      <w:r>
        <w:t>if the model is meant to run or to be simulated, it must be complete and precise enough for the engine: explicit start and end states, no orphan flows, balanced splits and joins, and defined data.</w:t>
      </w:r>
    </w:p>
    <w:p w14:paraId="10724770">
      <w:r>
        <w:t>Applied to the hospital case study, a good AS-IS model is therefore one that makes the clinical, administrative and financial responsibilities and the seven-day clinic-letter target inspectable, and that records the ambiguity in the case (for example, the urgency rules for enquiries that the hospital has not yet agreed) as an explicit open issue rather than as an invented rule.</w:t>
      </w:r>
    </w:p>
    <w:p w14:paraId="7EFD7140">
      <w:pPr>
        <w:spacing w:before="200" w:after="60"/>
      </w:pPr>
      <w:r>
        <w:rPr>
          <w:b/>
          <w:bCs/>
        </w:rPr>
        <w:t>Accepted frameworks and guidelines we discussed</w:t>
      </w:r>
    </w:p>
    <w:p w14:paraId="63BA909C">
      <w:pPr>
        <w:ind w:left="360" w:hanging="360"/>
      </w:pPr>
      <w:r>
        <w:t xml:space="preserve">•  </w:t>
      </w:r>
      <w:r>
        <w:rPr>
          <w:b/>
          <w:bCs/>
        </w:rPr>
        <w:t xml:space="preserve">Seven Process Modelling Guidelines (7PMG; Mendling, Reijers and van der Aalst) - </w:t>
      </w:r>
      <w:r>
        <w:t>use as few elements as possible; minimise the routing paths per element; use one start and one end event; model as structured as possible (balanced splits and joins); avoid OR (inclusive) routing; use verb-object activity labels; decompose a model with more than about fifty elements.</w:t>
      </w:r>
    </w:p>
    <w:p w14:paraId="34B63708">
      <w:pPr>
        <w:ind w:left="360" w:hanging="360"/>
      </w:pPr>
      <w:r>
        <w:t xml:space="preserve">•  </w:t>
      </w:r>
      <w:r>
        <w:rPr>
          <w:b/>
          <w:bCs/>
        </w:rPr>
        <w:t xml:space="preserve">Guidelines of Modelling (GoM; Becker, Rosemann and Schutte) - </w:t>
      </w:r>
      <w:r>
        <w:t>correctness, relevance, economic efficiency, clarity, comparability and systematic design, applied in that order of priority: a model must first be correct, then relevant, and only then economical.</w:t>
      </w:r>
    </w:p>
    <w:p w14:paraId="02186B51">
      <w:pPr>
        <w:ind w:left="360" w:hanging="360"/>
      </w:pPr>
      <w:r>
        <w:t xml:space="preserve">•  </w:t>
      </w:r>
      <w:r>
        <w:rPr>
          <w:b/>
          <w:bCs/>
        </w:rPr>
        <w:t xml:space="preserve">SEQUAL (Krogstie) - </w:t>
      </w:r>
      <w:r>
        <w:t>quality across physical, empirical, syntactic, semantic, pragmatic, social and organisational levels. It is a useful reminder that a model can be technically correct and still be useless to the audience that has to act on it.</w:t>
      </w:r>
    </w:p>
    <w:p w14:paraId="0D6FBA24">
      <w:pPr>
        <w:spacing w:before="200" w:after="60"/>
      </w:pPr>
      <w:r>
        <w:rPr>
          <w:b/>
          <w:bCs/>
        </w:rPr>
        <w:t>How we checked our own models</w:t>
      </w:r>
    </w:p>
    <w:p w14:paraId="14241213">
      <w:pPr>
        <w:ind w:left="360" w:hanging="360"/>
      </w:pPr>
      <w:r>
        <w:t>•  A walkthrough with a group member who did not build the model, to see whether the process can be followed without explanation.</w:t>
      </w:r>
    </w:p>
    <w:p w14:paraId="295E183F">
      <w:pPr>
        <w:ind w:left="360" w:hanging="360"/>
      </w:pPr>
      <w:r>
        <w:t>•  A check against the 7PMG rules (element count, routing paths, structuredness, labelling).</w:t>
      </w:r>
    </w:p>
    <w:p w14:paraId="36779968">
      <w:pPr>
        <w:ind w:left="360" w:hanging="360"/>
      </w:pPr>
      <w:r>
        <w:t>•  A check that every lane matches a role named in the case study and that no administrative lane performs a clinical or financial authorisation, since that separation of duties is a stated requirement.</w:t>
      </w:r>
    </w:p>
    <w:p w14:paraId="1C7EFD6B">
      <w:pPr>
        <w:ind w:left="360" w:hanging="360"/>
      </w:pPr>
      <w:r>
        <w:t>•  Asking whether the model actually answers the case-study question, and whether every element can be justified by evidence from the case study.</w:t>
      </w:r>
    </w:p>
    <w:p w14:paraId="52D89258">
      <w:r>
        <w:t>A good model is therefore not the largest or the most detailed one: it is the simplest model that communicates the truth about the process accurately, to the right audience, for the purpose at hand. Detail that nobody uses is a cost, not a benefit.</w:t>
      </w:r>
    </w:p>
    <w:p w14:paraId="69EF693A">
      <w:pPr>
        <w:rPr>
          <w:rStyle w:val="13"/>
        </w:rPr>
      </w:pPr>
    </w:p>
    <w:p w14:paraId="046C997C">
      <w:pPr>
        <w:rPr>
          <w:rStyle w:val="13"/>
        </w:rPr>
      </w:pPr>
      <w:r>
        <w:rPr>
          <w:rStyle w:val="13"/>
        </w:rPr>
        <w:t>Task D</w:t>
      </w:r>
    </w:p>
    <w:p w14:paraId="51604937">
      <w:pPr>
        <w:rPr>
          <w:rStyle w:val="13"/>
        </w:rPr>
      </w:pPr>
      <w:r>
        <w:t xml:space="preserve">Upload your answers to the group repository you created during the last tutorial. </w:t>
      </w:r>
    </w:p>
    <w:p w14:paraId="23ADBD65">
      <w:pPr>
        <w:ind w:left="360" w:hanging="360"/>
      </w:pPr>
    </w:p>
    <w:sectPr>
      <w:pgSz w:w="11906" w:h="16838"/>
      <w:pgMar w:top="1440" w:right="1440" w:bottom="1440" w:left="1440" w:header="708" w:footer="708" w:gutter="0"/>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DengXian Light">
    <w:panose1 w:val="02010600030101010101"/>
    <w:charset w:val="86"/>
    <w:family w:val="auto"/>
    <w:pitch w:val="default"/>
    <w:sig w:usb0="A00002BF" w:usb1="38CF7CFA" w:usb2="00000016" w:usb3="00000000" w:csb0="0004000F" w:csb1="00000000"/>
  </w:font>
  <w:font w:name="DengXian">
    <w:panose1 w:val="02010600030101010101"/>
    <w:charset w:val="86"/>
    <w:family w:val="auto"/>
    <w:pitch w:val="default"/>
    <w:sig w:usb0="A00002BF" w:usb1="38CF7CFA" w:usb2="00000016" w:usb3="00000000" w:csb0="0004000F" w:csb1="00000000"/>
  </w:font>
  <w:font w:name="MS PGothic">
    <w:panose1 w:val="020B0600070205080204"/>
    <w:charset w:val="80"/>
    <w:family w:val="auto"/>
    <w:pitch w:val="default"/>
    <w:sig w:usb0="E00002FF" w:usb1="6AC7FDFB" w:usb2="08000012" w:usb3="00000000" w:csb0="4002009F" w:csb1="DFD7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ocumentProtection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43F5"/>
    <w:rsid w:val="00001987"/>
    <w:rsid w:val="00062B32"/>
    <w:rsid w:val="000944D2"/>
    <w:rsid w:val="001B42FE"/>
    <w:rsid w:val="001E16E8"/>
    <w:rsid w:val="0026177E"/>
    <w:rsid w:val="002808B2"/>
    <w:rsid w:val="00286A75"/>
    <w:rsid w:val="002B22DF"/>
    <w:rsid w:val="0031552C"/>
    <w:rsid w:val="003C5558"/>
    <w:rsid w:val="00461789"/>
    <w:rsid w:val="004B4954"/>
    <w:rsid w:val="0051149A"/>
    <w:rsid w:val="00526A2A"/>
    <w:rsid w:val="005543F5"/>
    <w:rsid w:val="00574809"/>
    <w:rsid w:val="00590B23"/>
    <w:rsid w:val="00663DBE"/>
    <w:rsid w:val="006B5F8E"/>
    <w:rsid w:val="00706056"/>
    <w:rsid w:val="007515C4"/>
    <w:rsid w:val="00790815"/>
    <w:rsid w:val="007E4DFF"/>
    <w:rsid w:val="008207D6"/>
    <w:rsid w:val="00833BDC"/>
    <w:rsid w:val="009F6745"/>
    <w:rsid w:val="00A1287E"/>
    <w:rsid w:val="00A27549"/>
    <w:rsid w:val="00AC3290"/>
    <w:rsid w:val="00AD0703"/>
    <w:rsid w:val="00AD412B"/>
    <w:rsid w:val="00B22886"/>
    <w:rsid w:val="00B25831"/>
    <w:rsid w:val="00C638BB"/>
    <w:rsid w:val="00D61783"/>
    <w:rsid w:val="00D857D2"/>
    <w:rsid w:val="00D93DE7"/>
    <w:rsid w:val="00ED2A27"/>
    <w:rsid w:val="00EE3E5A"/>
    <w:rsid w:val="00F46B57"/>
    <w:rsid w:val="00FD7726"/>
    <w:rsid w:val="00FE68E1"/>
    <w:rsid w:val="0279300E"/>
    <w:rsid w:val="02FA1E8C"/>
    <w:rsid w:val="07A3699B"/>
    <w:rsid w:val="0D1169C4"/>
    <w:rsid w:val="0F0543A5"/>
    <w:rsid w:val="1BAE1A12"/>
    <w:rsid w:val="1C1D316C"/>
    <w:rsid w:val="1FD7A22F"/>
    <w:rsid w:val="262DE032"/>
    <w:rsid w:val="26AF3C01"/>
    <w:rsid w:val="2991F970"/>
    <w:rsid w:val="33E77889"/>
    <w:rsid w:val="3925DE30"/>
    <w:rsid w:val="3AC16587"/>
    <w:rsid w:val="4090EC1C"/>
    <w:rsid w:val="44524DAB"/>
    <w:rsid w:val="460FBE6C"/>
    <w:rsid w:val="4834F0A6"/>
    <w:rsid w:val="494B4C9B"/>
    <w:rsid w:val="4DE0CEDD"/>
    <w:rsid w:val="5475628C"/>
    <w:rsid w:val="5D7FB382"/>
    <w:rsid w:val="5EF5FFF5"/>
    <w:rsid w:val="655D5954"/>
    <w:rsid w:val="69D78061"/>
    <w:rsid w:val="6EB64310"/>
    <w:rsid w:val="7285FDD6"/>
    <w:rsid w:val="73E8D856"/>
    <w:rsid w:val="741D9E5E"/>
    <w:rsid w:val="78736809"/>
    <w:rsid w:val="795233F1"/>
    <w:rsid w:val="7AF42789"/>
    <w:rsid w:val="7D9A2E24"/>
    <w:rsid w:val="7E73576A"/>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HAnsi" w:cstheme="minorBidi"/>
      <w:sz w:val="24"/>
      <w:szCs w:val="24"/>
      <w:lang w:val="en-GB" w:eastAsia="en-US" w:bidi="ar-SA"/>
    </w:rPr>
  </w:style>
  <w:style w:type="paragraph" w:styleId="2">
    <w:name w:val="heading 1"/>
    <w:basedOn w:val="1"/>
    <w:next w:val="1"/>
    <w:link w:val="12"/>
    <w:qFormat/>
    <w:uiPriority w:val="9"/>
    <w:pPr>
      <w:keepNext/>
      <w:keepLines/>
      <w:spacing w:before="240"/>
      <w:outlineLvl w:val="0"/>
    </w:pPr>
    <w:rPr>
      <w:rFonts w:asciiTheme="majorHAnsi" w:hAnsiTheme="majorHAnsi" w:eastAsiaTheme="majorEastAsia" w:cstheme="majorBidi"/>
      <w:color w:val="2F5597" w:themeColor="accent1" w:themeShade="BF"/>
      <w:sz w:val="32"/>
      <w:szCs w:val="32"/>
    </w:rPr>
  </w:style>
  <w:style w:type="paragraph" w:styleId="3">
    <w:name w:val="heading 2"/>
    <w:basedOn w:val="1"/>
    <w:next w:val="1"/>
    <w:link w:val="13"/>
    <w:unhideWhenUsed/>
    <w:qFormat/>
    <w:uiPriority w:val="9"/>
    <w:pPr>
      <w:keepNext/>
      <w:keepLines/>
      <w:spacing w:before="40"/>
      <w:outlineLvl w:val="1"/>
    </w:pPr>
    <w:rPr>
      <w:rFonts w:asciiTheme="majorHAnsi" w:hAnsiTheme="majorHAnsi" w:eastAsiaTheme="majorEastAsia" w:cstheme="majorBidi"/>
      <w:color w:val="2F5597" w:themeColor="accent1" w:themeShade="BF"/>
      <w:sz w:val="26"/>
      <w:szCs w:val="26"/>
    </w:rPr>
  </w:style>
  <w:style w:type="paragraph" w:styleId="4">
    <w:name w:val="heading 3"/>
    <w:basedOn w:val="1"/>
    <w:next w:val="1"/>
    <w:link w:val="14"/>
    <w:unhideWhenUsed/>
    <w:qFormat/>
    <w:uiPriority w:val="9"/>
    <w:pPr>
      <w:keepNext/>
      <w:keepLines/>
      <w:spacing w:before="40"/>
      <w:outlineLvl w:val="2"/>
    </w:pPr>
    <w:rPr>
      <w:rFonts w:asciiTheme="majorHAnsi" w:hAnsiTheme="majorHAnsi" w:eastAsiaTheme="majorEastAsia" w:cstheme="majorBidi"/>
      <w:color w:val="203864" w:themeColor="accent1" w:themeShade="80"/>
    </w:rPr>
  </w:style>
  <w:style w:type="character" w:default="1" w:styleId="9">
    <w:name w:val="Default Paragraph Font"/>
    <w:semiHidden/>
    <w:unhideWhenUsed/>
    <w:uiPriority w:val="1"/>
  </w:style>
  <w:style w:type="table" w:default="1" w:styleId="7">
    <w:name w:val="Normal Table"/>
    <w:semiHidden/>
    <w:unhideWhenUsed/>
    <w:uiPriority w:val="99"/>
    <w:tblPr>
      <w:tblCellMar>
        <w:top w:w="0" w:type="dxa"/>
        <w:left w:w="108" w:type="dxa"/>
        <w:bottom w:w="0" w:type="dxa"/>
        <w:right w:w="108" w:type="dxa"/>
      </w:tblCellMar>
    </w:tblPr>
  </w:style>
  <w:style w:type="paragraph" w:styleId="5">
    <w:name w:val="caption"/>
    <w:basedOn w:val="1"/>
    <w:next w:val="1"/>
    <w:unhideWhenUsed/>
    <w:qFormat/>
    <w:uiPriority w:val="35"/>
    <w:pPr>
      <w:spacing w:after="200"/>
    </w:pPr>
    <w:rPr>
      <w:i/>
      <w:iCs/>
      <w:color w:val="44546A" w:themeColor="text2"/>
      <w:sz w:val="18"/>
      <w:szCs w:val="18"/>
      <w14:textFill>
        <w14:solidFill>
          <w14:schemeClr w14:val="tx2"/>
        </w14:solidFill>
      </w14:textFill>
    </w:rPr>
  </w:style>
  <w:style w:type="paragraph" w:styleId="6">
    <w:name w:val="Normal (Web)"/>
    <w:basedOn w:val="1"/>
    <w:unhideWhenUsed/>
    <w:uiPriority w:val="99"/>
    <w:pPr>
      <w:spacing w:before="100" w:beforeAutospacing="1" w:after="100" w:afterAutospacing="1"/>
    </w:pPr>
    <w:rPr>
      <w:rFonts w:ascii="Times New Roman" w:hAnsi="Times New Roman" w:eastAsia="Times New Roman" w:cs="Times New Roman"/>
      <w:lang w:eastAsia="en-GB"/>
    </w:rPr>
  </w:style>
  <w:style w:type="table" w:styleId="8">
    <w:name w:val="Table Grid"/>
    <w:basedOn w:val="7"/>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0">
    <w:name w:val="Hyperlink"/>
    <w:basedOn w:val="9"/>
    <w:unhideWhenUsed/>
    <w:uiPriority w:val="99"/>
    <w:rPr>
      <w:color w:val="0563C1" w:themeColor="hyperlink"/>
      <w:u w:val="single"/>
      <w14:textFill>
        <w14:solidFill>
          <w14:schemeClr w14:val="hlink"/>
        </w14:solidFill>
      </w14:textFill>
    </w:rPr>
  </w:style>
  <w:style w:type="paragraph" w:styleId="11">
    <w:name w:val="List Paragraph"/>
    <w:basedOn w:val="1"/>
    <w:qFormat/>
    <w:uiPriority w:val="34"/>
    <w:pPr>
      <w:ind w:left="720"/>
      <w:contextualSpacing/>
    </w:pPr>
  </w:style>
  <w:style w:type="character" w:customStyle="1" w:styleId="12">
    <w:name w:val="Heading 1 Char"/>
    <w:basedOn w:val="9"/>
    <w:link w:val="2"/>
    <w:uiPriority w:val="9"/>
    <w:rPr>
      <w:rFonts w:asciiTheme="majorHAnsi" w:hAnsiTheme="majorHAnsi" w:eastAsiaTheme="majorEastAsia" w:cstheme="majorBidi"/>
      <w:color w:val="2F5597" w:themeColor="accent1" w:themeShade="BF"/>
      <w:sz w:val="32"/>
      <w:szCs w:val="32"/>
    </w:rPr>
  </w:style>
  <w:style w:type="character" w:customStyle="1" w:styleId="13">
    <w:name w:val="Heading 2 Char"/>
    <w:basedOn w:val="9"/>
    <w:link w:val="3"/>
    <w:uiPriority w:val="9"/>
    <w:rPr>
      <w:rFonts w:asciiTheme="majorHAnsi" w:hAnsiTheme="majorHAnsi" w:eastAsiaTheme="majorEastAsia" w:cstheme="majorBidi"/>
      <w:color w:val="2F5597" w:themeColor="accent1" w:themeShade="BF"/>
      <w:sz w:val="26"/>
      <w:szCs w:val="26"/>
    </w:rPr>
  </w:style>
  <w:style w:type="character" w:customStyle="1" w:styleId="14">
    <w:name w:val="Heading 3 Char"/>
    <w:basedOn w:val="9"/>
    <w:link w:val="4"/>
    <w:uiPriority w:val="9"/>
    <w:rPr>
      <w:rFonts w:asciiTheme="majorHAnsi" w:hAnsiTheme="majorHAnsi" w:eastAsiaTheme="majorEastAsia" w:cstheme="majorBidi"/>
      <w:color w:val="203864" w:themeColor="accent1" w:themeShade="80"/>
      <w:sz w:val="24"/>
      <w:szCs w:val="24"/>
    </w:rPr>
  </w:style>
  <w:style w:type="character" w:customStyle="1" w:styleId="15">
    <w:name w:val="Unresolved Mention"/>
    <w:basedOn w:val="9"/>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FF0A23-84A6-0B4B-934F-768C17F63010}">
  <ds:schemaRefs/>
</ds:datastoreItem>
</file>

<file path=docProps/app.xml><?xml version="1.0" encoding="utf-8"?>
<Properties xmlns="http://schemas.openxmlformats.org/officeDocument/2006/extended-properties" xmlns:vt="http://schemas.openxmlformats.org/officeDocument/2006/docPropsVTypes">
  <Template>Normal.dotm</Template>
  <Pages>7</Pages>
  <Words>1770</Words>
  <Characters>10391</Characters>
  <Lines>5</Lines>
  <Paragraphs>1</Paragraphs>
  <TotalTime>39</TotalTime>
  <ScaleCrop>false</ScaleCrop>
  <LinksUpToDate>false</LinksUpToDate>
  <CharactersWithSpaces>12112</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2022-10-13T10:27:00Z</dcterms:created>
  <dc:creator>Dilshan Jayatilake</dc:creator>
  <cp:lastModifiedBy>Ko梦</cp:lastModifiedBy>
  <dcterms:modified xsi:type="dcterms:W3CDTF">2026-09-17T03:24:46Z</dcterms:modified>
  <cp:revision>55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eyJoZGlkIjoiM2I2OTNmMTliOWY0NDg3OGQ3YjM5ZGIwM2VkYTJjNjYiLCJ1c2VySWQiOiIxNTQzMzQ5Nzc2In0=</vt:lpwstr>
  </property>
  <property fmtid="{D5CDD505-2E9C-101B-9397-08002B2CF9AE}" pid="3" name="KSOProductBuildVer">
    <vt:lpwstr>2052-12.1.0.28505</vt:lpwstr>
  </property>
  <property fmtid="{D5CDD505-2E9C-101B-9397-08002B2CF9AE}" pid="4" name="ICV">
    <vt:lpwstr>DB72BF7250704D45B200AD4CEC28AA49_12</vt:lpwstr>
  </property>
</Properties>
</file>