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default" w:eastAsia="宋体"/>
          <w:b/>
          <w:bCs/>
          <w:sz w:val="28"/>
          <w:lang w:val="en-US" w:eastAsia="zh-CN"/>
        </w:rPr>
      </w:pPr>
      <w:r>
        <w:rPr>
          <w:rFonts w:hint="default" w:eastAsia="宋体"/>
          <w:b/>
          <w:bCs/>
          <w:sz w:val="28"/>
          <w:lang w:val="en-US" w:eastAsia="zh-CN"/>
        </w:rPr>
        <w:t>基于PyTorch的医学图像处理</w:t>
      </w:r>
    </w:p>
    <w:p>
      <w:pPr>
        <w:rPr>
          <w:rFonts w:hint="eastAsia" w:ascii="楷体_GB2312" w:eastAsia="楷体_GB2312"/>
          <w:sz w:val="22"/>
        </w:rPr>
      </w:pPr>
    </w:p>
    <w:tbl>
      <w:tblPr>
        <w:tblStyle w:val="7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"/>
        <w:gridCol w:w="785"/>
        <w:gridCol w:w="786"/>
        <w:gridCol w:w="785"/>
        <w:gridCol w:w="786"/>
        <w:gridCol w:w="785"/>
        <w:gridCol w:w="786"/>
        <w:gridCol w:w="117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题号</w:t>
            </w:r>
          </w:p>
        </w:tc>
        <w:tc>
          <w:tcPr>
            <w:tcW w:w="78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一</w:t>
            </w:r>
          </w:p>
        </w:tc>
        <w:tc>
          <w:tcPr>
            <w:tcW w:w="7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二</w:t>
            </w:r>
          </w:p>
        </w:tc>
        <w:tc>
          <w:tcPr>
            <w:tcW w:w="78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三</w:t>
            </w:r>
          </w:p>
        </w:tc>
        <w:tc>
          <w:tcPr>
            <w:tcW w:w="7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四</w:t>
            </w:r>
          </w:p>
        </w:tc>
        <w:tc>
          <w:tcPr>
            <w:tcW w:w="78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五</w:t>
            </w:r>
          </w:p>
        </w:tc>
        <w:tc>
          <w:tcPr>
            <w:tcW w:w="7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六</w:t>
            </w:r>
          </w:p>
        </w:tc>
        <w:tc>
          <w:tcPr>
            <w:tcW w:w="117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总分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满分</w:t>
            </w:r>
          </w:p>
        </w:tc>
        <w:tc>
          <w:tcPr>
            <w:tcW w:w="78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7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得分</w:t>
            </w:r>
          </w:p>
        </w:tc>
        <w:tc>
          <w:tcPr>
            <w:tcW w:w="78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5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786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  <w:tc>
          <w:tcPr>
            <w:tcW w:w="1173" w:type="dxa"/>
            <w:noWrap w:val="0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</w:tbl>
    <w:p>
      <w:pPr>
        <w:rPr>
          <w:rFonts w:hint="eastAsia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13"/>
        <w:gridCol w:w="121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8613" w:type="dxa"/>
            <w:vMerge w:val="restart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一、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实际应用题</w:t>
            </w:r>
            <w:r>
              <w:rPr>
                <w:rFonts w:hint="eastAsia" w:ascii="黑体" w:eastAsia="黑体"/>
                <w:sz w:val="24"/>
              </w:rPr>
              <w:t>（每题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100</w:t>
            </w:r>
            <w:r>
              <w:rPr>
                <w:rFonts w:hint="eastAsia" w:ascii="黑体" w:eastAsia="黑体"/>
                <w:sz w:val="24"/>
              </w:rPr>
              <w:t>分，共</w:t>
            </w:r>
            <w:r>
              <w:rPr>
                <w:rFonts w:hint="eastAsia" w:ascii="黑体" w:eastAsia="黑体"/>
                <w:sz w:val="24"/>
                <w:lang w:val="en-US" w:eastAsia="zh-CN"/>
              </w:rPr>
              <w:t>100</w:t>
            </w:r>
            <w:r>
              <w:rPr>
                <w:rFonts w:hint="eastAsia" w:ascii="黑体" w:eastAsia="黑体"/>
                <w:sz w:val="24"/>
              </w:rPr>
              <w:t>分）</w:t>
            </w:r>
          </w:p>
        </w:tc>
        <w:tc>
          <w:tcPr>
            <w:tcW w:w="121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  <w:szCs w:val="28"/>
              </w:rPr>
              <w:t>得分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613" w:type="dxa"/>
            <w:vMerge w:val="continue"/>
            <w:tcBorders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黑体" w:eastAsia="黑体"/>
                <w:sz w:val="24"/>
              </w:rPr>
            </w:pPr>
          </w:p>
        </w:tc>
        <w:tc>
          <w:tcPr>
            <w:tcW w:w="12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8"/>
                <w:szCs w:val="28"/>
              </w:rPr>
            </w:pPr>
          </w:p>
        </w:tc>
      </w:tr>
    </w:tbl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根据课程中所学习关于智慧医疗的知识点，针对某一个具体的医学案例，自行设计Pytorch模型进行实现，并提交相关的实验文档。实验文档需要包含</w:t>
      </w:r>
      <w:r>
        <w:rPr>
          <w:rFonts w:hint="eastAsia"/>
        </w:rPr>
        <w:t>选题与数据集选择</w:t>
      </w:r>
      <w:r>
        <w:rPr>
          <w:rFonts w:hint="eastAsia"/>
          <w:lang w:val="en-US" w:eastAsia="zh-CN"/>
        </w:rPr>
        <w:t>、</w:t>
      </w:r>
      <w:r>
        <w:rPr>
          <w:rFonts w:hint="eastAsia"/>
        </w:rPr>
        <w:t>数据预处理</w:t>
      </w:r>
      <w:r>
        <w:rPr>
          <w:rFonts w:hint="eastAsia"/>
          <w:lang w:eastAsia="zh-CN"/>
        </w:rPr>
        <w:t>、</w:t>
      </w:r>
      <w:r>
        <w:rPr>
          <w:rFonts w:hint="eastAsia"/>
        </w:rPr>
        <w:t>模型构建</w:t>
      </w:r>
      <w:r>
        <w:rPr>
          <w:rFonts w:hint="eastAsia"/>
          <w:lang w:val="en-US" w:eastAsia="zh-CN"/>
        </w:rPr>
        <w:t>、</w:t>
      </w:r>
      <w:r>
        <w:rPr>
          <w:rFonts w:hint="eastAsia"/>
        </w:rPr>
        <w:t>模型训练与调优</w:t>
      </w:r>
      <w:r>
        <w:rPr>
          <w:rFonts w:hint="eastAsia"/>
          <w:lang w:val="en-US" w:eastAsia="zh-CN"/>
        </w:rPr>
        <w:t>、</w:t>
      </w:r>
      <w:r>
        <w:rPr>
          <w:rFonts w:hint="eastAsia"/>
        </w:rPr>
        <w:t>模型评估</w:t>
      </w:r>
      <w:r>
        <w:rPr>
          <w:rFonts w:hint="eastAsia"/>
          <w:lang w:val="en-US" w:eastAsia="zh-CN"/>
        </w:rPr>
        <w:t>和总结。具体要求如下：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选题与数据集选择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任务描述：每位同学需自选一个医学相关的主题，如X光片分类、CT扫描病变检测、病理切片细胞分类等，并找到合适的数据集。</w:t>
      </w:r>
      <w:bookmarkStart w:id="4" w:name="_GoBack"/>
      <w:bookmarkEnd w:id="4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建议数据集：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"https://www.kaggle.com/paultimothymooney/chest-xray-pneumonia" \t "https://tongyi.aliyun.com/qianwen/_blank"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Chest X-Ray Images (Pneumonia)</w:t>
      </w:r>
      <w:r>
        <w:rPr>
          <w:rFonts w:hint="eastAsia"/>
        </w:rPr>
        <w:fldChar w:fldCharType="end"/>
      </w:r>
      <w:r>
        <w:rPr>
          <w:rFonts w:hint="eastAsia"/>
          <w:lang w:eastAsia="zh-CN"/>
        </w:rPr>
        <w:t>；</w:t>
      </w:r>
    </w:p>
    <w:p>
      <w:pPr>
        <w:ind w:firstLine="420" w:firstLineChars="0"/>
        <w:rPr>
          <w:rFonts w:hint="eastAsia" w:eastAsia="宋体"/>
          <w:lang w:eastAsia="zh-CN"/>
        </w:rPr>
      </w:pPr>
      <w:bookmarkStart w:id="0" w:name="OLE_LINK1"/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"https://www.isic-archive.com/" \t "https://tongyi.aliyun.com/qianwen/_blank"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ISIC Archive</w:t>
      </w:r>
      <w:r>
        <w:rPr>
          <w:rFonts w:hint="eastAsia"/>
        </w:rPr>
        <w:fldChar w:fldCharType="end"/>
      </w:r>
      <w:bookmarkEnd w:id="0"/>
      <w:r>
        <w:rPr>
          <w:rFonts w:hint="eastAsia"/>
        </w:rPr>
        <w:t>（皮肤癌检测）</w:t>
      </w:r>
      <w:r>
        <w:rPr>
          <w:rFonts w:hint="eastAsia"/>
          <w:lang w:eastAsia="zh-CN"/>
        </w:rPr>
        <w:t>；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"https://www.kaggle.com/c/rsna-pneumonia-detection-challenge" \t "https://tongyi.aliyun.com/qianwen/_blank" </w:instrText>
      </w:r>
      <w:r>
        <w:rPr>
          <w:rFonts w:hint="eastAsia"/>
        </w:rPr>
        <w:fldChar w:fldCharType="separate"/>
      </w:r>
      <w:r>
        <w:rPr>
          <w:rFonts w:hint="eastAsia"/>
        </w:rPr>
        <w:t>RSNA Pneumonia Detection Challenge</w:t>
      </w:r>
      <w:r>
        <w:rPr>
          <w:rFonts w:hint="eastAsia"/>
        </w:rPr>
        <w:fldChar w:fldCharType="end"/>
      </w:r>
      <w:r>
        <w:rPr>
          <w:rFonts w:hint="eastAsia"/>
        </w:rPr>
        <w:t>（肺炎检测）</w:t>
      </w:r>
      <w:r>
        <w:rPr>
          <w:rFonts w:hint="eastAsia"/>
          <w:lang w:eastAsia="zh-CN"/>
        </w:rPr>
        <w:t>；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或者其他公开医学图像数据集。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</w:rPr>
        <w:t>交付物：</w:t>
      </w:r>
      <w:r>
        <w:rPr>
          <w:rFonts w:hint="eastAsia"/>
          <w:lang w:val="en-US" w:eastAsia="zh-CN"/>
        </w:rPr>
        <w:t>介绍选题研究的背景与意义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数据预处理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任务描述：对选定的数据集进行预处理，包括但不限于归一化、裁剪、增强（如翻转、旋转、缩放等），确保数据适用于训练 CNN 模型。</w:t>
      </w:r>
    </w:p>
    <w:p>
      <w:pPr>
        <w:ind w:firstLine="420" w:firstLineChars="0"/>
        <w:rPr>
          <w:rFonts w:hint="eastAsia"/>
        </w:rPr>
      </w:pPr>
      <w:bookmarkStart w:id="1" w:name="OLE_LINK4"/>
      <w:r>
        <w:rPr>
          <w:rFonts w:hint="eastAsia"/>
        </w:rPr>
        <w:t>交付物：代码片段展示数据预处理过程，以及说明为什么选择这些预处理方法。</w:t>
      </w:r>
      <w:bookmarkEnd w:id="1"/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模型构建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任务描述：使用 PyTorch 构建一个 CNN 模型，可以选择经典的架构（如 ResNet、VGG、DenseNet 等）或者自行设计新的架构。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交付物：模型定义代码，包含每一层的具体参数设置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介绍模型的结构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</w:rPr>
        <w:t>模型训练与调优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任务描述：编写代码实现模型的训练过程，包括损失函数的选择、优化器配置、学习率调度等；同时进行超参数调优以获得更好的性能。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交付物：训练脚本及结果图表（准确率、损失曲线等），并解释调优过程中遇到的问题及解决方案。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  <w:lang w:eastAsia="zh-CN"/>
        </w:rPr>
        <w:t>）</w:t>
      </w:r>
      <w:r>
        <w:rPr>
          <w:rFonts w:hint="eastAsia"/>
        </w:rPr>
        <w:t xml:space="preserve"> </w:t>
      </w:r>
      <w:bookmarkStart w:id="2" w:name="OLE_LINK3"/>
      <w:r>
        <w:rPr>
          <w:rFonts w:hint="eastAsia"/>
        </w:rPr>
        <w:t>模型评估</w:t>
      </w:r>
      <w:bookmarkEnd w:id="2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任务描述：使用测试集评估模型的表现，计算各种评价指标（如准确率、精确度、召回率、F1分数等）。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交付物：评估报告，列出所有评价指标的结果，并讨论模型的优势与不足之处。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评分细则</w:t>
      </w:r>
      <w:r>
        <w:rPr>
          <w:rFonts w:hint="eastAsia"/>
        </w:rPr>
        <w:t>：</w:t>
      </w:r>
    </w:p>
    <w:p>
      <w:pPr>
        <w:ind w:firstLine="420" w:firstLineChars="200"/>
        <w:rPr>
          <w:rFonts w:hint="eastAsia"/>
        </w:rPr>
      </w:pPr>
      <w:bookmarkStart w:id="3" w:name="OLE_LINK2"/>
      <w:r>
        <w:rPr>
          <w:rFonts w:hint="eastAsia"/>
          <w:lang w:val="en-US" w:eastAsia="zh-CN"/>
        </w:rPr>
        <w:t>在代码正确运行的基础上，</w:t>
      </w:r>
      <w:r>
        <w:rPr>
          <w:rFonts w:hint="eastAsia"/>
        </w:rPr>
        <w:t>成绩主要</w:t>
      </w:r>
      <w:r>
        <w:rPr>
          <w:rFonts w:hint="eastAsia"/>
          <w:lang w:val="en-US" w:eastAsia="zh-CN"/>
        </w:rPr>
        <w:t>根据实验文档决定</w:t>
      </w:r>
      <w:r>
        <w:rPr>
          <w:rFonts w:hint="eastAsia"/>
        </w:rPr>
        <w:t>，</w:t>
      </w:r>
      <w:r>
        <w:rPr>
          <w:rFonts w:hint="eastAsia"/>
          <w:lang w:val="en-US" w:eastAsia="zh-CN"/>
        </w:rPr>
        <w:t>包含文档的书写情况、实验效果、具体分析等</w:t>
      </w:r>
      <w:r>
        <w:rPr>
          <w:rFonts w:hint="eastAsia"/>
        </w:rPr>
        <w:t>。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主要包括：</w:t>
      </w:r>
    </w:p>
    <w:bookmarkEnd w:id="3"/>
    <w:tbl>
      <w:tblPr>
        <w:tblStyle w:val="8"/>
        <w:tblpPr w:leftFromText="180" w:rightFromText="180" w:vertAnchor="text" w:horzAnchor="page" w:tblpXSpec="center" w:tblpY="12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4"/>
        <w:gridCol w:w="693"/>
        <w:gridCol w:w="4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数据集选择与预处理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1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0分</w:t>
            </w:r>
          </w:p>
        </w:tc>
        <w:tc>
          <w:tcPr>
            <w:tcW w:w="4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数据集的适当性，预处理方法的有效性和合理性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模型构建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20分</w:t>
            </w:r>
          </w:p>
        </w:tc>
        <w:tc>
          <w:tcPr>
            <w:tcW w:w="4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模型架构的设计是否合理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模型训练与调优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3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0分</w:t>
            </w:r>
          </w:p>
        </w:tc>
        <w:tc>
          <w:tcPr>
            <w:tcW w:w="4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训练过程的完整性，调优策略的有效性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模型评估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20分</w:t>
            </w:r>
          </w:p>
        </w:tc>
        <w:tc>
          <w:tcPr>
            <w:tcW w:w="4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评估方法的科学性，结果分析的深度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结果展示与总结</w:t>
            </w:r>
          </w:p>
        </w:tc>
        <w:tc>
          <w:tcPr>
            <w:tcW w:w="0" w:type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20分</w:t>
            </w:r>
          </w:p>
        </w:tc>
        <w:tc>
          <w:tcPr>
            <w:tcW w:w="461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2C2C36"/>
                <w:spacing w:val="1"/>
                <w:kern w:val="0"/>
                <w:sz w:val="21"/>
                <w:szCs w:val="21"/>
                <w:lang w:val="en-US" w:eastAsia="zh-CN" w:bidi="ar"/>
              </w:rPr>
              <w:t>展示内容的清晰度，逻辑结构的严谨性</w:t>
            </w:r>
          </w:p>
        </w:tc>
      </w:tr>
    </w:tbl>
    <w:p>
      <w:pPr>
        <w:spacing w:line="360" w:lineRule="auto"/>
        <w:rPr>
          <w:rFonts w:hint="eastAsia"/>
          <w:b/>
          <w:color w:val="FF0000"/>
          <w:sz w:val="28"/>
          <w:szCs w:val="28"/>
          <w:u w:val="single"/>
        </w:rPr>
      </w:pPr>
    </w:p>
    <w:p>
      <w:pPr>
        <w:jc w:val="center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7" w:h="16840"/>
      <w:pgMar w:top="500" w:right="567" w:bottom="935" w:left="1620" w:header="699" w:footer="563" w:gutter="0"/>
      <w:pgBorders>
        <w:top w:val="single" w:color="auto" w:sz="12" w:space="3"/>
        <w:left w:val="single" w:color="auto" w:sz="12" w:space="3"/>
        <w:bottom w:val="single" w:color="auto" w:sz="12" w:space="3"/>
        <w:right w:val="single" w:color="auto" w:sz="12" w:space="3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/>
      </w:rPr>
    </w:pPr>
    <w:r>
      <w:rPr>
        <w:rFonts w:hint="eastAsia"/>
      </w:rPr>
      <w:t xml:space="preserve">长沙学院教务处监制                         第 </w:t>
    </w:r>
    <w:r>
      <w:rPr>
        <w:rStyle w:val="11"/>
      </w:rPr>
      <w:fldChar w:fldCharType="begin"/>
    </w:r>
    <w:r>
      <w:rPr>
        <w:rStyle w:val="11"/>
      </w:rPr>
      <w:instrText xml:space="preserve"> PAGE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Fonts w:hint="eastAsia"/>
      </w:rPr>
      <w:t xml:space="preserve"> 页 共 </w:t>
    </w:r>
    <w:r>
      <w:rPr>
        <w:rStyle w:val="11"/>
      </w:rPr>
      <w:fldChar w:fldCharType="begin"/>
    </w:r>
    <w:r>
      <w:rPr>
        <w:rStyle w:val="11"/>
      </w:rPr>
      <w:instrText xml:space="preserve"> NUMPAGES </w:instrText>
    </w:r>
    <w:r>
      <w:rPr>
        <w:rStyle w:val="11"/>
      </w:rPr>
      <w:fldChar w:fldCharType="separate"/>
    </w:r>
    <w:r>
      <w:rPr>
        <w:rStyle w:val="11"/>
      </w:rPr>
      <w:t>1</w:t>
    </w:r>
    <w:r>
      <w:rPr>
        <w:rStyle w:val="11"/>
      </w:rPr>
      <w:fldChar w:fldCharType="end"/>
    </w:r>
    <w:r>
      <w:rPr>
        <w:rFonts w:hint="eastAsia"/>
      </w:rPr>
      <w:t xml:space="preserve"> 页                      出卷日期：20</w:t>
    </w:r>
    <w:r>
      <w:rPr>
        <w:rFonts w:hint="eastAsia"/>
        <w:lang w:val="en-US" w:eastAsia="zh-CN"/>
      </w:rPr>
      <w:t>24</w:t>
    </w:r>
    <w:r>
      <w:rPr>
        <w:rFonts w:hint="eastAsia"/>
      </w:rPr>
      <w:t xml:space="preserve"> 年 </w:t>
    </w:r>
    <w:r>
      <w:rPr>
        <w:rFonts w:hint="eastAsia"/>
        <w:lang w:val="en-US" w:eastAsia="zh-CN"/>
      </w:rPr>
      <w:t>12</w:t>
    </w:r>
    <w:r>
      <w:rPr>
        <w:rFonts w:hint="eastAsia"/>
      </w:rPr>
      <w:t xml:space="preserve"> 月 </w:t>
    </w:r>
    <w:r>
      <w:rPr>
        <w:rFonts w:hint="eastAsia"/>
        <w:lang w:val="en-US" w:eastAsia="zh-CN"/>
      </w:rPr>
      <w:t>13</w:t>
    </w:r>
    <w:r>
      <w:rPr>
        <w:rFonts w:hint="eastAsia"/>
      </w:rPr>
      <w:t xml:space="preserve"> 日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spacing w:line="640" w:lineRule="exact"/>
      <w:rPr>
        <w:rFonts w:hint="eastAsia" w:eastAsia="楷体_GB2312"/>
        <w:b/>
        <w:bCs/>
        <w:sz w:val="44"/>
        <w:szCs w:val="44"/>
      </w:rPr>
    </w:pPr>
    <w:r>
      <w:rPr>
        <w:rFonts w:hint="eastAsia" w:eastAsia="楷体_GB2312"/>
        <w:b/>
        <w:bCs/>
        <w:sz w:val="44"/>
        <w:szCs w:val="44"/>
      </w:rPr>
      <w:t>长 沙 学 院 课 程 考 核 试 卷</w:t>
    </w:r>
  </w:p>
  <w:p>
    <w:pPr>
      <w:pStyle w:val="6"/>
      <w:pBdr>
        <w:bottom w:val="none" w:color="auto" w:sz="0" w:space="0"/>
      </w:pBdr>
      <w:spacing w:line="360" w:lineRule="auto"/>
      <w:ind w:firstLine="420" w:firstLineChars="200"/>
      <w:jc w:val="both"/>
      <w:rPr>
        <w:rFonts w:hint="eastAsia"/>
        <w:sz w:val="21"/>
        <w:szCs w:val="21"/>
        <w:u w:val="single"/>
      </w:rPr>
    </w:pPr>
    <w:r>
      <w:rPr>
        <w:rFonts w:eastAsia="楷体_GB2312"/>
        <w:sz w:val="21"/>
        <w:szCs w:val="2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-800100</wp:posOffset>
              </wp:positionH>
              <wp:positionV relativeFrom="paragraph">
                <wp:posOffset>607060</wp:posOffset>
              </wp:positionV>
              <wp:extent cx="800100" cy="8023860"/>
              <wp:effectExtent l="0" t="0" r="0" b="1524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023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line="360" w:lineRule="auto"/>
                            <w:jc w:val="center"/>
                            <w:rPr>
                              <w:rFonts w:hint="eastAsia"/>
                              <w:sz w:val="24"/>
                              <w:u w:val="single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  <w:u w:val="single"/>
                            </w:rPr>
                            <w:t>　　　　　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学院20</w:t>
                          </w:r>
                          <w:r>
                            <w:rPr>
                              <w:rFonts w:hint="eastAsia"/>
                              <w:sz w:val="24"/>
                              <w:u w:val="single"/>
                            </w:rPr>
                            <w:t xml:space="preserve">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rFonts w:hint="eastAsia"/>
                              <w:sz w:val="24"/>
                              <w:u w:val="single"/>
                            </w:rPr>
                            <w:t xml:space="preserve">   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专业</w:t>
                          </w:r>
                          <w:r>
                            <w:rPr>
                              <w:rFonts w:hint="eastAsia"/>
                              <w:sz w:val="24"/>
                              <w:u w:val="single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    学号：</w:t>
                          </w:r>
                          <w:r>
                            <w:rPr>
                              <w:rFonts w:hint="eastAsia"/>
                              <w:sz w:val="24"/>
                              <w:u w:val="single"/>
                            </w:rPr>
                            <w:t xml:space="preserve"> 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姓名：</w:t>
                          </w:r>
                          <w:r>
                            <w:rPr>
                              <w:rFonts w:hint="eastAsia"/>
                              <w:sz w:val="24"/>
                              <w:u w:val="single"/>
                            </w:rPr>
                            <w:t>　　　　　</w:t>
                          </w:r>
                        </w:p>
                        <w:p>
                          <w:pPr>
                            <w:spacing w:line="360" w:lineRule="auto"/>
                            <w:jc w:val="center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-----------------------------------------------------------装------------------订------------------线----------------------------------------------------</w:t>
                          </w:r>
                        </w:p>
                      </w:txbxContent>
                    </wps:txbx>
                    <wps:bodyPr vert="vert27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63pt;margin-top:47.8pt;height:631.8pt;width:63pt;z-index:251659264;mso-width-relative:page;mso-height-relative:page;" fillcolor="#FFFFFF" filled="t" stroked="f" coordsize="21600,21600" o:gfxdata="UEsDBAoAAAAAAIdO4kAAAAAAAAAAAAAAAAAEAAAAZHJzL1BLAwQUAAAACACHTuJAVl2fqdcAAAAJ&#10;AQAADwAAAGRycy9kb3ducmV2LnhtbE2PwU7DMBBE70j8g7VI3Fo7qRrREKcCJE5IlSgR5228xKGx&#10;HcVuWvh6lhMcR/s0+6baXtwgZppiH7yGbKlAkG+D6X2noXl7XtyBiAm9wSF40vBFEbb19VWFpQln&#10;/0rzPnWCS3wsUYNNaSyljK0lh3EZRvJ8+wiTw8Rx6qSZ8MzlbpC5UoV02Hv+YHGkJ0vtcX9yGmb1&#10;3bQrDPJl91k0xwebP867d61vbzJ1DyLRJf3B8KvP6lCz0yGcvIli0LDI8oLHJA2bdQGCCU4H5lbr&#10;TQ6yruT/BfUPUEsDBBQAAAAIAIdO4kAf/fesyAEAAIYDAAAOAAAAZHJzL2Uyb0RvYy54bWytU82O&#10;0zAQviPxDpbvNGmRlipqutJSlQsCpIUHcB0nsWR7rLHbpC8Ab8CJC3eeq8/B2AldWC572Bwce36+&#10;me8be3M7WsNOCoMGV/PlouRMOQmNdl3Nv3zev1pzFqJwjTDgVM3PKvDb7csXm8FXagU9mEYhIxAX&#10;qsHXvI/RV0URZK+sCAvwypGzBbQi0hG7okExELo1xaosb4oBsPEIUoVA1t3k5DMiPgUQ2lZLtQN5&#10;tMrFCRWVEZEohV77wLe527ZVMn5s26AiMzUnpjGvVIT2h7QW242oOhS+13JuQTylhUecrNCOil6h&#10;diIKdkT9H5TVEiFAGxcSbDERyYoQi2X5SJv7XniVuZDUwV9FD88HKz+cPiHTDd0EzpywNPDL92+X&#10;H78uP7+yZZJn8KGiqHtPcXG8gzGFzvZAxsR6bNGmP/Fh5Cdxz1dx1RiZJOO6JILkkeRal6vX65us&#10;fvGQ7THEdwosS5uaIw0vaypO70OkihT6JyQVC2B0s9fG5AN2h7cG2UnQoPf5S01Syj9hxqVgBylt&#10;cidLkThOXNIujodxJniA5ky86blQQ2ldvSEKR4+668mShcjZNJ5cbb5Kaf5/n3ONh+ez/Q1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BWXZ+p1wAAAAkBAAAPAAAAAAAAAAEAIAAAACIAAABkcnMvZG93&#10;bnJldi54bWxQSwECFAAUAAAACACHTuJAH/33rMgBAACGAwAADgAAAAAAAAABACAAAAAmAQAAZHJz&#10;L2Uyb0RvYy54bWxQSwUGAAAAAAYABgBZAQAAYAUAAAAA&#10;">
              <v:fill on="t" focussize="0,0"/>
              <v:stroke on="f"/>
              <v:imagedata o:title=""/>
              <o:lock v:ext="edit" aspectratio="f"/>
              <v:textbox style="layout-flow:vertical;mso-layout-flow-alt:bottom-to-top;">
                <w:txbxContent>
                  <w:p>
                    <w:pPr>
                      <w:spacing w:line="360" w:lineRule="auto"/>
                      <w:jc w:val="center"/>
                      <w:rPr>
                        <w:rFonts w:hint="eastAsia"/>
                        <w:sz w:val="24"/>
                        <w:u w:val="single"/>
                      </w:rPr>
                    </w:pPr>
                    <w:r>
                      <w:rPr>
                        <w:rFonts w:hint="eastAsia"/>
                        <w:sz w:val="24"/>
                        <w:u w:val="single"/>
                      </w:rPr>
                      <w:t>　　　　　</w:t>
                    </w:r>
                    <w:r>
                      <w:rPr>
                        <w:rFonts w:hint="eastAsia"/>
                        <w:sz w:val="24"/>
                      </w:rPr>
                      <w:t>学院20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 xml:space="preserve">   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 xml:space="preserve">          </w:t>
                    </w:r>
                    <w:r>
                      <w:rPr>
                        <w:rFonts w:hint="eastAsia"/>
                        <w:sz w:val="24"/>
                      </w:rPr>
                      <w:t>专业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班    学号：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 xml:space="preserve">        </w:t>
                    </w:r>
                    <w:r>
                      <w:rPr>
                        <w:rFonts w:hint="eastAsia"/>
                        <w:sz w:val="24"/>
                      </w:rPr>
                      <w:t>姓名：</w:t>
                    </w:r>
                    <w:r>
                      <w:rPr>
                        <w:rFonts w:hint="eastAsia"/>
                        <w:sz w:val="24"/>
                        <w:u w:val="single"/>
                      </w:rPr>
                      <w:t>　　　　　</w:t>
                    </w:r>
                  </w:p>
                  <w:p>
                    <w:pPr>
                      <w:spacing w:line="360" w:lineRule="auto"/>
                      <w:jc w:val="center"/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-----------------------------------------------------------装------------------订------------------线----------------------------------------------------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21"/>
        <w:szCs w:val="21"/>
      </w:rPr>
      <w:t>课程名称：</w:t>
    </w:r>
    <w:r>
      <w:rPr>
        <w:rFonts w:hint="eastAsia"/>
        <w:sz w:val="21"/>
        <w:szCs w:val="21"/>
        <w:u w:val="single"/>
      </w:rPr>
      <w:t xml:space="preserve">      </w:t>
    </w:r>
    <w:r>
      <w:rPr>
        <w:rFonts w:hint="eastAsia"/>
        <w:sz w:val="21"/>
        <w:szCs w:val="21"/>
        <w:u w:val="single"/>
        <w:lang w:val="en-US" w:eastAsia="zh-CN"/>
      </w:rPr>
      <w:t>深度学习</w:t>
    </w:r>
    <w:r>
      <w:rPr>
        <w:rFonts w:hint="eastAsia"/>
        <w:sz w:val="21"/>
        <w:szCs w:val="21"/>
        <w:u w:val="single"/>
      </w:rPr>
      <w:t xml:space="preserve">        </w:t>
    </w:r>
    <w:r>
      <w:rPr>
        <w:rFonts w:hint="eastAsia"/>
        <w:sz w:val="21"/>
        <w:szCs w:val="21"/>
      </w:rPr>
      <w:t>出卷教师：</w:t>
    </w:r>
    <w:r>
      <w:rPr>
        <w:rFonts w:hint="eastAsia"/>
        <w:sz w:val="21"/>
        <w:szCs w:val="21"/>
        <w:u w:val="single"/>
      </w:rPr>
      <w:t xml:space="preserve">     </w:t>
    </w:r>
    <w:r>
      <w:rPr>
        <w:rFonts w:hint="eastAsia"/>
        <w:sz w:val="21"/>
        <w:szCs w:val="21"/>
        <w:u w:val="single"/>
        <w:lang w:val="en-US" w:eastAsia="zh-CN"/>
      </w:rPr>
      <w:t>曹翔</w:t>
    </w:r>
    <w:r>
      <w:rPr>
        <w:rFonts w:hint="eastAsia"/>
        <w:sz w:val="21"/>
        <w:szCs w:val="21"/>
        <w:u w:val="single"/>
      </w:rPr>
      <w:t xml:space="preserve">      </w:t>
    </w:r>
    <w:r>
      <w:rPr>
        <w:rFonts w:hint="eastAsia"/>
        <w:sz w:val="21"/>
        <w:szCs w:val="21"/>
      </w:rPr>
      <w:t>适用班级：</w:t>
    </w:r>
    <w:r>
      <w:rPr>
        <w:rFonts w:hint="eastAsia"/>
        <w:sz w:val="21"/>
        <w:szCs w:val="21"/>
        <w:u w:val="single"/>
      </w:rPr>
      <w:t xml:space="preserve">   </w:t>
    </w:r>
    <w:r>
      <w:rPr>
        <w:rFonts w:hint="eastAsia"/>
        <w:sz w:val="21"/>
        <w:szCs w:val="21"/>
        <w:u w:val="single"/>
        <w:lang w:val="en-US" w:eastAsia="zh-CN"/>
      </w:rPr>
      <w:t>21智能01、02班</w:t>
    </w:r>
    <w:r>
      <w:rPr>
        <w:rFonts w:hint="eastAsia"/>
        <w:sz w:val="21"/>
        <w:szCs w:val="21"/>
        <w:u w:val="single"/>
      </w:rPr>
      <w:t xml:space="preserve">                  </w:t>
    </w:r>
  </w:p>
  <w:p>
    <w:pPr>
      <w:pStyle w:val="6"/>
      <w:pBdr>
        <w:bottom w:val="none" w:color="auto" w:sz="0" w:space="0"/>
      </w:pBdr>
      <w:spacing w:line="360" w:lineRule="auto"/>
      <w:rPr>
        <w:rFonts w:hint="eastAsia"/>
        <w:sz w:val="21"/>
        <w:szCs w:val="21"/>
      </w:rPr>
    </w:pPr>
    <w:r>
      <w:rPr>
        <w:rFonts w:hint="eastAsia"/>
        <w:sz w:val="21"/>
        <w:szCs w:val="21"/>
      </w:rPr>
      <w:t>时量：</w:t>
    </w:r>
    <w:r>
      <w:rPr>
        <w:rFonts w:hint="eastAsia"/>
        <w:sz w:val="21"/>
        <w:szCs w:val="21"/>
        <w:u w:val="single"/>
      </w:rPr>
      <w:t xml:space="preserve">      </w:t>
    </w:r>
    <w:r>
      <w:rPr>
        <w:rFonts w:hint="eastAsia"/>
        <w:sz w:val="21"/>
        <w:szCs w:val="21"/>
      </w:rPr>
      <w:t>分钟    20</w:t>
    </w:r>
    <w:r>
      <w:rPr>
        <w:rFonts w:hint="eastAsia"/>
        <w:sz w:val="21"/>
        <w:szCs w:val="21"/>
        <w:u w:val="single"/>
      </w:rPr>
      <w:t xml:space="preserve"> </w:t>
    </w:r>
    <w:r>
      <w:rPr>
        <w:rFonts w:hint="eastAsia"/>
        <w:sz w:val="21"/>
        <w:szCs w:val="21"/>
        <w:u w:val="single"/>
        <w:lang w:val="en-US" w:eastAsia="zh-CN"/>
      </w:rPr>
      <w:t>24</w:t>
    </w:r>
    <w:r>
      <w:rPr>
        <w:rFonts w:hint="eastAsia"/>
        <w:sz w:val="21"/>
        <w:szCs w:val="21"/>
        <w:u w:val="single"/>
      </w:rPr>
      <w:t xml:space="preserve">  </w:t>
    </w:r>
    <w:r>
      <w:rPr>
        <w:rFonts w:hint="eastAsia"/>
        <w:sz w:val="21"/>
        <w:szCs w:val="21"/>
      </w:rPr>
      <w:t>～20</w:t>
    </w:r>
    <w:r>
      <w:rPr>
        <w:rFonts w:hint="eastAsia"/>
        <w:sz w:val="21"/>
        <w:szCs w:val="21"/>
        <w:u w:val="single"/>
      </w:rPr>
      <w:t xml:space="preserve"> </w:t>
    </w:r>
    <w:r>
      <w:rPr>
        <w:rFonts w:hint="eastAsia"/>
        <w:sz w:val="21"/>
        <w:szCs w:val="21"/>
        <w:u w:val="single"/>
        <w:lang w:val="en-US" w:eastAsia="zh-CN"/>
      </w:rPr>
      <w:t>25</w:t>
    </w:r>
    <w:r>
      <w:rPr>
        <w:rFonts w:hint="eastAsia"/>
        <w:sz w:val="21"/>
        <w:szCs w:val="21"/>
        <w:u w:val="single"/>
      </w:rPr>
      <w:t xml:space="preserve">  </w:t>
    </w:r>
    <w:r>
      <w:rPr>
        <w:rFonts w:hint="eastAsia"/>
        <w:sz w:val="21"/>
        <w:szCs w:val="21"/>
      </w:rPr>
      <w:t>学年  第</w:t>
    </w:r>
    <w:r>
      <w:rPr>
        <w:rFonts w:hint="eastAsia"/>
        <w:sz w:val="21"/>
        <w:szCs w:val="21"/>
        <w:u w:val="single"/>
      </w:rPr>
      <w:t xml:space="preserve"> </w:t>
    </w:r>
    <w:r>
      <w:rPr>
        <w:rFonts w:hint="eastAsia"/>
        <w:sz w:val="21"/>
        <w:szCs w:val="21"/>
        <w:u w:val="single"/>
        <w:lang w:val="en-US" w:eastAsia="zh-CN"/>
      </w:rPr>
      <w:t>一</w:t>
    </w:r>
    <w:r>
      <w:rPr>
        <w:rFonts w:hint="eastAsia"/>
        <w:sz w:val="21"/>
        <w:szCs w:val="21"/>
        <w:u w:val="single"/>
      </w:rPr>
      <w:t xml:space="preserve">  </w:t>
    </w:r>
    <w:r>
      <w:rPr>
        <w:rFonts w:hint="eastAsia"/>
        <w:sz w:val="21"/>
        <w:szCs w:val="21"/>
      </w:rPr>
      <w:t>学期    开/闭卷    考试/考查    A/B卷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M3Y2E3NjczMzU2YzZmMzMwODdmMzM1ZmZiMzViMzQifQ=="/>
  </w:docVars>
  <w:rsids>
    <w:rsidRoot w:val="34272997"/>
    <w:rsid w:val="06911ED5"/>
    <w:rsid w:val="0947753F"/>
    <w:rsid w:val="2FC9427C"/>
    <w:rsid w:val="34272997"/>
    <w:rsid w:val="3ADD1FEC"/>
    <w:rsid w:val="68407B2D"/>
    <w:rsid w:val="6EED6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7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autoRedefine/>
    <w:qFormat/>
    <w:uiPriority w:val="0"/>
    <w:rPr>
      <w:b/>
    </w:rPr>
  </w:style>
  <w:style w:type="character" w:styleId="11">
    <w:name w:val="page number"/>
    <w:basedOn w:val="9"/>
    <w:qFormat/>
    <w:uiPriority w:val="0"/>
  </w:style>
  <w:style w:type="character" w:styleId="12">
    <w:name w:val="Hyperlink"/>
    <w:basedOn w:val="9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2024-12-11T09:00:00Z</dcterms:created>
  <dc:creator>曹翔</dc:creator>
  <cp:lastModifiedBy>曹翔</cp:lastModifiedBy>
  <dcterms:modified xsi:type="dcterms:W3CDTF">2024-12-12T01:42:10Z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4190F2BC17F74F779BDA248DFA2F4D80_11</vt:lpwstr>
  </property>
</Properties>
</file>