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</w:rPr>
        <w:drawing>
          <wp:inline distB="0" distT="0" distL="0" distR="0">
            <wp:extent cx="5400040" cy="2169795"/>
            <wp:effectExtent b="0" l="0" r="0" t="0"/>
            <wp:docPr descr="Logotipo&#10;&#10;Descrição gerada automaticamente com confiança baixa" id="7" name="image2.png"/>
            <a:graphic>
              <a:graphicData uri="http://schemas.openxmlformats.org/drawingml/2006/picture">
                <pic:pic>
                  <pic:nvPicPr>
                    <pic:cNvPr descr="Logotipo&#10;&#10;Descrição gerada automaticamente com confiança baixa"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1697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rFonts w:ascii="Arial" w:cs="Arial" w:eastAsia="Arial" w:hAnsi="Arial"/>
          <w:sz w:val="72"/>
          <w:szCs w:val="72"/>
        </w:rPr>
      </w:pPr>
      <w:r w:rsidDel="00000000" w:rsidR="00000000" w:rsidRPr="00000000">
        <w:rPr>
          <w:rFonts w:ascii="Arial" w:cs="Arial" w:eastAsia="Arial" w:hAnsi="Arial"/>
          <w:sz w:val="72"/>
          <w:szCs w:val="72"/>
          <w:rtl w:val="0"/>
        </w:rPr>
        <w:t xml:space="preserve">Relatório de CTF</w:t>
      </w:r>
    </w:p>
    <w:p w:rsidR="00000000" w:rsidDel="00000000" w:rsidP="00000000" w:rsidRDefault="00000000" w:rsidRPr="00000000" w14:paraId="00000004">
      <w:pPr>
        <w:jc w:val="center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Ignite – Tryhackme</w:t>
      </w:r>
    </w:p>
    <w:p w:rsidR="00000000" w:rsidDel="00000000" w:rsidP="00000000" w:rsidRDefault="00000000" w:rsidRPr="00000000" w14:paraId="00000005">
      <w:pPr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49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247"/>
        <w:gridCol w:w="4247"/>
        <w:tblGridChange w:id="0">
          <w:tblGrid>
            <w:gridCol w:w="4247"/>
            <w:gridCol w:w="4247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gridSpan w:val="2"/>
            <w:shd w:fill="c1e4f5" w:val="clear"/>
            <w:vAlign w:val="center"/>
          </w:tcPr>
          <w:p w:rsidR="00000000" w:rsidDel="00000000" w:rsidP="00000000" w:rsidRDefault="00000000" w:rsidRPr="00000000" w14:paraId="00000006">
            <w:pPr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Informações do documento</w:t>
            </w:r>
          </w:p>
        </w:tc>
      </w:tr>
      <w:tr>
        <w:trPr>
          <w:cantSplit w:val="0"/>
          <w:trHeight w:val="41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8">
            <w:pPr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Referência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9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Ignite – Daniel Cruz Santana</w:t>
            </w:r>
          </w:p>
        </w:tc>
      </w:tr>
      <w:tr>
        <w:trPr>
          <w:cantSplit w:val="0"/>
          <w:trHeight w:val="42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A">
            <w:pPr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N° Revisão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B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1</w:t>
            </w:r>
          </w:p>
        </w:tc>
      </w:tr>
      <w:tr>
        <w:trPr>
          <w:cantSplit w:val="0"/>
          <w:trHeight w:val="41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C">
            <w:pPr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Data de publicação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D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11/05/2026</w:t>
            </w:r>
          </w:p>
        </w:tc>
      </w:tr>
      <w:tr>
        <w:trPr>
          <w:cantSplit w:val="0"/>
          <w:trHeight w:val="41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E">
            <w:pPr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Link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F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https://tryhackme.com/room/ignite</w:t>
            </w:r>
          </w:p>
        </w:tc>
      </w:tr>
    </w:tbl>
    <w:p w:rsidR="00000000" w:rsidDel="00000000" w:rsidP="00000000" w:rsidRDefault="00000000" w:rsidRPr="00000000" w14:paraId="00000010">
      <w:pPr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849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832"/>
        <w:gridCol w:w="2831"/>
        <w:gridCol w:w="2831"/>
        <w:tblGridChange w:id="0">
          <w:tblGrid>
            <w:gridCol w:w="2832"/>
            <w:gridCol w:w="2831"/>
            <w:gridCol w:w="2831"/>
          </w:tblGrid>
        </w:tblGridChange>
      </w:tblGrid>
      <w:tr>
        <w:trPr>
          <w:cantSplit w:val="0"/>
          <w:trHeight w:val="358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1">
            <w:pPr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Redação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2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Daniel Cruz Santana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3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Estudante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4">
            <w:pPr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Revisão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5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Nome do revisor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6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Orientador</w:t>
            </w:r>
          </w:p>
        </w:tc>
      </w:tr>
      <w:tr>
        <w:trPr>
          <w:cantSplit w:val="0"/>
          <w:trHeight w:val="42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7">
            <w:pPr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Aprovação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8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Nome do aprovador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9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Diretor</w:t>
            </w:r>
          </w:p>
        </w:tc>
      </w:tr>
    </w:tbl>
    <w:p w:rsidR="00000000" w:rsidDel="00000000" w:rsidP="00000000" w:rsidRDefault="00000000" w:rsidRPr="00000000" w14:paraId="0000001A">
      <w:pPr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849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704"/>
        <w:gridCol w:w="2126"/>
        <w:gridCol w:w="5664"/>
        <w:tblGridChange w:id="0">
          <w:tblGrid>
            <w:gridCol w:w="704"/>
            <w:gridCol w:w="2126"/>
            <w:gridCol w:w="5664"/>
          </w:tblGrid>
        </w:tblGridChange>
      </w:tblGrid>
      <w:tr>
        <w:trPr>
          <w:cantSplit w:val="0"/>
          <w:trHeight w:val="368" w:hRule="atLeast"/>
          <w:tblHeader w:val="0"/>
        </w:trPr>
        <w:tc>
          <w:tcPr>
            <w:gridSpan w:val="3"/>
            <w:vAlign w:val="center"/>
          </w:tcPr>
          <w:p w:rsidR="00000000" w:rsidDel="00000000" w:rsidP="00000000" w:rsidRDefault="00000000" w:rsidRPr="00000000" w14:paraId="0000001B">
            <w:pPr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Histórico de revisões</w:t>
            </w:r>
          </w:p>
        </w:tc>
      </w:tr>
      <w:tr>
        <w:trPr>
          <w:cantSplit w:val="0"/>
          <w:trHeight w:val="41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E">
            <w:pPr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N°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F">
            <w:pPr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Entregas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0">
            <w:pPr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Descrição</w:t>
            </w:r>
          </w:p>
        </w:tc>
      </w:tr>
      <w:tr>
        <w:trPr>
          <w:cantSplit w:val="0"/>
          <w:trHeight w:val="408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1">
            <w:pPr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2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11/05/2026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3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Produção</w:t>
            </w:r>
          </w:p>
        </w:tc>
      </w:tr>
      <w:tr>
        <w:trPr>
          <w:cantSplit w:val="0"/>
          <w:trHeight w:val="428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4">
            <w:pPr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5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DD/MM/AAAA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6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Revisão</w:t>
            </w:r>
          </w:p>
        </w:tc>
      </w:tr>
      <w:tr>
        <w:trPr>
          <w:cantSplit w:val="0"/>
          <w:trHeight w:val="40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7">
            <w:pPr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8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DD/MM/AAAA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9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Aprovação</w:t>
            </w:r>
          </w:p>
        </w:tc>
      </w:tr>
    </w:tbl>
    <w:p w:rsidR="00000000" w:rsidDel="00000000" w:rsidP="00000000" w:rsidRDefault="00000000" w:rsidRPr="00000000" w14:paraId="0000002A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849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247"/>
        <w:gridCol w:w="4247"/>
        <w:tblGridChange w:id="0">
          <w:tblGrid>
            <w:gridCol w:w="4247"/>
            <w:gridCol w:w="4247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gridSpan w:val="2"/>
            <w:shd w:fill="c1e4f5" w:val="clear"/>
            <w:vAlign w:val="center"/>
          </w:tcPr>
          <w:p w:rsidR="00000000" w:rsidDel="00000000" w:rsidP="00000000" w:rsidRDefault="00000000" w:rsidRPr="00000000" w14:paraId="0000002D">
            <w:pPr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Informações do CTF</w:t>
            </w:r>
          </w:p>
        </w:tc>
      </w:tr>
      <w:tr>
        <w:trPr>
          <w:cantSplit w:val="0"/>
          <w:trHeight w:val="41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F">
            <w:pPr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Nível de Dificuldade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0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Fácil</w:t>
            </w:r>
          </w:p>
        </w:tc>
      </w:tr>
      <w:tr>
        <w:trPr>
          <w:cantSplit w:val="0"/>
          <w:trHeight w:val="42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1">
            <w:pPr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Tipo de acesso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2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Gratuito</w:t>
            </w:r>
          </w:p>
        </w:tc>
      </w:tr>
      <w:tr>
        <w:trPr>
          <w:cantSplit w:val="0"/>
          <w:trHeight w:val="41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3">
            <w:pPr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Conceitos envolvidos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4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Recon, CMS, RCE, Reverse Shell </w:t>
            </w:r>
          </w:p>
        </w:tc>
      </w:tr>
      <w:tr>
        <w:trPr>
          <w:cantSplit w:val="0"/>
          <w:trHeight w:val="41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5">
            <w:pPr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Plataforma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6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Tryhackme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1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7">
            <w:pPr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Área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8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Red</w:t>
            </w:r>
          </w:p>
        </w:tc>
      </w:tr>
    </w:tbl>
    <w:p w:rsidR="00000000" w:rsidDel="00000000" w:rsidP="00000000" w:rsidRDefault="00000000" w:rsidRPr="00000000" w14:paraId="00000039">
      <w:pPr>
        <w:keepNext w:val="1"/>
        <w:keepLines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before="240" w:lineRule="auto"/>
        <w:rPr>
          <w:rFonts w:ascii="Arial" w:cs="Arial" w:eastAsia="Arial" w:hAnsi="Arial"/>
          <w:b w:val="1"/>
          <w:bCs w:val="1"/>
          <w:color w:val="00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1"/>
        <w:keepLines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before="240" w:lineRule="auto"/>
        <w:rPr>
          <w:rFonts w:ascii="Arial" w:cs="Arial" w:eastAsia="Arial" w:hAnsi="Arial"/>
          <w:b w:val="1"/>
          <w:bCs w:val="1"/>
          <w:color w:val="000000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32"/>
          <w:szCs w:val="32"/>
          <w:rtl w:val="0"/>
        </w:rPr>
        <w:t xml:space="preserve">Sumário</w:t>
      </w:r>
    </w:p>
    <w:sdt>
      <w:sdtPr>
        <w:id w:val="1823075051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3B">
          <w:pPr>
            <w:widowControl w:val="0"/>
            <w:tabs>
              <w:tab w:val="right" w:leader="none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3,3,"</w:instrText>
            <w:fldChar w:fldCharType="separate"/>
          </w:r>
          <w:hyperlink w:anchor="_qop6m61oo8le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Contextualização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C">
          <w:pPr>
            <w:widowControl w:val="0"/>
            <w:tabs>
              <w:tab w:val="right" w:leader="none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cuh5c8tbyl9i"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Desenvolvimento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D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rswxz8sonw51"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User.txt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E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c1e9odewk1v5"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Root.txt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F">
          <w:pPr>
            <w:widowControl w:val="0"/>
            <w:tabs>
              <w:tab w:val="right" w:leader="none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umzohw5si77g"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Conclusão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0">
          <w:pPr>
            <w:widowControl w:val="0"/>
            <w:tabs>
              <w:tab w:val="right" w:leader="none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7zi6ezmkpprx"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Referências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41">
      <w:pPr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rPr>
          <w:rFonts w:ascii="Arial" w:cs="Arial" w:eastAsia="Arial" w:hAnsi="Arial"/>
          <w:b w:val="1"/>
          <w:bCs w:val="1"/>
          <w:smallCaps w:val="1"/>
          <w:color w:val="000000"/>
          <w:sz w:val="32"/>
          <w:szCs w:val="32"/>
        </w:rPr>
      </w:pPr>
      <w:bookmarkStart w:colFirst="0" w:colLast="0" w:name="_oy1mzdbgj2nr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1"/>
        <w:spacing w:after="0" w:line="360" w:lineRule="auto"/>
        <w:rPr/>
      </w:pPr>
      <w:bookmarkStart w:colFirst="0" w:colLast="0" w:name="_qop6m61oo8le" w:id="1"/>
      <w:bookmarkEnd w:id="1"/>
      <w:r w:rsidDel="00000000" w:rsidR="00000000" w:rsidRPr="00000000">
        <w:rPr>
          <w:rtl w:val="0"/>
        </w:rPr>
        <w:t xml:space="preserve">Contextualização</w:t>
      </w:r>
    </w:p>
    <w:p w:rsidR="00000000" w:rsidDel="00000000" w:rsidP="00000000" w:rsidRDefault="00000000" w:rsidRPr="00000000" w14:paraId="00000052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O CTF “Ignite”, que é classificado como nível fácil de dificuldade, aborda o reconhecimento de serviços por meio do Nmap, o conceito de CMS, a exploração de vulnerabilidades RCE e obtenção de acesso por meio de reverse shell.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1"/>
        <w:spacing w:after="0" w:line="360" w:lineRule="auto"/>
        <w:rPr/>
      </w:pPr>
      <w:bookmarkStart w:colFirst="0" w:colLast="0" w:name="_cuh5c8tbyl9i" w:id="2"/>
      <w:bookmarkEnd w:id="2"/>
      <w:r w:rsidDel="00000000" w:rsidR="00000000" w:rsidRPr="00000000">
        <w:rPr>
          <w:rtl w:val="0"/>
        </w:rPr>
        <w:t xml:space="preserve">Desenvolvimento</w:t>
      </w:r>
    </w:p>
    <w:p w:rsidR="00000000" w:rsidDel="00000000" w:rsidP="00000000" w:rsidRDefault="00000000" w:rsidRPr="00000000" w14:paraId="00000054">
      <w:pPr>
        <w:pStyle w:val="Heading2"/>
        <w:spacing w:after="0" w:line="360" w:lineRule="auto"/>
        <w:rPr/>
      </w:pPr>
      <w:bookmarkStart w:colFirst="0" w:colLast="0" w:name="_rswxz8sonw51" w:id="3"/>
      <w:bookmarkEnd w:id="3"/>
      <w:r w:rsidDel="00000000" w:rsidR="00000000" w:rsidRPr="00000000">
        <w:rPr>
          <w:rtl w:val="0"/>
        </w:rPr>
        <w:t xml:space="preserve">User.txt </w:t>
      </w:r>
    </w:p>
    <w:p w:rsidR="00000000" w:rsidDel="00000000" w:rsidP="00000000" w:rsidRDefault="00000000" w:rsidRPr="00000000" w14:paraId="00000055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O primeiro passo é realizar o reconhecimento de portas abertas por meio do comando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z w:val="24"/>
          <w:szCs w:val="24"/>
          <w:rtl w:val="0"/>
        </w:rPr>
        <w:t xml:space="preserve">N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z w:val="24"/>
          <w:szCs w:val="24"/>
          <w:rtl w:val="0"/>
        </w:rPr>
        <w:t xml:space="preserve">map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. Ao fim do escaneamento, encontra-se a porta 80 (HTTP) aberta.</w:t>
      </w:r>
    </w:p>
    <w:p w:rsidR="00000000" w:rsidDel="00000000" w:rsidP="00000000" w:rsidRDefault="00000000" w:rsidRPr="00000000" w14:paraId="00000056">
      <w:pPr>
        <w:spacing w:after="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</w:rPr>
        <w:drawing>
          <wp:inline distB="114300" distT="114300" distL="114300" distR="114300">
            <wp:extent cx="5399730" cy="2921000"/>
            <wp:effectExtent b="0" l="0" r="0" t="0"/>
            <wp:docPr id="12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9730" cy="292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Ao acessar o site, a página inicial apresenta o guia de configuração do Fuel CMS (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Content Management System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) e nela há também a versão do sistema (versão 1.4).</w:t>
      </w:r>
    </w:p>
    <w:p w:rsidR="00000000" w:rsidDel="00000000" w:rsidP="00000000" w:rsidRDefault="00000000" w:rsidRPr="00000000" w14:paraId="00000059">
      <w:pPr>
        <w:spacing w:after="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</w:rPr>
        <w:drawing>
          <wp:inline distB="114300" distT="114300" distL="114300" distR="114300">
            <wp:extent cx="5399730" cy="2463800"/>
            <wp:effectExtent b="0" l="0" r="0" t="0"/>
            <wp:docPr id="1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9730" cy="2463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Com o sistema e a versão identificados, basta buscar por vulnerabilidades que podem ser exploradas para obter acesso à máquina que está sendo atacada.  Para isso, utiliza-se a ferramenta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z w:val="24"/>
          <w:szCs w:val="24"/>
          <w:rtl w:val="0"/>
        </w:rPr>
        <w:t xml:space="preserve">SearchSploit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. Entre elas, há uma vulnerabilidade (CVE 2018-16763) de RCE (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Remote Code Execution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).</w:t>
      </w:r>
    </w:p>
    <w:p w:rsidR="00000000" w:rsidDel="00000000" w:rsidP="00000000" w:rsidRDefault="00000000" w:rsidRPr="00000000" w14:paraId="0000005D">
      <w:pPr>
        <w:spacing w:after="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</w:rPr>
        <w:drawing>
          <wp:inline distB="114300" distT="114300" distL="114300" distR="114300">
            <wp:extent cx="5399730" cy="1676400"/>
            <wp:effectExtent b="0" l="0" r="0" t="0"/>
            <wp:docPr id="6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9730" cy="1676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</w:rPr>
        <w:drawing>
          <wp:inline distB="114300" distT="114300" distL="114300" distR="114300">
            <wp:extent cx="4733925" cy="1781175"/>
            <wp:effectExtent b="0" l="0" r="0" t="0"/>
            <wp:docPr id="4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33925" cy="1781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Após a utilização do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script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disponível no Exploit-DB, é possível executar, remotamente, códigos no alvo. Apesar de suas limitações, a vulnerabilidade pode ser utilizada para estabelecer uma conexão remota por meio de uma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reverse shell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63">
      <w:pPr>
        <w:spacing w:after="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</w:rPr>
        <w:drawing>
          <wp:inline distB="114300" distT="114300" distL="114300" distR="114300">
            <wp:extent cx="3590925" cy="895350"/>
            <wp:effectExtent b="0" l="0" r="0" t="0"/>
            <wp:docPr id="8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90925" cy="8953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Inicialização da reverse shell na máquina atacada:</w:t>
      </w:r>
    </w:p>
    <w:p w:rsidR="00000000" w:rsidDel="00000000" w:rsidP="00000000" w:rsidRDefault="00000000" w:rsidRPr="00000000" w14:paraId="00000067">
      <w:pPr>
        <w:spacing w:after="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</w:rPr>
        <w:drawing>
          <wp:inline distB="114300" distT="114300" distL="114300" distR="114300">
            <wp:extent cx="5399730" cy="711200"/>
            <wp:effectExtent b="0" l="0" r="0" t="0"/>
            <wp:docPr id="10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9730" cy="711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Utilizando o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comando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nc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com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parâmetro “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-lvnp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”, escutam-se as conexões vindas da porta 4444, aguardando que o computador atacado inicie a conexão.</w:t>
      </w:r>
    </w:p>
    <w:p w:rsidR="00000000" w:rsidDel="00000000" w:rsidP="00000000" w:rsidRDefault="00000000" w:rsidRPr="00000000" w14:paraId="0000006C">
      <w:pPr>
        <w:spacing w:after="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</w:rPr>
        <w:drawing>
          <wp:inline distB="114300" distT="114300" distL="114300" distR="114300">
            <wp:extent cx="5400675" cy="701720"/>
            <wp:effectExtent b="0" l="0" r="0" t="0"/>
            <wp:docPr id="11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3"/>
                    <a:srcRect b="79306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7017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Após a conexão ter sido bem-sucedida, pode-se utilizar o seguinte comando em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Python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para fazer o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upgrade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da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shell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acessada.</w:t>
      </w:r>
    </w:p>
    <w:p w:rsidR="00000000" w:rsidDel="00000000" w:rsidP="00000000" w:rsidRDefault="00000000" w:rsidRPr="00000000" w14:paraId="00000070">
      <w:pPr>
        <w:spacing w:after="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</w:rPr>
        <w:drawing>
          <wp:inline distB="114300" distT="114300" distL="114300" distR="114300">
            <wp:extent cx="5400675" cy="200345"/>
            <wp:effectExtent b="0" l="0" r="0" t="0"/>
            <wp:docPr id="5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3"/>
                    <a:srcRect b="74701" l="0" r="0" t="19391"/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20034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after="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O próximo passo é procurar a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flag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de usuário e visualizar seu conteúdo.</w:t>
      </w:r>
    </w:p>
    <w:p w:rsidR="00000000" w:rsidDel="00000000" w:rsidP="00000000" w:rsidRDefault="00000000" w:rsidRPr="00000000" w14:paraId="00000074">
      <w:pPr>
        <w:spacing w:after="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after="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</w:rPr>
        <w:drawing>
          <wp:inline distB="114300" distT="114300" distL="114300" distR="114300">
            <wp:extent cx="5400675" cy="828668"/>
            <wp:effectExtent b="0" l="0" r="0" t="0"/>
            <wp:docPr id="15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3"/>
                    <a:srcRect b="0" l="0" r="0" t="75562"/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8286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Style w:val="Heading2"/>
        <w:rPr/>
      </w:pPr>
      <w:bookmarkStart w:colFirst="0" w:colLast="0" w:name="_7tql4ouq5y64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Style w:val="Heading2"/>
        <w:rPr/>
      </w:pPr>
      <w:bookmarkStart w:colFirst="0" w:colLast="0" w:name="_c1e9odewk1v5" w:id="5"/>
      <w:bookmarkEnd w:id="5"/>
      <w:r w:rsidDel="00000000" w:rsidR="00000000" w:rsidRPr="00000000">
        <w:rPr>
          <w:rtl w:val="0"/>
        </w:rPr>
        <w:t xml:space="preserve">Root.txt </w:t>
      </w:r>
    </w:p>
    <w:p w:rsidR="00000000" w:rsidDel="00000000" w:rsidP="00000000" w:rsidRDefault="00000000" w:rsidRPr="00000000" w14:paraId="0000007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 volta à página inicial, o guia de configuração do Fuel CMS indica que o arquivo “database.php” possui algumas informações sensíveis, mais especificamente credenciais.</w:t>
      </w:r>
    </w:p>
    <w:p w:rsidR="00000000" w:rsidDel="00000000" w:rsidP="00000000" w:rsidRDefault="00000000" w:rsidRPr="00000000" w14:paraId="00000079">
      <w:pPr>
        <w:spacing w:after="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</w:rPr>
        <w:drawing>
          <wp:inline distB="114300" distT="114300" distL="114300" distR="114300">
            <wp:extent cx="5399730" cy="1790700"/>
            <wp:effectExtent b="0" l="0" r="0" t="0"/>
            <wp:docPr id="1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9730" cy="179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after="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after="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Ao verificar o conteúdo desse arquivo, encontra-se o usuário root e sua senha.</w:t>
      </w:r>
    </w:p>
    <w:p w:rsidR="00000000" w:rsidDel="00000000" w:rsidP="00000000" w:rsidRDefault="00000000" w:rsidRPr="00000000" w14:paraId="0000007C">
      <w:pPr>
        <w:spacing w:after="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after="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</w:rPr>
        <w:drawing>
          <wp:inline distB="114300" distT="114300" distL="114300" distR="114300">
            <wp:extent cx="4371975" cy="171450"/>
            <wp:effectExtent b="0" l="0" r="0" t="0"/>
            <wp:docPr id="13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71975" cy="171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after="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</w:rPr>
        <w:drawing>
          <wp:inline distB="114300" distT="114300" distL="114300" distR="114300">
            <wp:extent cx="4800600" cy="3924300"/>
            <wp:effectExtent b="0" l="0" r="0" t="0"/>
            <wp:docPr id="16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00600" cy="3924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after="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after="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Com a senha, é possível alterar o usuário para o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root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e, por fim, obter a flag.</w:t>
      </w:r>
    </w:p>
    <w:p w:rsidR="00000000" w:rsidDel="00000000" w:rsidP="00000000" w:rsidRDefault="00000000" w:rsidRPr="00000000" w14:paraId="00000081">
      <w:pPr>
        <w:spacing w:after="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after="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</w:rPr>
        <w:drawing>
          <wp:inline distB="114300" distT="114300" distL="114300" distR="114300">
            <wp:extent cx="2914650" cy="1019175"/>
            <wp:effectExtent b="0" l="0" r="0" t="0"/>
            <wp:docPr id="17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14650" cy="1019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after="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after="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</w:rPr>
        <w:drawing>
          <wp:inline distB="114300" distT="114300" distL="114300" distR="114300">
            <wp:extent cx="4819650" cy="990600"/>
            <wp:effectExtent b="0" l="0" r="0" t="0"/>
            <wp:docPr id="9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19650" cy="990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after="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Style w:val="Heading1"/>
        <w:spacing w:after="0" w:line="360" w:lineRule="auto"/>
        <w:rPr/>
      </w:pPr>
      <w:bookmarkStart w:colFirst="0" w:colLast="0" w:name="_umzohw5si77g" w:id="6"/>
      <w:bookmarkEnd w:id="6"/>
      <w:r w:rsidDel="00000000" w:rsidR="00000000" w:rsidRPr="00000000">
        <w:rPr>
          <w:rtl w:val="0"/>
        </w:rPr>
        <w:t xml:space="preserve">Conclusão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Com o CTF “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Ignite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”, é possível aprofundar os conhecimentos de estudantes e interessados na área de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Red Team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sobre os conceitos de reconhecimento de serviços, Sistemas de Gerenciamento de Conteúdo (CMS), exploração de vulnerabilidade RCE e obtenção de acesso por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reverse shell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. Além disso, serve como um claro exemplo de como um sistema que mantém suas configurações padrão torna-se extremamente vulnerável a possíveis atacantes.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Style w:val="Heading1"/>
        <w:spacing w:after="0" w:line="360" w:lineRule="auto"/>
        <w:rPr/>
      </w:pPr>
      <w:bookmarkStart w:colFirst="0" w:colLast="0" w:name="_7zi6ezmkpprx" w:id="7"/>
      <w:bookmarkEnd w:id="7"/>
      <w:r w:rsidDel="00000000" w:rsidR="00000000" w:rsidRPr="00000000">
        <w:rPr>
          <w:rtl w:val="0"/>
        </w:rPr>
        <w:t xml:space="preserve">Referências</w:t>
      </w:r>
    </w:p>
    <w:p w:rsidR="00000000" w:rsidDel="00000000" w:rsidP="00000000" w:rsidRDefault="00000000" w:rsidRPr="00000000" w14:paraId="00000089">
      <w:pPr>
        <w:rPr>
          <w:rFonts w:ascii="Arial" w:cs="Arial" w:eastAsia="Arial" w:hAnsi="Arial"/>
          <w:sz w:val="24"/>
          <w:szCs w:val="24"/>
        </w:rPr>
      </w:pPr>
      <w:hyperlink r:id="rId19">
        <w:r w:rsidDel="00000000" w:rsidR="00000000" w:rsidRPr="00000000">
          <w:rPr>
            <w:rFonts w:ascii="Arial" w:cs="Arial" w:eastAsia="Arial" w:hAnsi="Arial"/>
            <w:color w:val="1155cc"/>
            <w:sz w:val="24"/>
            <w:szCs w:val="24"/>
            <w:u w:val="single"/>
            <w:rtl w:val="0"/>
          </w:rPr>
          <w:t xml:space="preserve">https://www.exploit-db.com/exploits/50477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>
          <w:rFonts w:ascii="Arial" w:cs="Arial" w:eastAsia="Arial" w:hAnsi="Arial"/>
          <w:sz w:val="24"/>
          <w:szCs w:val="24"/>
        </w:rPr>
      </w:pPr>
      <w:hyperlink r:id="rId20">
        <w:r w:rsidDel="00000000" w:rsidR="00000000" w:rsidRPr="00000000">
          <w:rPr>
            <w:rFonts w:ascii="Arial" w:cs="Arial" w:eastAsia="Arial" w:hAnsi="Arial"/>
            <w:color w:val="1155cc"/>
            <w:sz w:val="24"/>
            <w:szCs w:val="24"/>
            <w:u w:val="single"/>
            <w:rtl w:val="0"/>
          </w:rPr>
          <w:t xml:space="preserve">https://www.getfuelcms.com/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https://www.revshells.com/</w:t>
      </w:r>
      <w:r w:rsidDel="00000000" w:rsidR="00000000" w:rsidRPr="00000000">
        <w:rPr>
          <w:rtl w:val="0"/>
        </w:rPr>
      </w:r>
    </w:p>
    <w:sectPr>
      <w:headerReference r:id="rId21" w:type="default"/>
      <w:footerReference r:id="rId22" w:type="default"/>
      <w:pgSz w:h="16838" w:w="11906" w:orient="portrait"/>
      <w:pgMar w:bottom="1417" w:top="1417" w:left="1701" w:right="1701" w:header="708" w:footer="261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ptos"/>
  <w:font w:name="Play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E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252"/>
        <w:tab w:val="right" w:leader="none" w:pos="8504"/>
      </w:tabs>
      <w:spacing w:after="0" w:line="240" w:lineRule="auto"/>
      <w:jc w:val="center"/>
      <w:rPr>
        <w:color w:val="000000"/>
      </w:rPr>
    </w:pPr>
    <w:r w:rsidDel="00000000" w:rsidR="00000000" w:rsidRPr="00000000">
      <w:rPr>
        <w:rtl w:val="0"/>
      </w:rPr>
      <w:t xml:space="preserve">2026 </w:t>
    </w:r>
    <w:r w:rsidDel="00000000" w:rsidR="00000000" w:rsidRPr="00000000">
      <w:rPr>
        <w:color w:val="000000"/>
        <w:rtl w:val="0"/>
      </w:rPr>
      <w:t xml:space="preserve">| @Guardian Mauá | Confidencial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C">
    <w:pPr>
      <w:keepNext w:val="1"/>
      <w:keepLines w:val="1"/>
      <w:tabs>
        <w:tab w:val="center" w:leader="none" w:pos="4252"/>
        <w:tab w:val="right" w:leader="none" w:pos="8504"/>
      </w:tabs>
      <w:spacing w:after="0" w:before="240" w:lineRule="auto"/>
      <w:rPr>
        <w:rFonts w:ascii="Arial" w:cs="Arial" w:eastAsia="Arial" w:hAnsi="Arial"/>
        <w:b w:val="1"/>
        <w:bCs w:val="1"/>
        <w:sz w:val="32"/>
        <w:szCs w:val="32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-1476373</wp:posOffset>
          </wp:positionH>
          <wp:positionV relativeFrom="paragraph">
            <wp:posOffset>-447672</wp:posOffset>
          </wp:positionV>
          <wp:extent cx="10943540" cy="542954"/>
          <wp:effectExtent b="0" l="0" r="0" t="0"/>
          <wp:wrapNone/>
          <wp:docPr id="3" name="image11.png"/>
          <a:graphic>
            <a:graphicData uri="http://schemas.openxmlformats.org/drawingml/2006/picture">
              <pic:pic>
                <pic:nvPicPr>
                  <pic:cNvPr id="0" name="image1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0943540" cy="542954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5358130</wp:posOffset>
          </wp:positionH>
          <wp:positionV relativeFrom="paragraph">
            <wp:posOffset>-354329</wp:posOffset>
          </wp:positionV>
          <wp:extent cx="875030" cy="351790"/>
          <wp:effectExtent b="0" l="0" r="0" t="0"/>
          <wp:wrapNone/>
          <wp:docPr id="2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875030" cy="351790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8D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252"/>
        <w:tab w:val="right" w:leader="none" w:pos="8504"/>
      </w:tabs>
      <w:spacing w:after="0" w:line="240" w:lineRule="auto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2"/>
        <w:szCs w:val="22"/>
        <w:lang w:val="pt_BR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line="360" w:lineRule="auto"/>
    </w:pPr>
    <w:rPr>
      <w:rFonts w:ascii="Arial" w:cs="Arial" w:eastAsia="Arial" w:hAnsi="Arial"/>
      <w:b w:val="1"/>
      <w:bCs w:val="1"/>
      <w:smallCaps w:val="1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line="360" w:lineRule="auto"/>
    </w:pPr>
    <w:rPr>
      <w:rFonts w:ascii="Arial" w:cs="Arial" w:eastAsia="Arial" w:hAnsi="Arial"/>
      <w:b w:val="1"/>
      <w:bCs w:val="1"/>
      <w:smallCaps w:val="1"/>
      <w:sz w:val="24"/>
      <w:szCs w:val="24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www.getfuelcms.com/" TargetMode="External"/><Relationship Id="rId11" Type="http://schemas.openxmlformats.org/officeDocument/2006/relationships/image" Target="media/image13.png"/><Relationship Id="rId22" Type="http://schemas.openxmlformats.org/officeDocument/2006/relationships/footer" Target="footer1.xml"/><Relationship Id="rId10" Type="http://schemas.openxmlformats.org/officeDocument/2006/relationships/image" Target="media/image10.png"/><Relationship Id="rId21" Type="http://schemas.openxmlformats.org/officeDocument/2006/relationships/header" Target="header1.xml"/><Relationship Id="rId13" Type="http://schemas.openxmlformats.org/officeDocument/2006/relationships/image" Target="media/image8.png"/><Relationship Id="rId12" Type="http://schemas.openxmlformats.org/officeDocument/2006/relationships/image" Target="media/image4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2.png"/><Relationship Id="rId15" Type="http://schemas.openxmlformats.org/officeDocument/2006/relationships/image" Target="media/image6.png"/><Relationship Id="rId14" Type="http://schemas.openxmlformats.org/officeDocument/2006/relationships/image" Target="media/image14.png"/><Relationship Id="rId17" Type="http://schemas.openxmlformats.org/officeDocument/2006/relationships/image" Target="media/image9.png"/><Relationship Id="rId16" Type="http://schemas.openxmlformats.org/officeDocument/2006/relationships/image" Target="media/image5.png"/><Relationship Id="rId5" Type="http://schemas.openxmlformats.org/officeDocument/2006/relationships/styles" Target="styles.xml"/><Relationship Id="rId19" Type="http://schemas.openxmlformats.org/officeDocument/2006/relationships/hyperlink" Target="https://www.exploit-db.com/exploits/50477" TargetMode="External"/><Relationship Id="rId6" Type="http://schemas.openxmlformats.org/officeDocument/2006/relationships/image" Target="media/image2.png"/><Relationship Id="rId18" Type="http://schemas.openxmlformats.org/officeDocument/2006/relationships/image" Target="media/image1.png"/><Relationship Id="rId7" Type="http://schemas.openxmlformats.org/officeDocument/2006/relationships/image" Target="media/image7.png"/><Relationship Id="rId8" Type="http://schemas.openxmlformats.org/officeDocument/2006/relationships/image" Target="media/image3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