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Game Detail Report Design Mock-Up: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This page will contain all of the information about a single game in the Game List. This page will be displayed immediately after the user clicks on a single game item in the Game List.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Name: The name of the selected game.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Publisher: The name of the publisher of the game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Rating: The overall Customer rating of the game (out of 5-Stars).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Description: The description of the game. Describes certain features of the game.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Price: The price of the game.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Download / Buy Game Button: Button that allows the Customer to download the game if it is free, or purchase the game if it isn’t.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Sample Page: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Overwatch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Blizzard Entertainment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4.1 / 5 Stars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Clash on the battlefields of tomorrow and choose your hero from a diverse cast of soldiers, scientists, adventurers, and oddities. Bend time, defy physics, and unleash a dizzying array of extraordinary powers and weapons.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$79.99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[Buy Game \ Download Button]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