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49477" w14:textId="06B33E73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5370C0">
        <w:rPr>
          <w:b/>
          <w:sz w:val="52"/>
          <w:szCs w:val="52"/>
        </w:rPr>
        <w:t>5</w:t>
      </w:r>
      <w:r w:rsidRPr="00D00058">
        <w:rPr>
          <w:b/>
          <w:sz w:val="52"/>
          <w:szCs w:val="52"/>
        </w:rPr>
        <w:t>.</w:t>
      </w:r>
      <w:r w:rsidR="009E15D4">
        <w:rPr>
          <w:b/>
          <w:sz w:val="52"/>
          <w:szCs w:val="52"/>
        </w:rPr>
        <w:t>7</w:t>
      </w:r>
      <w:r w:rsidR="00BB40FF">
        <w:rPr>
          <w:b/>
          <w:sz w:val="52"/>
          <w:szCs w:val="52"/>
        </w:rPr>
        <w:t>.</w:t>
      </w:r>
      <w:r w:rsidR="009E15D4">
        <w:rPr>
          <w:b/>
          <w:sz w:val="52"/>
          <w:szCs w:val="52"/>
        </w:rPr>
        <w:t>0</w:t>
      </w:r>
      <w:r w:rsidRPr="00D00058">
        <w:rPr>
          <w:b/>
          <w:sz w:val="52"/>
          <w:szCs w:val="52"/>
        </w:rPr>
        <w:t xml:space="preserve"> Feature Breakdown</w:t>
      </w:r>
    </w:p>
    <w:p w14:paraId="7A205924" w14:textId="77777777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08B7F5" w14:textId="77777777" w:rsidR="00E22076" w:rsidRDefault="00E22076">
          <w:pPr>
            <w:pStyle w:val="TOCHeading"/>
          </w:pPr>
          <w:r>
            <w:t>Table of Contents</w:t>
          </w:r>
        </w:p>
        <w:p w14:paraId="68FC04DB" w14:textId="26054A52" w:rsidR="00F3564E" w:rsidRDefault="00E2207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2201" w:history="1">
            <w:r w:rsidR="00F3564E" w:rsidRPr="008135D8">
              <w:rPr>
                <w:rStyle w:val="Hyperlink"/>
                <w:rFonts w:eastAsia="Times New Roman"/>
                <w:noProof/>
              </w:rPr>
              <w:t>Added support for Subtechniques in Heatmap</w:t>
            </w:r>
            <w:r w:rsidR="00F3564E">
              <w:rPr>
                <w:noProof/>
                <w:webHidden/>
              </w:rPr>
              <w:tab/>
            </w:r>
            <w:r w:rsidR="00F3564E">
              <w:rPr>
                <w:noProof/>
                <w:webHidden/>
              </w:rPr>
              <w:fldChar w:fldCharType="begin"/>
            </w:r>
            <w:r w:rsidR="00F3564E">
              <w:rPr>
                <w:noProof/>
                <w:webHidden/>
              </w:rPr>
              <w:instrText xml:space="preserve"> PAGEREF _Toc50012201 \h </w:instrText>
            </w:r>
            <w:r w:rsidR="00F3564E">
              <w:rPr>
                <w:noProof/>
                <w:webHidden/>
              </w:rPr>
            </w:r>
            <w:r w:rsidR="00F3564E">
              <w:rPr>
                <w:noProof/>
                <w:webHidden/>
              </w:rPr>
              <w:fldChar w:fldCharType="separate"/>
            </w:r>
            <w:r w:rsidR="00F3564E">
              <w:rPr>
                <w:noProof/>
                <w:webHidden/>
              </w:rPr>
              <w:t>2</w:t>
            </w:r>
            <w:r w:rsidR="00F3564E">
              <w:rPr>
                <w:noProof/>
                <w:webHidden/>
              </w:rPr>
              <w:fldChar w:fldCharType="end"/>
            </w:r>
          </w:hyperlink>
        </w:p>
        <w:p w14:paraId="27533C3F" w14:textId="11C81270" w:rsidR="00F3564E" w:rsidRDefault="00F3564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0012202" w:history="1">
            <w:r w:rsidRPr="008135D8">
              <w:rPr>
                <w:rStyle w:val="Hyperlink"/>
                <w:rFonts w:eastAsia="Times New Roman"/>
                <w:noProof/>
              </w:rPr>
              <w:t>Label configuration in 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0BF0" w14:textId="63612D47" w:rsidR="00F3564E" w:rsidRDefault="00F3564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0012203" w:history="1">
            <w:r w:rsidRPr="008135D8">
              <w:rPr>
                <w:rStyle w:val="Hyperlink"/>
                <w:rFonts w:eastAsia="Times New Roman"/>
                <w:noProof/>
              </w:rPr>
              <w:t>Added ability to identify isolated Test Cases when Assessment Kill Chain is changed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39C6" w14:textId="5745C1DD" w:rsidR="008C01F3" w:rsidRDefault="00E2207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292432E" w14:textId="39F1E782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60A2A9C4" w14:textId="0B09F469" w:rsidR="00E22076" w:rsidRDefault="00EC570D" w:rsidP="00E22076">
      <w:pPr>
        <w:pStyle w:val="Heading1"/>
        <w:divId w:val="1233541561"/>
        <w:rPr>
          <w:rFonts w:eastAsia="Times New Roman"/>
        </w:rPr>
      </w:pPr>
      <w:bookmarkStart w:id="0" w:name="_Toc50012201"/>
      <w:r>
        <w:rPr>
          <w:rFonts w:eastAsia="Times New Roman"/>
        </w:rPr>
        <w:lastRenderedPageBreak/>
        <w:t xml:space="preserve">Added support for </w:t>
      </w:r>
      <w:proofErr w:type="spellStart"/>
      <w:r>
        <w:rPr>
          <w:rFonts w:eastAsia="Times New Roman"/>
        </w:rPr>
        <w:t>Subtechniques</w:t>
      </w:r>
      <w:proofErr w:type="spellEnd"/>
      <w:r>
        <w:rPr>
          <w:rFonts w:eastAsia="Times New Roman"/>
        </w:rPr>
        <w:t xml:space="preserve"> in Heatmap</w:t>
      </w:r>
      <w:bookmarkEnd w:id="0"/>
    </w:p>
    <w:p w14:paraId="5B57A9BB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What is it?</w:t>
      </w:r>
    </w:p>
    <w:p w14:paraId="62AE1789" w14:textId="58AC5E10" w:rsidR="001E3901" w:rsidRDefault="00EC570D" w:rsidP="0003247A">
      <w:pPr>
        <w:divId w:val="1233541561"/>
      </w:pPr>
      <w:proofErr w:type="spellStart"/>
      <w:r>
        <w:t>Subtechniques</w:t>
      </w:r>
      <w:proofErr w:type="spellEnd"/>
      <w:r>
        <w:t xml:space="preserve"> now show up in the Heatmap.  Any existing datasets that use “legacy” techniques will be automatically </w:t>
      </w:r>
      <w:r w:rsidR="001E3901">
        <w:t xml:space="preserve">mapped to </w:t>
      </w:r>
      <w:proofErr w:type="spellStart"/>
      <w:r w:rsidR="001E3901">
        <w:t>subtechniques</w:t>
      </w:r>
      <w:proofErr w:type="spellEnd"/>
      <w:r w:rsidR="001E3901">
        <w:t xml:space="preserve"> using the </w:t>
      </w:r>
      <w:hyperlink r:id="rId6" w:history="1">
        <w:proofErr w:type="spellStart"/>
        <w:r w:rsidR="00C1484E">
          <w:rPr>
            <w:rStyle w:val="Hyperlink"/>
          </w:rPr>
          <w:t>m</w:t>
        </w:r>
        <w:r w:rsidR="00C1484E">
          <w:rPr>
            <w:rStyle w:val="Hyperlink"/>
          </w:rPr>
          <w:t>i</w:t>
        </w:r>
        <w:r w:rsidR="00C1484E">
          <w:rPr>
            <w:rStyle w:val="Hyperlink"/>
          </w:rPr>
          <w:t>tre</w:t>
        </w:r>
        <w:proofErr w:type="spellEnd"/>
        <w:r w:rsidR="00C1484E">
          <w:rPr>
            <w:rStyle w:val="Hyperlink"/>
          </w:rPr>
          <w:t>-crosswalk</w:t>
        </w:r>
      </w:hyperlink>
      <w:r w:rsidR="00C1484E">
        <w:t>.</w:t>
      </w:r>
    </w:p>
    <w:p w14:paraId="4C56003E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55A6D7B4" w14:textId="73230005" w:rsidR="008E3EF0" w:rsidRDefault="001E3901" w:rsidP="0003247A">
      <w:pPr>
        <w:divId w:val="1233541561"/>
      </w:pPr>
      <w:r>
        <w:t>Navigate to the Heatmap reporting screen</w:t>
      </w:r>
      <w:r w:rsidR="00A91126">
        <w:t>.  You will see something like this:</w:t>
      </w:r>
    </w:p>
    <w:p w14:paraId="20C4BED2" w14:textId="18570118" w:rsidR="006C209F" w:rsidRDefault="006C209F" w:rsidP="0003247A">
      <w:pPr>
        <w:divId w:val="1233541561"/>
      </w:pPr>
      <w:r>
        <w:rPr>
          <w:noProof/>
        </w:rPr>
        <w:drawing>
          <wp:inline distT="0" distB="0" distL="0" distR="0" wp14:anchorId="5CD1A8AB" wp14:editId="524CF268">
            <wp:extent cx="5671394" cy="265331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46" cy="26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662C" w14:textId="2132AA29" w:rsidR="00A91126" w:rsidRDefault="00A91126" w:rsidP="0003247A">
      <w:pPr>
        <w:divId w:val="1233541561"/>
      </w:pPr>
    </w:p>
    <w:p w14:paraId="2FB6AA42" w14:textId="77777777" w:rsidR="00A91126" w:rsidRDefault="00A91126" w:rsidP="0003247A">
      <w:pPr>
        <w:divId w:val="1233541561"/>
      </w:pPr>
    </w:p>
    <w:p w14:paraId="093C8D49" w14:textId="30317D97" w:rsidR="00A91126" w:rsidRDefault="00A91126" w:rsidP="0003247A">
      <w:pPr>
        <w:divId w:val="1233541561"/>
      </w:pPr>
      <w:r>
        <w:rPr>
          <w:noProof/>
        </w:rPr>
        <w:drawing>
          <wp:inline distT="0" distB="0" distL="0" distR="0" wp14:anchorId="36DBDEE0" wp14:editId="0953F876">
            <wp:extent cx="2768836" cy="175241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0" cy="179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61">
        <w:rPr>
          <w:noProof/>
        </w:rPr>
        <w:drawing>
          <wp:inline distT="0" distB="0" distL="0" distR="0" wp14:anchorId="75ABD48E" wp14:editId="6184B651">
            <wp:extent cx="2405576" cy="20536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35" cy="215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7AE8" w14:textId="28EBF3FC" w:rsidR="006C209F" w:rsidRDefault="006C209F" w:rsidP="0003247A">
      <w:pPr>
        <w:divId w:val="1233541561"/>
      </w:pPr>
    </w:p>
    <w:p w14:paraId="6C2D13B4" w14:textId="77777777" w:rsidR="00A91126" w:rsidRDefault="00A91126" w:rsidP="0003247A">
      <w:pPr>
        <w:divId w:val="1233541561"/>
      </w:pPr>
    </w:p>
    <w:p w14:paraId="16AF1941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03E706C8" w14:textId="636C215F" w:rsidR="00E22076" w:rsidRDefault="006C209F" w:rsidP="00BB65DD">
      <w:pPr>
        <w:divId w:val="1233541561"/>
      </w:pPr>
      <w:r>
        <w:t xml:space="preserve">This will allow users to map test cases to </w:t>
      </w:r>
      <w:proofErr w:type="spellStart"/>
      <w:r>
        <w:t>subtechniques</w:t>
      </w:r>
      <w:proofErr w:type="spellEnd"/>
      <w:r>
        <w:t xml:space="preserve"> and </w:t>
      </w:r>
      <w:r w:rsidR="00B23561">
        <w:t>visualize outcomes</w:t>
      </w:r>
    </w:p>
    <w:p w14:paraId="2C63AA93" w14:textId="77777777" w:rsidR="00C1484E" w:rsidRPr="00AB07E9" w:rsidRDefault="00C1484E" w:rsidP="00BB65DD">
      <w:pPr>
        <w:divId w:val="1233541561"/>
        <w:rPr>
          <w:rFonts w:eastAsia="Times New Roman"/>
          <w:b/>
          <w:sz w:val="32"/>
        </w:rPr>
      </w:pPr>
      <w:r w:rsidRPr="00AB07E9">
        <w:rPr>
          <w:rFonts w:eastAsia="Times New Roman"/>
          <w:b/>
          <w:sz w:val="32"/>
        </w:rPr>
        <w:lastRenderedPageBreak/>
        <w:t>Additional Comments:</w:t>
      </w:r>
    </w:p>
    <w:p w14:paraId="72B64CD6" w14:textId="1A11EEE8" w:rsidR="00C1484E" w:rsidRDefault="00C1484E" w:rsidP="00BB65DD">
      <w:pPr>
        <w:divId w:val="1233541561"/>
      </w:pPr>
      <w:r>
        <w:t xml:space="preserve">When there is a scenario where a legacy </w:t>
      </w:r>
      <w:proofErr w:type="spellStart"/>
      <w:r>
        <w:t>mitre</w:t>
      </w:r>
      <w:proofErr w:type="spellEnd"/>
      <w:r>
        <w:t xml:space="preserve"> id can map to multiple </w:t>
      </w:r>
      <w:proofErr w:type="spellStart"/>
      <w:r>
        <w:t>subtechniques</w:t>
      </w:r>
      <w:proofErr w:type="spellEnd"/>
      <w:r>
        <w:t xml:space="preserve">, we take the first item in the list of the crosswalk file.  For example, if a test case was mapped to </w:t>
      </w:r>
      <w:proofErr w:type="spellStart"/>
      <w:r>
        <w:t>mitre</w:t>
      </w:r>
      <w:proofErr w:type="spellEnd"/>
      <w:r w:rsidR="00AB07E9">
        <w:t xml:space="preserve"> id</w:t>
      </w:r>
      <w:r>
        <w:t xml:space="preserve"> T1034, it will now be mapped to T1574.007.</w:t>
      </w:r>
    </w:p>
    <w:p w14:paraId="40B764AE" w14:textId="2625B916" w:rsidR="00C1484E" w:rsidRDefault="00C1484E" w:rsidP="00BB65DD">
      <w:pPr>
        <w:divId w:val="1233541561"/>
      </w:pPr>
      <w:r>
        <w:rPr>
          <w:noProof/>
        </w:rPr>
        <w:drawing>
          <wp:inline distT="0" distB="0" distL="0" distR="0" wp14:anchorId="606A5726" wp14:editId="46E5005D">
            <wp:extent cx="5943600" cy="1451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367F" w14:textId="08EC23A2" w:rsidR="00C1484E" w:rsidRDefault="00C1484E" w:rsidP="00BB65DD">
      <w:pPr>
        <w:divId w:val="1233541561"/>
      </w:pPr>
    </w:p>
    <w:p w14:paraId="661FB692" w14:textId="66FE8F93" w:rsidR="00C1484E" w:rsidRDefault="00C1484E" w:rsidP="00BB65DD">
      <w:pPr>
        <w:divId w:val="1233541561"/>
      </w:pPr>
      <w:r>
        <w:t>There are some cases where legacy ids have been deprecated:</w:t>
      </w:r>
    </w:p>
    <w:p w14:paraId="4ED6F3C9" w14:textId="32BBEF4D" w:rsidR="00C1484E" w:rsidRDefault="00C1484E" w:rsidP="00BB65DD">
      <w:pPr>
        <w:divId w:val="1233541561"/>
      </w:pPr>
      <w:r>
        <w:rPr>
          <w:noProof/>
        </w:rPr>
        <w:drawing>
          <wp:inline distT="0" distB="0" distL="0" distR="0" wp14:anchorId="4EAA1699" wp14:editId="29EAE0B9">
            <wp:extent cx="5943600" cy="1376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B7F" w14:textId="6450FF8D" w:rsidR="00C1484E" w:rsidRDefault="00C1484E" w:rsidP="00BB65DD">
      <w:pPr>
        <w:divId w:val="1233541561"/>
      </w:pPr>
    </w:p>
    <w:p w14:paraId="3CFCFA11" w14:textId="501244C1" w:rsidR="00AB07E9" w:rsidRDefault="00C1484E" w:rsidP="00BB65DD">
      <w:pPr>
        <w:divId w:val="1233541561"/>
      </w:pPr>
      <w:r>
        <w:t>These will show up in the Data Integrity screen as “</w:t>
      </w:r>
      <w:r w:rsidR="00AB07E9">
        <w:t>MITRE ID UNRECOGNIZED”</w:t>
      </w:r>
    </w:p>
    <w:p w14:paraId="06ECEA85" w14:textId="2B6CCD9D" w:rsidR="00C1484E" w:rsidRDefault="00C1484E" w:rsidP="00BB65DD">
      <w:pPr>
        <w:divId w:val="1233541561"/>
      </w:pPr>
    </w:p>
    <w:p w14:paraId="21EB4CAF" w14:textId="04ACE09D" w:rsidR="00C1484E" w:rsidRDefault="00C1484E" w:rsidP="00BB65DD">
      <w:pPr>
        <w:divId w:val="1233541561"/>
      </w:pPr>
      <w:r>
        <w:rPr>
          <w:noProof/>
        </w:rPr>
        <w:drawing>
          <wp:inline distT="0" distB="0" distL="0" distR="0" wp14:anchorId="7731A812" wp14:editId="5CDCD853">
            <wp:extent cx="5943600" cy="153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D6D" w14:textId="77777777" w:rsidR="00AB07E9" w:rsidRDefault="00AB07E9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50FBCC6B" w14:textId="67E46D23" w:rsidR="00E22076" w:rsidRDefault="00B23561" w:rsidP="00E22076">
      <w:pPr>
        <w:pStyle w:val="Heading1"/>
        <w:divId w:val="1233541561"/>
        <w:rPr>
          <w:rFonts w:eastAsia="Times New Roman"/>
        </w:rPr>
      </w:pPr>
      <w:bookmarkStart w:id="1" w:name="_Toc50012202"/>
      <w:r>
        <w:rPr>
          <w:rFonts w:eastAsia="Times New Roman"/>
        </w:rPr>
        <w:lastRenderedPageBreak/>
        <w:t>Label configuration in Heatmap</w:t>
      </w:r>
      <w:bookmarkEnd w:id="1"/>
    </w:p>
    <w:p w14:paraId="2F72490A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4E68DFF8" w14:textId="3819BB77" w:rsidR="007D1893" w:rsidRDefault="00B23561" w:rsidP="007D1893">
      <w:r>
        <w:t>Allow for some customization of the labels that show up on the Heatmap.</w:t>
      </w:r>
    </w:p>
    <w:p w14:paraId="2865170B" w14:textId="22BF0DA6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3B89FF11" w14:textId="7CC31AA5" w:rsidR="00464BD4" w:rsidRDefault="00B23561" w:rsidP="00464BD4">
      <w:pPr>
        <w:rPr>
          <w:noProof/>
        </w:rPr>
      </w:pPr>
      <w:r>
        <w:rPr>
          <w:noProof/>
        </w:rPr>
        <w:t>Click the cog in the top right of the Heatmap:</w:t>
      </w:r>
    </w:p>
    <w:p w14:paraId="63E238BB" w14:textId="2E08E446" w:rsidR="00B23561" w:rsidRDefault="00B23561" w:rsidP="00464BD4">
      <w:r>
        <w:rPr>
          <w:noProof/>
        </w:rPr>
        <w:drawing>
          <wp:inline distT="0" distB="0" distL="0" distR="0" wp14:anchorId="20F4145E" wp14:editId="34CCC0B0">
            <wp:extent cx="5943600" cy="4227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05B" w14:textId="77777777" w:rsidR="00B23561" w:rsidRDefault="00B23561" w:rsidP="00464BD4"/>
    <w:p w14:paraId="262A1E15" w14:textId="1A74801F" w:rsidR="00B23561" w:rsidRDefault="00B23561" w:rsidP="00464BD4">
      <w:proofErr w:type="gramStart"/>
      <w:r>
        <w:t>This  will</w:t>
      </w:r>
      <w:proofErr w:type="gramEnd"/>
      <w:r>
        <w:t xml:space="preserve"> bring up the label config widget:</w:t>
      </w:r>
    </w:p>
    <w:p w14:paraId="0263E63B" w14:textId="77777777" w:rsidR="00B23561" w:rsidRPr="00464BD4" w:rsidRDefault="00B23561" w:rsidP="00464BD4"/>
    <w:p w14:paraId="3DA571DD" w14:textId="7D718BDA" w:rsidR="007D1893" w:rsidRDefault="00B23561" w:rsidP="007D1893">
      <w:r>
        <w:rPr>
          <w:noProof/>
        </w:rPr>
        <w:lastRenderedPageBreak/>
        <w:drawing>
          <wp:inline distT="0" distB="0" distL="0" distR="0" wp14:anchorId="5E5E5B2C" wp14:editId="64DC95F4">
            <wp:extent cx="3276768" cy="35498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EB6" w14:textId="4719F0FA" w:rsidR="00B23561" w:rsidRDefault="00B23561" w:rsidP="007D1893"/>
    <w:p w14:paraId="493E7DE3" w14:textId="7D7049D9" w:rsidR="00B23561" w:rsidRDefault="00B23561" w:rsidP="007D1893"/>
    <w:p w14:paraId="57CE089C" w14:textId="3D5BC835" w:rsidR="00B23561" w:rsidRDefault="00B23561" w:rsidP="007D1893">
      <w:r>
        <w:rPr>
          <w:noProof/>
        </w:rPr>
        <w:drawing>
          <wp:inline distT="0" distB="0" distL="0" distR="0" wp14:anchorId="44529DED" wp14:editId="1BC27EB2">
            <wp:extent cx="5943600" cy="3240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744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1F729AB7" w14:textId="3060F23B" w:rsidR="004839DF" w:rsidRDefault="00464BD4">
      <w:r>
        <w:t xml:space="preserve">This will allow </w:t>
      </w:r>
      <w:r w:rsidR="00B23561">
        <w:t>for screenshots or visuals to be customized.</w:t>
      </w:r>
    </w:p>
    <w:p w14:paraId="12397C55" w14:textId="2330903A" w:rsidR="008C01F3" w:rsidRDefault="008C01F3"/>
    <w:p w14:paraId="0D550C53" w14:textId="77777777" w:rsidR="008C01F3" w:rsidRDefault="008C01F3" w:rsidP="008C01F3">
      <w:pPr>
        <w:pStyle w:val="Heading1"/>
        <w:rPr>
          <w:rFonts w:eastAsia="Times New Roman"/>
        </w:rPr>
      </w:pPr>
      <w:bookmarkStart w:id="2" w:name="_Toc50012203"/>
      <w:r>
        <w:rPr>
          <w:rFonts w:eastAsia="Times New Roman"/>
        </w:rPr>
        <w:lastRenderedPageBreak/>
        <w:t>Added ability to identify isolated Test Cases when Assessment Kill Chain is changed</w:t>
      </w:r>
      <w:bookmarkEnd w:id="2"/>
    </w:p>
    <w:p w14:paraId="12C67C2F" w14:textId="77777777" w:rsidR="008C01F3" w:rsidRPr="007D1893" w:rsidRDefault="008C01F3" w:rsidP="008C01F3">
      <w:pPr>
        <w:pStyle w:val="Style2"/>
        <w:rPr>
          <w:rStyle w:val="Emphasis"/>
          <w:i w:val="0"/>
          <w:iCs w:val="0"/>
        </w:rPr>
      </w:pPr>
      <w:r w:rsidRPr="007D1893">
        <w:rPr>
          <w:rStyle w:val="Emphasis"/>
          <w:i w:val="0"/>
          <w:iCs w:val="0"/>
        </w:rPr>
        <w:t>What is it?</w:t>
      </w:r>
    </w:p>
    <w:p w14:paraId="6396DB1B" w14:textId="77777777" w:rsidR="008C01F3" w:rsidRDefault="008C01F3" w:rsidP="008C01F3">
      <w:r>
        <w:t>Test Cases that are used in a Campaign but are not mapped to the Assessment Kill Chain are now displayed in a warning screen when the Assessment Kill Chain is changed, and also show up in the Data Integrity reporting screen.</w:t>
      </w:r>
    </w:p>
    <w:p w14:paraId="2D609851" w14:textId="77777777" w:rsidR="008C01F3" w:rsidRDefault="008C01F3" w:rsidP="008C01F3">
      <w:pPr>
        <w:pStyle w:val="Style2"/>
      </w:pPr>
      <w:r>
        <w:t>How does it work?</w:t>
      </w:r>
    </w:p>
    <w:p w14:paraId="6DC0186A" w14:textId="77777777" w:rsidR="008C01F3" w:rsidRPr="00EC570D" w:rsidRDefault="008C01F3" w:rsidP="008C01F3">
      <w:proofErr w:type="gramStart"/>
      <w:r>
        <w:t>Here’s</w:t>
      </w:r>
      <w:proofErr w:type="gramEnd"/>
      <w:r>
        <w:t xml:space="preserve"> an example of a campaign with 3 Test Cases mapped to Exfiltration</w:t>
      </w:r>
    </w:p>
    <w:p w14:paraId="7D759529" w14:textId="77777777" w:rsidR="008C01F3" w:rsidRDefault="008C01F3" w:rsidP="008C01F3">
      <w:r>
        <w:rPr>
          <w:noProof/>
        </w:rPr>
        <w:drawing>
          <wp:inline distT="0" distB="0" distL="0" distR="0" wp14:anchorId="258C466E" wp14:editId="1176AB3A">
            <wp:extent cx="5943600" cy="3430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5370" w14:textId="77777777" w:rsidR="008C01F3" w:rsidRDefault="008C01F3" w:rsidP="008C01F3">
      <w:r>
        <w:br w:type="page"/>
      </w:r>
    </w:p>
    <w:p w14:paraId="45D5A7CF" w14:textId="77777777" w:rsidR="008C01F3" w:rsidRDefault="008C01F3" w:rsidP="008C01F3">
      <w:r>
        <w:lastRenderedPageBreak/>
        <w:t>Create a Kill Chain without Exfiltration as a Phase:</w:t>
      </w:r>
    </w:p>
    <w:p w14:paraId="30938BEA" w14:textId="77777777" w:rsidR="008C01F3" w:rsidRDefault="008C01F3" w:rsidP="008C01F3">
      <w:r>
        <w:rPr>
          <w:noProof/>
        </w:rPr>
        <w:drawing>
          <wp:inline distT="0" distB="0" distL="0" distR="0" wp14:anchorId="10938B91" wp14:editId="075DF5B2">
            <wp:extent cx="2327791" cy="523328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575" cy="526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5013" w14:textId="77777777" w:rsidR="008C01F3" w:rsidRDefault="008C01F3" w:rsidP="008C01F3"/>
    <w:p w14:paraId="5AEBA7FE" w14:textId="77777777" w:rsidR="008C01F3" w:rsidRDefault="008C01F3" w:rsidP="008C01F3">
      <w:r>
        <w:t>Edit the Assessment to use the new Kill Chain:</w:t>
      </w:r>
    </w:p>
    <w:p w14:paraId="1D9892DE" w14:textId="77777777" w:rsidR="008C01F3" w:rsidRDefault="008C01F3" w:rsidP="008C01F3">
      <w:r>
        <w:rPr>
          <w:noProof/>
        </w:rPr>
        <w:drawing>
          <wp:inline distT="0" distB="0" distL="0" distR="0" wp14:anchorId="3AA77419" wp14:editId="451DB308">
            <wp:extent cx="3759393" cy="22543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0F17" w14:textId="77777777" w:rsidR="008C01F3" w:rsidRDefault="008C01F3" w:rsidP="008C01F3"/>
    <w:p w14:paraId="1E1AA0ED" w14:textId="77777777" w:rsidR="008C01F3" w:rsidRDefault="008C01F3" w:rsidP="008C01F3">
      <w:r>
        <w:t>This will show a conflict report:</w:t>
      </w:r>
    </w:p>
    <w:p w14:paraId="7E9C6715" w14:textId="77777777" w:rsidR="008C01F3" w:rsidRDefault="008C01F3" w:rsidP="008C01F3">
      <w:r>
        <w:rPr>
          <w:noProof/>
        </w:rPr>
        <w:drawing>
          <wp:inline distT="0" distB="0" distL="0" distR="0" wp14:anchorId="1F6A0C7B" wp14:editId="426D849A">
            <wp:extent cx="5943600" cy="5812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84CE" w14:textId="77777777" w:rsidR="008C01F3" w:rsidRDefault="008C01F3" w:rsidP="008C01F3"/>
    <w:p w14:paraId="0D92B1EC" w14:textId="77777777" w:rsidR="008C01F3" w:rsidRDefault="008C01F3" w:rsidP="008C01F3">
      <w:r>
        <w:br w:type="page"/>
      </w:r>
    </w:p>
    <w:p w14:paraId="4FC07177" w14:textId="77777777" w:rsidR="008C01F3" w:rsidRDefault="008C01F3" w:rsidP="008C01F3">
      <w:r>
        <w:lastRenderedPageBreak/>
        <w:t>The Campaign will now not show the Test Cases:</w:t>
      </w:r>
    </w:p>
    <w:p w14:paraId="24CDCE0E" w14:textId="77777777" w:rsidR="008C01F3" w:rsidRDefault="008C01F3" w:rsidP="008C01F3">
      <w:r>
        <w:rPr>
          <w:noProof/>
        </w:rPr>
        <w:drawing>
          <wp:inline distT="0" distB="0" distL="0" distR="0" wp14:anchorId="7E84F171" wp14:editId="4D2F72A9">
            <wp:extent cx="5943600" cy="3202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B12D" w14:textId="77777777" w:rsidR="008C01F3" w:rsidRDefault="008C01F3" w:rsidP="008C01F3"/>
    <w:p w14:paraId="2CA7C6C4" w14:textId="77777777" w:rsidR="008C01F3" w:rsidRDefault="008C01F3" w:rsidP="008C01F3">
      <w:r>
        <w:t>You can go to the Data Integrity report to fix the issues:</w:t>
      </w:r>
    </w:p>
    <w:p w14:paraId="3B81289E" w14:textId="77777777" w:rsidR="008C01F3" w:rsidRDefault="008C01F3" w:rsidP="008C01F3">
      <w:r>
        <w:rPr>
          <w:noProof/>
        </w:rPr>
        <w:drawing>
          <wp:inline distT="0" distB="0" distL="0" distR="0" wp14:anchorId="304EABEA" wp14:editId="552606C6">
            <wp:extent cx="59436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FFF3" w14:textId="77777777" w:rsidR="008C01F3" w:rsidRDefault="008C01F3" w:rsidP="008C01F3"/>
    <w:p w14:paraId="4C0B0337" w14:textId="77777777" w:rsidR="008C01F3" w:rsidRDefault="008C01F3" w:rsidP="008C01F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5D872B12" w14:textId="77777777" w:rsidR="008C01F3" w:rsidRDefault="008C01F3" w:rsidP="008C01F3">
      <w:r>
        <w:t>This will allow users to not “lose” data when changing a Kill Chain.</w:t>
      </w:r>
    </w:p>
    <w:p w14:paraId="2E1CACB8" w14:textId="2E6ECF2A" w:rsidR="008C01F3" w:rsidRPr="00B23561" w:rsidRDefault="008C01F3">
      <w:pPr>
        <w:rPr>
          <w:rFonts w:eastAsiaTheme="minorHAnsi"/>
        </w:rPr>
      </w:pPr>
    </w:p>
    <w:sectPr w:rsidR="008C01F3" w:rsidRPr="00B23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B7EBF"/>
    <w:multiLevelType w:val="hybridMultilevel"/>
    <w:tmpl w:val="4E40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FE"/>
    <w:rsid w:val="000108D5"/>
    <w:rsid w:val="000144F7"/>
    <w:rsid w:val="0003247A"/>
    <w:rsid w:val="00070E77"/>
    <w:rsid w:val="000A39D9"/>
    <w:rsid w:val="000A5B4B"/>
    <w:rsid w:val="00122845"/>
    <w:rsid w:val="00123228"/>
    <w:rsid w:val="00125E83"/>
    <w:rsid w:val="00125F48"/>
    <w:rsid w:val="00136656"/>
    <w:rsid w:val="001715B0"/>
    <w:rsid w:val="00183535"/>
    <w:rsid w:val="001A0DA2"/>
    <w:rsid w:val="001C48A0"/>
    <w:rsid w:val="001E3901"/>
    <w:rsid w:val="00225C0D"/>
    <w:rsid w:val="00234CED"/>
    <w:rsid w:val="00247362"/>
    <w:rsid w:val="00295685"/>
    <w:rsid w:val="00307DFE"/>
    <w:rsid w:val="0034119B"/>
    <w:rsid w:val="003652A5"/>
    <w:rsid w:val="003744A9"/>
    <w:rsid w:val="0042446E"/>
    <w:rsid w:val="00456DD7"/>
    <w:rsid w:val="00464BD4"/>
    <w:rsid w:val="004839DF"/>
    <w:rsid w:val="004A0046"/>
    <w:rsid w:val="00511EA3"/>
    <w:rsid w:val="005370C0"/>
    <w:rsid w:val="005A071E"/>
    <w:rsid w:val="005D164F"/>
    <w:rsid w:val="00662B24"/>
    <w:rsid w:val="0067600B"/>
    <w:rsid w:val="00684E8B"/>
    <w:rsid w:val="006C209F"/>
    <w:rsid w:val="00763BD9"/>
    <w:rsid w:val="0076610A"/>
    <w:rsid w:val="00773084"/>
    <w:rsid w:val="00786C20"/>
    <w:rsid w:val="007A06E3"/>
    <w:rsid w:val="007D1893"/>
    <w:rsid w:val="008B397D"/>
    <w:rsid w:val="008C00B6"/>
    <w:rsid w:val="008C01F3"/>
    <w:rsid w:val="008D1454"/>
    <w:rsid w:val="008D6C97"/>
    <w:rsid w:val="008E088E"/>
    <w:rsid w:val="008E3EF0"/>
    <w:rsid w:val="0090065B"/>
    <w:rsid w:val="009B7A7A"/>
    <w:rsid w:val="009E15D4"/>
    <w:rsid w:val="009E4E65"/>
    <w:rsid w:val="009F3978"/>
    <w:rsid w:val="00A169CC"/>
    <w:rsid w:val="00A412C5"/>
    <w:rsid w:val="00A631B2"/>
    <w:rsid w:val="00A7106A"/>
    <w:rsid w:val="00A91126"/>
    <w:rsid w:val="00AB07E9"/>
    <w:rsid w:val="00AF6C67"/>
    <w:rsid w:val="00B23561"/>
    <w:rsid w:val="00B416A5"/>
    <w:rsid w:val="00B456E6"/>
    <w:rsid w:val="00BB40FF"/>
    <w:rsid w:val="00BB65DD"/>
    <w:rsid w:val="00BD4C8D"/>
    <w:rsid w:val="00BE69F4"/>
    <w:rsid w:val="00C132F6"/>
    <w:rsid w:val="00C1484E"/>
    <w:rsid w:val="00C66873"/>
    <w:rsid w:val="00C82603"/>
    <w:rsid w:val="00C83C02"/>
    <w:rsid w:val="00CA0F73"/>
    <w:rsid w:val="00CC6D9B"/>
    <w:rsid w:val="00D00058"/>
    <w:rsid w:val="00E22076"/>
    <w:rsid w:val="00E56028"/>
    <w:rsid w:val="00EC570D"/>
    <w:rsid w:val="00EC6ABD"/>
    <w:rsid w:val="00EF0AB1"/>
    <w:rsid w:val="00F04B99"/>
    <w:rsid w:val="00F3564E"/>
    <w:rsid w:val="00F4124B"/>
    <w:rsid w:val="00F4514C"/>
    <w:rsid w:val="00F9758E"/>
    <w:rsid w:val="00FA2B84"/>
    <w:rsid w:val="00FC00ED"/>
    <w:rsid w:val="00FC63D7"/>
    <w:rsid w:val="00FD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B7F7D"/>
  <w15:chartTrackingRefBased/>
  <w15:docId w15:val="{C5C0A19A-86E0-4E23-BA2C-F06382A57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220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7D1893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7D1893"/>
    <w:rPr>
      <w:rFonts w:ascii="Calibri" w:eastAsiaTheme="minorEastAsia" w:hAnsi="Calibri"/>
      <w:b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34C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2A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8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ttack.mitre.org/docs/subtechniques/subtechniques-crosswalk.js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7DEA-9C57-43DB-9F7F-931FDA3BD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10948</TotalTime>
  <Pages>9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Group/Assessment Cloning</vt:lpstr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Group/Assessment Cloning</dc:title>
  <dc:subject/>
  <dc:creator>Galen Fisher</dc:creator>
  <cp:keywords/>
  <dc:description/>
  <cp:lastModifiedBy>Carl Vonderheid</cp:lastModifiedBy>
  <cp:revision>5</cp:revision>
  <cp:lastPrinted>2020-06-10T23:14:00Z</cp:lastPrinted>
  <dcterms:created xsi:type="dcterms:W3CDTF">2020-04-06T17:35:00Z</dcterms:created>
  <dcterms:modified xsi:type="dcterms:W3CDTF">2020-09-04T14:08:00Z</dcterms:modified>
</cp:coreProperties>
</file>